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Qabul sinovi hujjatlar va loyiha himoyasi</w:t>
      </w:r>
    </w:p>
    <w:p>
      <w:r>
        <w:t>8 modul  |  44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talablar dalillar bilan bog‘lanadi, cheklovlar va qolgan ishlar aniq yoziladi.</w:t>
      </w:r>
    </w:p>
    <w:p>
      <w:pPr>
        <w:pStyle w:val="Heading1"/>
      </w:pPr>
      <w:r>
        <w:t>Tayanch bilimlar</w:t>
      </w:r>
    </w:p>
    <w:p>
      <w:r>
        <w:t>8-modulning 1–43-mavzulari.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Ilova ishga tushganidan keyin ham xizmat holati va ma’lumotni saqlash nazorat qilinadi. Log, sog‘liq tekshiruvi, offline backup va tiklash bir-birini to‘ldiradi. Yakuniy himoya bajarilgan ish dalili va hal qilinmagan cheklovlarni o‘z ichiga oladi.</w:t>
      </w:r>
    </w:p>
    <w:p>
      <w:pPr>
        <w:pStyle w:val="Heading2"/>
      </w:pPr>
      <w:r>
        <w:t>Qabul sinovi</w:t>
      </w:r>
    </w:p>
    <w:p>
      <w:r>
        <w:t>Boshlang‘ich talablarning har biri natija bilan solishtiriladi. Har mezon uchun o‘tdi yoki nuqson va dalil manzili ko‘rsatiladi.</w:t>
      </w:r>
    </w:p>
    <w:p>
      <w:pPr>
        <w:pStyle w:val="Heading2"/>
      </w:pPr>
      <w:r>
        <w:t>Dalil jadvali</w:t>
      </w:r>
    </w:p>
    <w:p>
      <w:r>
        <w:t>Talab, sinov qadami, kutilgan natija va kuzatuvni bog‘laydi. Testlar soni talablarning hammasi qamralganini o‘zidan o‘zi bildirmaydi.</w:t>
      </w:r>
    </w:p>
    <w:p>
      <w:pPr>
        <w:pStyle w:val="Heading2"/>
      </w:pPr>
      <w:r>
        <w:t>Yo‘riqnoma</w:t>
      </w:r>
    </w:p>
    <w:p>
      <w:r>
        <w:t>Node versiyasi, ishga tushirish, test, data yo‘li va backup tartibini beradi. Boshqa o‘quvchi muallif yordamisiz loyihani takrorlay olishi tekshiriladi.</w:t>
      </w:r>
    </w:p>
    <w:p>
      <w:pPr>
        <w:pStyle w:val="Heading2"/>
      </w:pPr>
      <w:r>
        <w:t>Cheklov bayoni</w:t>
      </w:r>
    </w:p>
    <w:p>
      <w:r>
        <w:t>Demo login yo‘qligi, limit va tekshirilmagan muhitlar ochiq yoziladi. Lokal ishlaganini ommaviy productionda tekshirildi deb atalmaydi.</w:t>
      </w:r>
    </w:p>
    <w:p>
      <w:pPr>
        <w:pStyle w:val="Heading2"/>
      </w:pPr>
      <w:r>
        <w:t>Himoya</w:t>
      </w:r>
    </w:p>
    <w:p>
      <w:r>
        <w:t>O‘quvchi oqim, kod, xato sinovi va tiklashni tushuntiradi. Faqat slayd ko‘rsatish ishlaydigan ilova va dalilning o‘rnini bosa olmaydi.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Talab | Test | Dalil | Holat</w:t>
      </w:r>
    </w:p>
    <w:p>
      <w:pPr>
        <w:spacing w:after="0"/>
      </w:pPr>
      <w:r>
        <w:t>Yaratish | POST + GET | test log | o‘tdi/nuqson</w:t>
      </w:r>
    </w:p>
    <w:p>
      <w:pPr>
        <w:spacing w:after="0"/>
      </w:pPr>
      <w:r>
        <w:t>Bo‘sh title | 400 | test log | o‘tdi/nuqson</w:t>
      </w:r>
    </w:p>
    <w:p>
      <w:pPr>
        <w:spacing w:after="0"/>
      </w:pPr>
      <w:r>
        <w:t>Qayta ochish | disk baza | kuzatuv | o‘tdi/nuqson</w:t>
      </w:r>
    </w:p>
    <w:p>
      <w:pPr>
        <w:spacing w:after="0"/>
      </w:pPr>
      <w:r>
        <w:t>Tiklash | alohida katalog | satrlar va vaqt | o‘tdi/nuqson</w:t>
      </w:r>
    </w:p>
    <w:p>
      <w:pPr>
        <w:pStyle w:val="Heading1"/>
      </w:pPr>
      <w:r>
        <w:t>Kutiladigan natija</w:t>
      </w:r>
    </w:p>
    <w:p>
      <w:r>
        <w:t>Talablar dalillar bilan bog‘lanadi, cheklovlar va qolgan ishlar aniq yoziladi.</w:t>
      </w:r>
    </w:p>
    <w:p>
      <w:pPr>
        <w:pStyle w:val="Heading1"/>
      </w:pPr>
      <w:r>
        <w:t>Xatoni tushunish</w:t>
      </w:r>
    </w:p>
    <w:p>
      <w:r>
        <w:t>Bajarilmagan tekshiruvni o‘tdi deb yozmang; tekshirilmadi holatini alohida belgilang.</w:t>
      </w:r>
    </w:p>
    <w:p>
      <w:pPr>
        <w:pStyle w:val="Heading1"/>
      </w:pPr>
      <w:r>
        <w:t>Amaliy vazifa</w:t>
      </w:r>
    </w:p>
    <w:p>
      <w:r>
        <w:t>Yakuniy loyiha uchun qabul jadvali, README va 5 daqiqalik namoyish rejasini tuzing.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Qabul sinovi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Qabul sinovi — Boshlang‘ich talablarning har biri natija bilan solishtiriladi.</w:t>
      </w:r>
    </w:p>
    <w:p>
      <w:r>
        <w:t>Dalil jadvali — Talab, sinov qadami, kutilgan natija va kuzatuvni bog‘laydi.</w:t>
      </w:r>
    </w:p>
    <w:p>
      <w:r>
        <w:t>Yo‘riqnoma — Node versiyasi, ishga tushirish, test, data yo‘li va backup tartibini beradi.</w:t>
      </w:r>
    </w:p>
    <w:p>
      <w:r>
        <w:t>Cheklov bayoni — Demo login yo‘qligi, limit va tekshirilmagan muhitlar ochiq yoziladi.</w:t>
      </w:r>
    </w:p>
    <w:p>
      <w:r>
        <w:t>Himoya — O‘quvchi oqim, kod, xato sinovi va tiklashni tushuntiradi.</w:t>
      </w:r>
    </w:p>
    <w:p>
      <w:pPr>
        <w:pStyle w:val="Heading1"/>
      </w:pPr>
      <w:r>
        <w:t>Manbalar</w:t>
      </w:r>
    </w:p>
    <w:p>
      <w:hyperlink r:id="rId10">
        <w:r>
          <w:t>Node HTTP</w:t>
        </w:r>
      </w:hyperlink>
      <w:r>
        <w:t xml:space="preserve"> · </w:t>
      </w:r>
      <w:hyperlink r:id="rId11">
        <w:r>
          <w:t>SQLite backup</w:t>
        </w:r>
      </w:hyperlink>
      <w:r>
        <w:t xml:space="preserve"> · </w:t>
      </w:r>
      <w:hyperlink r:id="rId12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http.html" TargetMode="External"/><Relationship Id="rId11" Type="http://schemas.openxmlformats.org/officeDocument/2006/relationships/hyperlink" Target="https://sqlite.org/backup.html" TargetMode="External"/><Relationship Id="rId12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