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2 bo‘lim  11 mavzu  Amaliy  2 soat</w:t>
      </w:r>
    </w:p>
    <w:p>
      <w:pPr>
        <w:pStyle w:val="Title"/>
        <w:spacing w:line="240" w:lineRule="auto"/>
      </w:pPr>
      <w:r>
        <w:rPr>
          <w:rFonts w:ascii="Calibri" w:hAnsi="Calibri"/>
          <w:sz w:val="28"/>
        </w:rPr>
        <w:t>Tartibli va tartibsiz ro‘yxatlar  ichma-ich ro‘yxatlar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«Tartibli va tartibsiz ro‘yxatlar, ichma-ich ro‘yxatlar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4–10-mavzularda o‘tilgan vositalar va HTML tushunchalari.</w:t>
      </w:r>
    </w:p>
    <w:p>
      <w:pPr>
        <w:pStyle w:val="Heading1"/>
        <w:spacing w:line="240" w:lineRule="auto"/>
      </w:pPr>
      <w:r>
        <w:rPr>
          <w:rFonts w:ascii="Calibri" w:hAnsi="Calibri"/>
          <w:sz w:val="28"/>
        </w:rPr>
        <w:t>Dars rejasi</w:t>
      </w:r>
    </w:p>
    <w:p>
      <w:pPr>
        <w:spacing w:line="240" w:lineRule="auto"/>
      </w:pPr>
      <w:r>
        <w:rPr>
          <w:rFonts w:ascii="Calibri" w:hAnsi="Calibri"/>
          <w:sz w:val="28"/>
        </w:rPr>
        <w:t>1. ul</w:t>
      </w:r>
    </w:p>
    <w:p>
      <w:pPr>
        <w:spacing w:line="240" w:lineRule="auto"/>
      </w:pPr>
      <w:r>
        <w:rPr>
          <w:rFonts w:ascii="Calibri" w:hAnsi="Calibri"/>
          <w:sz w:val="28"/>
        </w:rPr>
        <w:t>2. ol</w:t>
      </w:r>
    </w:p>
    <w:p>
      <w:pPr>
        <w:spacing w:line="240" w:lineRule="auto"/>
      </w:pPr>
      <w:r>
        <w:rPr>
          <w:rFonts w:ascii="Calibri" w:hAnsi="Calibri"/>
          <w:sz w:val="28"/>
        </w:rPr>
        <w:t>3. li</w:t>
      </w:r>
    </w:p>
    <w:p>
      <w:pPr>
        <w:spacing w:line="240" w:lineRule="auto"/>
      </w:pPr>
      <w:r>
        <w:rPr>
          <w:rFonts w:ascii="Calibri" w:hAnsi="Calibri"/>
          <w:sz w:val="28"/>
        </w:rPr>
        <w:t>4. Ichki ro‘yxat</w:t>
      </w:r>
    </w:p>
    <w:p>
      <w:pPr>
        <w:spacing w:line="240" w:lineRule="auto"/>
      </w:pPr>
      <w:r>
        <w:rPr>
          <w:rFonts w:ascii="Calibri" w:hAnsi="Calibri"/>
          <w:sz w:val="28"/>
        </w:rPr>
        <w:t>5. Ro‘yxat semantikasi</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ul tartibsiz, ol tartibli ro‘yxatni boshlaydi. Har bir band li ichida yoziladi. Ichma-ich ro‘yxat tashqi li ichiga qo‘yiladi va yopiladi. Ro‘yxatdagi CSS yoki JavaScript so‘zlari oddiy kontentdir; ularning kodini yozish shart emas.</w:t>
      </w:r>
    </w:p>
    <w:p>
      <w:pPr>
        <w:pStyle w:val="Heading1"/>
        <w:spacing w:line="240" w:lineRule="auto"/>
      </w:pPr>
      <w:r>
        <w:rPr>
          <w:rFonts w:ascii="Calibri" w:hAnsi="Calibri"/>
          <w:sz w:val="28"/>
        </w:rPr>
        <w:t>ul</w:t>
      </w:r>
    </w:p>
    <w:p>
      <w:pPr>
        <w:spacing w:line="240" w:lineRule="auto"/>
      </w:pPr>
      <w:r>
        <w:rPr>
          <w:rFonts w:ascii="Calibri" w:hAnsi="Calibri"/>
          <w:sz w:val="28"/>
        </w:rPr>
        <w:t>Tartibning o‘zi muhim bo‘lmagan ro‘yxatni ifodalaydi.</w:t>
      </w:r>
    </w:p>
    <w:p>
      <w:pPr>
        <w:pStyle w:val="Heading1"/>
        <w:spacing w:line="240" w:lineRule="auto"/>
      </w:pPr>
      <w:r>
        <w:rPr>
          <w:rFonts w:ascii="Calibri" w:hAnsi="Calibri"/>
          <w:sz w:val="28"/>
        </w:rPr>
        <w:t>ol</w:t>
      </w:r>
    </w:p>
    <w:p>
      <w:pPr>
        <w:spacing w:line="240" w:lineRule="auto"/>
      </w:pPr>
      <w:r>
        <w:rPr>
          <w:rFonts w:ascii="Calibri" w:hAnsi="Calibri"/>
          <w:sz w:val="28"/>
        </w:rPr>
        <w:t>Qadamlar yoki reyting kabi tartib ma’noli bo‘lgan ro‘yxatni ifodalaydi.</w:t>
      </w:r>
    </w:p>
    <w:p>
      <w:pPr>
        <w:pStyle w:val="Heading1"/>
        <w:spacing w:line="240" w:lineRule="auto"/>
      </w:pPr>
      <w:r>
        <w:rPr>
          <w:rFonts w:ascii="Calibri" w:hAnsi="Calibri"/>
          <w:sz w:val="28"/>
        </w:rPr>
        <w:t>li</w:t>
      </w:r>
    </w:p>
    <w:p>
      <w:pPr>
        <w:spacing w:line="240" w:lineRule="auto"/>
      </w:pPr>
      <w:r>
        <w:rPr>
          <w:rFonts w:ascii="Calibri" w:hAnsi="Calibri"/>
          <w:sz w:val="28"/>
        </w:rPr>
        <w:t>Ro‘yxatning alohida bandi bo‘lib, ul yoki ol tarkibida keladi.</w:t>
      </w:r>
    </w:p>
    <w:p>
      <w:pPr>
        <w:pStyle w:val="Heading1"/>
        <w:spacing w:line="240" w:lineRule="auto"/>
      </w:pPr>
      <w:r>
        <w:rPr>
          <w:rFonts w:ascii="Calibri" w:hAnsi="Calibri"/>
          <w:sz w:val="28"/>
        </w:rPr>
        <w:t>Ichki ro‘yxat</w:t>
      </w:r>
    </w:p>
    <w:p>
      <w:pPr>
        <w:spacing w:line="240" w:lineRule="auto"/>
      </w:pPr>
      <w:r>
        <w:rPr>
          <w:rFonts w:ascii="Calibri" w:hAnsi="Calibri"/>
          <w:sz w:val="28"/>
        </w:rPr>
        <w:t>Boshqa ro‘yxat bandining ichiga joylashtiriladi va iyerarxiyani ko‘rsatadi.</w:t>
      </w:r>
    </w:p>
    <w:p>
      <w:pPr>
        <w:pStyle w:val="Heading1"/>
        <w:spacing w:line="240" w:lineRule="auto"/>
      </w:pPr>
      <w:r>
        <w:rPr>
          <w:rFonts w:ascii="Calibri" w:hAnsi="Calibri"/>
          <w:sz w:val="28"/>
        </w:rPr>
        <w:t>Ro‘yxat semantikasi</w:t>
      </w:r>
    </w:p>
    <w:p>
      <w:pPr>
        <w:spacing w:line="240" w:lineRule="auto"/>
      </w:pPr>
      <w:r>
        <w:rPr>
          <w:rFonts w:ascii="Calibri" w:hAnsi="Calibri"/>
          <w:sz w:val="28"/>
        </w:rPr>
        <w:t>Kontentni yordamchi texnologiyalarda ham bandlar sifatida anglashga yordam beradi.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&lt;h2&gt;Kurs yo‘li&lt;/h2&gt;</w:t>
        <w:br/>
        <w:t>&lt;ol&gt;&lt;li&gt;HTML&lt;ul&gt;&lt;li&gt;Teglar&lt;/li&gt;&lt;li&gt;Formalar&lt;/li&gt;&lt;/ul&gt;&lt;/li&gt;&lt;li&gt;CSS&lt;/li&gt;&lt;li&gt;JavaScript&lt;/li&gt;&lt;/ol&gt;</w:t>
      </w:r>
    </w:p>
    <w:p>
      <w:pPr>
        <w:pStyle w:val="Heading1"/>
        <w:spacing w:line="240" w:lineRule="auto"/>
      </w:pPr>
      <w:r>
        <w:rPr>
          <w:rFonts w:ascii="Calibri" w:hAnsi="Calibri"/>
          <w:sz w:val="28"/>
        </w:rPr>
        <w:t>Kutiladigan natija</w:t>
      </w:r>
    </w:p>
    <w:p>
      <w:pPr>
        <w:spacing w:line="240" w:lineRule="auto"/>
      </w:pPr>
      <w:r>
        <w:rPr>
          <w:rFonts w:ascii="Calibri" w:hAnsi="Calibri"/>
          <w:sz w:val="28"/>
        </w:rPr>
        <w:t>Namuna HTML teg va atributlari asosida ko‘rinadi. Topshiriqdagi mazmun, teglar tartibi va tegishli brauzer amalini tekshiring; CSS yoki JavaScript qo‘shish talab qilinmaydi.</w:t>
      </w:r>
    </w:p>
    <w:p>
      <w:pPr>
        <w:pStyle w:val="Heading1"/>
        <w:spacing w:line="240" w:lineRule="auto"/>
      </w:pPr>
      <w:r>
        <w:rPr>
          <w:rFonts w:ascii="Calibri" w:hAnsi="Calibri"/>
          <w:sz w:val="28"/>
        </w:rPr>
        <w:t>Mustaqil topshiriq</w:t>
      </w:r>
    </w:p>
    <w:p>
      <w:pPr>
        <w:spacing w:line="240" w:lineRule="auto"/>
      </w:pPr>
      <w:r>
        <w:rPr>
          <w:rFonts w:ascii="Calibri" w:hAnsi="Calibri"/>
          <w:sz w:val="28"/>
        </w:rPr>
        <w:t>Kurs bo‘limlari va ularning ikki mavzusini ichma-ich ro‘yxatga joylang.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Ichki ulni oldingi li bilan bog‘lamasdan tashqariga chiqarib qo‘ymang.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ul</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Tartibning o‘zi muhim bo‘lmagan ro‘yxatni ifodalaydi.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ol</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Qadamlar yoki reyting kabi tartib ma’noli bo‘lgan ro‘yxatni ifodalaydi.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li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Ro‘yxatning alohida bandi bo‘lib, ul yoki ol tarkibida keladi.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Ichki ro‘yxat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Boshqa ro‘yxat bandining ichiga joylashtiriladi va iyerarxiyani ko‘rsatadi.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Ro‘yxat semantikasi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Kontentni yordamchi texnologiyalarda ham bandlar sifatida anglashga yordam beradi.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Tartibli va tartibsiz ro‘yxatlar, ichma-ich ro‘yxatlar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