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Birlamchi nomzod va tashqi kalitlar</w:t>
      </w:r>
    </w:p>
    <w:p>
      <w:r>
        <w:t>7 modul  |  5 mavzu  |  2 soat  |  Nazariy</w:t>
      </w:r>
    </w:p>
    <w:p>
      <w:r>
        <w:t>Ubaydullayev Abdukarim  |  Namangan shahar 3 sonli texnikum</w:t>
        <w:br/>
        <w:t>3 IT  |  2026/2027</w:t>
      </w:r>
    </w:p>
    <w:p>
      <w:pPr>
        <w:pStyle w:val="Heading1"/>
      </w:pPr>
      <w:r>
        <w:t>Dars maqsadi</w:t>
      </w:r>
    </w:p>
    <w:p>
      <w:r>
        <w:t>Primary key va Nomzod kalit vazifalarini izohlaydi; UNIQUE qo‘llanishini misolda ajratadi.</w:t>
      </w:r>
    </w:p>
    <w:p>
      <w:pPr>
        <w:pStyle w:val="Heading2"/>
      </w:pPr>
      <w:r>
        <w:t>Tayanch bilimlar</w:t>
      </w:r>
    </w:p>
    <w:p>
      <w:r>
        <w:t>7-modulning 1–4-mavzulari. Yangi tushunchalar ushbu darsda izohlanadi.</w:t>
      </w:r>
    </w:p>
    <w:p>
      <w:pPr>
        <w:pStyle w:val="Heading1"/>
      </w:pPr>
      <w:r>
        <w:t>Mavzuning mazmuni</w:t>
      </w:r>
    </w:p>
    <w:p>
      <w:r>
        <w:t>Bazani qurishdan avval nimani saqlash va qanday qoida bilan bog‘lash aniqlanadi. Ushbu modulda texnikum kutubxonasi izchil misol bo‘ladi. Kitob, a’zo va kitob berish hodisasini ajratish keyingi SQL so‘rovlarini tushunishga tayanch beradi.</w:t>
      </w:r>
    </w:p>
    <w:p>
      <w:pPr>
        <w:pStyle w:val="Heading2"/>
      </w:pPr>
      <w:r>
        <w:t>Primary key</w:t>
      </w:r>
    </w:p>
    <w:p>
      <w:r>
        <w:t>Satrni bir ma’noli aniqlaydi va NULL bo‘la olmaydi. Faqat ismga tayanish bir xil ismli ikki a’zoni adashtirishi mumkin.</w:t>
      </w:r>
    </w:p>
    <w:p>
      <w:pPr>
        <w:pStyle w:val="Heading2"/>
      </w:pPr>
      <w:r>
        <w:t>Nomzod kalit</w:t>
      </w:r>
    </w:p>
    <w:p>
      <w:r>
        <w:t>Yozuvni yagona ajratishga yaroqli minimal atribut yoki atributlar to‘plami. Ulardan biri primary key qilib tanlanadi.</w:t>
      </w:r>
    </w:p>
    <w:p>
      <w:pPr>
        <w:pStyle w:val="Heading2"/>
      </w:pPr>
      <w:r>
        <w:t>UNIQUE</w:t>
      </w:r>
    </w:p>
    <w:p>
      <w:r>
        <w:t>Takrorlanmas qiymatga talab beradi. NULL bilan ishlashi MBBT qoidalariga bog‘liq, shu sabab kerak bo‘lsa NOT NULL bilan birga belgilanadi.</w:t>
      </w:r>
    </w:p>
    <w:p>
      <w:pPr>
        <w:pStyle w:val="Heading2"/>
      </w:pPr>
      <w:r>
        <w:t>Foreign key</w:t>
      </w:r>
    </w:p>
    <w:p>
      <w:r>
        <w:t>Bir jadval qiymatini boshqa jadval kalitiga bog‘laydi. Bola jadvaldagi son oddiy yozuv emas, bog‘lanish qoidasining bir qismidir.</w:t>
      </w:r>
    </w:p>
    <w:p>
      <w:pPr>
        <w:pStyle w:val="Heading2"/>
      </w:pPr>
      <w:r>
        <w:t>Sun’iy kalit</w:t>
      </w:r>
    </w:p>
    <w:p>
      <w:r>
        <w:t>Ma’nodan mustaqil id. Ism yoki guruh nomi o‘zgarganda identifikatorni o‘zgartirishga majbur qilmaydi, ammo biznes noyobligi alohida cheklanishi mumkin.</w:t>
      </w:r>
    </w:p>
    <w:p>
      <w:pPr>
        <w:pStyle w:val="Heading1"/>
      </w:pPr>
      <w:r>
        <w:t>Namuna va bajarish muhiti</w:t>
      </w:r>
    </w:p>
    <w:p>
      <w:r>
        <w:t>Bu model yoki tahlil topshirig‘i. Sxema va yozma hisobot tuzing; matnni SQL sifatida bajarish talab etilmaydi.</w:t>
      </w:r>
    </w:p>
    <w:p>
      <w:pPr>
        <w:spacing w:after="0"/>
      </w:pPr>
      <w:r>
        <w:t>members.id ← loans.member_id</w:t>
      </w:r>
    </w:p>
    <w:p>
      <w:pPr>
        <w:spacing w:after="0"/>
      </w:pPr>
      <w:r>
        <w:t>books.id ← loans.book_id</w:t>
      </w:r>
    </w:p>
    <w:p>
      <w:pPr>
        <w:spacing w:after="0"/>
      </w:pPr>
      <w:r>
        <w:t>members.card_no — takrorlanmas a’zolik kodi</w:t>
      </w:r>
    </w:p>
    <w:p>
      <w:pPr>
        <w:pStyle w:val="Heading2"/>
      </w:pPr>
      <w:r>
        <w:t>Kutiladigan natija</w:t>
      </w:r>
    </w:p>
    <w:p>
      <w:r>
        <w:t>Kitob berish yozuvi a’zo va kitob kalitlariga bog‘lanadi.</w:t>
      </w:r>
    </w:p>
    <w:p>
      <w:pPr>
        <w:pStyle w:val="Heading2"/>
      </w:pPr>
      <w:r>
        <w:t>Xatoni tushunish</w:t>
      </w:r>
    </w:p>
    <w:p>
      <w:r>
        <w:t>Foreign key son yozish bilan emas, bazada tegishli cheklovni e’lon qilish bilan himoyalanadi.</w:t>
      </w:r>
    </w:p>
    <w:p>
      <w:pPr>
        <w:pStyle w:val="Heading1"/>
      </w:pPr>
      <w:r>
        <w:t>Mustahkamlash</w:t>
      </w:r>
    </w:p>
    <w:p>
      <w:r>
        <w:t>Asosiy tushunchalarni misol bilan izohlang. Namunaning kirish va natijasini ajrating; mustaqil vazifa keyingi amaliy darsda beriladi.</w:t>
      </w:r>
    </w:p>
    <w:p>
      <w:pPr>
        <w:pStyle w:val="Heading2"/>
      </w:pPr>
      <w:r>
        <w:t>Tekshirish mezonlari</w:t>
      </w:r>
    </w:p>
    <w:p>
      <w:pPr>
        <w:pStyle w:val="ListBullet"/>
      </w:pPr>
      <w:r>
        <w:t>Primary key vazifasi misol bilan tushuntirilgan.</w:t>
      </w:r>
    </w:p>
    <w:p>
      <w:pPr>
        <w:pStyle w:val="ListBullet"/>
      </w:pPr>
      <w:r>
        <w:t>Namuna muhiti va natijasi to‘g‘ri ajratilgan.</w:t>
      </w:r>
    </w:p>
    <w:p>
      <w:pPr>
        <w:pStyle w:val="ListBullet"/>
      </w:pPr>
      <w:r>
        <w:t>Tegishli xato yoki chegaraviy holat tekshirilgan.</w:t>
      </w:r>
    </w:p>
    <w:p>
      <w:pPr>
        <w:pStyle w:val="ListBullet"/>
      </w:pPr>
      <w:r>
        <w:t>Natija va xulosa yozilgan.</w:t>
      </w:r>
    </w:p>
    <w:p>
      <w:pPr>
        <w:pStyle w:val="Heading1"/>
      </w:pPr>
      <w:r>
        <w:t>Atamalar</w:t>
      </w:r>
    </w:p>
    <w:p>
      <w:r>
        <w:t>Primary key — Satrni bir ma’noli aniqlaydi va NULL bo‘la olmaydi.</w:t>
      </w:r>
    </w:p>
    <w:p>
      <w:r>
        <w:t>Nomzod kalit — Yozuvni yagona ajratishga yaroqli minimal atribut yoki atributlar to‘plami.</w:t>
      </w:r>
    </w:p>
    <w:p>
      <w:r>
        <w:t>UNIQUE — Takrorlanmas qiymatga talab beradi.</w:t>
      </w:r>
    </w:p>
    <w:p>
      <w:r>
        <w:t>Foreign key — Bir jadval qiymatini boshqa jadval kalitiga bog‘laydi.</w:t>
      </w:r>
    </w:p>
    <w:p>
      <w:r>
        <w:t>Sun’iy kalit — Ma’nodan mustaqil id.</w:t>
      </w:r>
    </w:p>
    <w:p>
      <w:pPr>
        <w:pStyle w:val="Heading1"/>
      </w:pPr>
      <w:r>
        <w:t>Manbalar</w:t>
      </w:r>
    </w:p>
    <w:p>
      <w:hyperlink r:id="rId10">
        <w:r>
          <w:t>PostgreSQL asoslari</w:t>
        </w:r>
      </w:hyperlink>
      <w:r>
        <w:t xml:space="preserve"> · </w:t>
      </w:r>
      <w:hyperlink r:id="rId11">
        <w:r>
          <w:t>SQLite tushunchalari</w:t>
        </w:r>
      </w:hyperlink>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Web Ta’lim  |  7 modul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4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20" w:after="6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6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8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8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8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8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8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8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8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60" w:line="240" w:lineRule="auto" w:before="12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8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8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8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8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8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8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8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8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8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8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8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8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8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80"/>
      <w:contextualSpacing/>
    </w:pPr>
    <w:rPr>
      <w:rFonts w:ascii="Calibri" w:hAnsi="Calibri"/>
      <w:color w:val="000000"/>
      <w:sz w:val="28"/>
    </w:rPr>
  </w:style>
  <w:style w:type="paragraph" w:styleId="ListContinue">
    <w:name w:val="List Continue"/>
    <w:basedOn w:val="Normal"/>
    <w:uiPriority w:val="99"/>
    <w:unhideWhenUsed/>
    <w:rsid w:val="0029639D"/>
    <w:pPr>
      <w:spacing w:after="8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8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8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8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8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8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8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8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postgresql.org/docs/18/tutorial.html" TargetMode="External"/><Relationship Id="rId11" Type="http://schemas.openxmlformats.org/officeDocument/2006/relationships/hyperlink" Target="https://sqlite.org/whentous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