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Birlamchi nomzod va tashqi kalitlar</w:t>
      </w:r>
    </w:p>
    <w:p>
      <w:r>
        <w:t>7 modul  |  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Birlamchi nomzod va tashqi kalitlar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5-mavzudagi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Primary key</w:t>
      </w:r>
    </w:p>
    <w:p>
      <w:r>
        <w:t>Satrni bir ma’noli aniqlaydi va NULL bo‘la olmaydi. Faqat ismga tayanish bir xil ismli ikki a’zoni adashtirishi mumkin.</w:t>
      </w:r>
    </w:p>
    <w:p>
      <w:pPr>
        <w:pStyle w:val="Heading2"/>
      </w:pPr>
      <w:r>
        <w:t>Nomzod kalit</w:t>
      </w:r>
    </w:p>
    <w:p>
      <w:r>
        <w:t>Yozuvni yagona ajratishga yaroqli minimal atribut yoki atributlar to‘plami. Ulardan biri primary key qilib tanlanadi.</w:t>
      </w:r>
    </w:p>
    <w:p>
      <w:pPr>
        <w:pStyle w:val="Heading2"/>
      </w:pPr>
      <w:r>
        <w:t>UNIQUE</w:t>
      </w:r>
    </w:p>
    <w:p>
      <w:r>
        <w:t>Takrorlanmas qiymatga talab beradi. NULL bilan ishlashi MBBT qoidalariga bog‘liq, shu sabab kerak bo‘lsa NOT NULL bilan birga belgilanadi.</w:t>
      </w:r>
    </w:p>
    <w:p>
      <w:pPr>
        <w:pStyle w:val="Heading2"/>
      </w:pPr>
      <w:r>
        <w:t>Foreign key</w:t>
      </w:r>
    </w:p>
    <w:p>
      <w:r>
        <w:t>Bir jadval qiymatini boshqa jadval kalitiga bog‘laydi. Bola jadvaldagi son oddiy yozuv emas, bog‘lanish qoidasining bir qismidir.</w:t>
      </w:r>
    </w:p>
    <w:p>
      <w:pPr>
        <w:pStyle w:val="Heading2"/>
      </w:pPr>
      <w:r>
        <w:t>Sun’iy kalit</w:t>
      </w:r>
    </w:p>
    <w:p>
      <w:r>
        <w:t>Ma’nodan mustaqil id. Ism yoki guruh nomi o‘zgarganda identifikatorni o‘zgartirishga majbur qilmaydi, ammo biznes noyobligi alohida cheklanishi mumkin.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members.id ← loans.member_id</w:t>
      </w:r>
    </w:p>
    <w:p>
      <w:pPr>
        <w:spacing w:after="0"/>
      </w:pPr>
      <w:r>
        <w:t>books.id ← loans.book_id</w:t>
      </w:r>
    </w:p>
    <w:p>
      <w:pPr>
        <w:spacing w:after="0"/>
      </w:pPr>
      <w:r>
        <w:t>members.card_no — takrorlanmas a’zolik kodi</w:t>
      </w:r>
    </w:p>
    <w:p>
      <w:pPr>
        <w:pStyle w:val="Heading2"/>
      </w:pPr>
      <w:r>
        <w:t>Kutiladigan natija</w:t>
      </w:r>
    </w:p>
    <w:p>
      <w:r>
        <w:t>Kitob berish yozuvi a’zo va kitob kalitlariga bog‘lanadi.</w:t>
      </w:r>
    </w:p>
    <w:p>
      <w:pPr>
        <w:pStyle w:val="Heading2"/>
      </w:pPr>
      <w:r>
        <w:t>Xatoni tushunish</w:t>
      </w:r>
    </w:p>
    <w:p>
      <w:r>
        <w:t>Foreign key son yozish bilan emas, bazada tegishli cheklovni e’lon qilish bilan himoyalanadi.</w:t>
      </w:r>
    </w:p>
    <w:p>
      <w:pPr>
        <w:pStyle w:val="Heading1"/>
      </w:pPr>
      <w:r>
        <w:t>Amaliy ish</w:t>
      </w:r>
    </w:p>
    <w:p>
      <w:r>
        <w:t>Members, books va loans kalitlarini belgilang. Ikki a’zoning ismi bir xil bo‘lganda yozuvlar nega aralashmasligini ko‘rsating.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Primary key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Primary key — Satrni bir ma’noli aniqlaydi va NULL bo‘la olmaydi.</w:t>
      </w:r>
    </w:p>
    <w:p>
      <w:r>
        <w:t>Nomzod kalit — Yozuvni yagona ajratishga yaroqli minimal atribut yoki atributlar to‘plami.</w:t>
      </w:r>
    </w:p>
    <w:p>
      <w:r>
        <w:t>UNIQUE — Takrorlanmas qiymatga talab beradi.</w:t>
      </w:r>
    </w:p>
    <w:p>
      <w:r>
        <w:t>Foreign key — Bir jadval qiymatini boshqa jadval kalitiga bog‘laydi.</w:t>
      </w:r>
    </w:p>
    <w:p>
      <w:r>
        <w:t>Sun’iy kalit — Ma’nodan mustaqil id.</w:t>
      </w:r>
    </w:p>
    <w:p>
      <w:pPr>
        <w:pStyle w:val="Heading1"/>
      </w:pPr>
      <w:r>
        <w:t>Manbalar</w:t>
      </w:r>
    </w:p>
    <w:p>
      <w:hyperlink r:id="rId10">
        <w:r>
          <w:t>PostgreSQL asoslari</w:t>
        </w:r>
      </w:hyperlink>
      <w:r>
        <w:t xml:space="preserve"> · </w:t>
      </w:r>
      <w:hyperlink r:id="rId11">
        <w:r>
          <w:t>SQLite tushunchalari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sqlite.org/whentou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