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Tranzaksiya ACID COMMIT va ROLLBACK</w:t>
      </w:r>
    </w:p>
    <w:p>
      <w:r>
        <w:t>7 modul  |  43 mavzu  |  2 soat  |  Nazariy</w:t>
      </w:r>
    </w:p>
    <w:p>
      <w:r>
        <w:t>Ubaydullayev Abdukarim  |  Namangan shahar 3 sonli texnikum</w:t>
        <w:br/>
        <w:t>3 IT  |  2026/2027</w:t>
      </w:r>
    </w:p>
    <w:p>
      <w:pPr>
        <w:pStyle w:val="Heading1"/>
      </w:pPr>
      <w:r>
        <w:t>Dars maqsadi</w:t>
      </w:r>
    </w:p>
    <w:p>
      <w:r>
        <w:t>Atomiklik va Izchillik vazifalarini izohlaydi; Izolyatsiya qo‘llanishini misolda ajratadi.</w:t>
      </w:r>
    </w:p>
    <w:p>
      <w:pPr>
        <w:pStyle w:val="Heading2"/>
      </w:pPr>
      <w:r>
        <w:t>Tayanch bilimlar</w:t>
      </w:r>
    </w:p>
    <w:p>
      <w:r>
        <w:t>7-modulning 1–42-mavzulari. Yangi tushunchalar ushbu darsda izohlanadi.</w:t>
      </w:r>
    </w:p>
    <w:p>
      <w:pPr>
        <w:pStyle w:val="Heading1"/>
      </w:pPr>
      <w:r>
        <w:t>Mavzuning mazmuni</w:t>
      </w:r>
    </w:p>
    <w:p>
      <w:r>
        <w:t>To‘g‘ri so‘rov bilan birga ma’lumot holatining izchilligi va bajarish xarajati ham muhim. Tranzaksiya o‘zgarish chegarasini, indeks bajarish rejasini, migratsiya esa sxema o‘sishini boshqaradi. Barcha tajribalar demo bazada bajariladi.</w:t>
      </w:r>
    </w:p>
    <w:p>
      <w:pPr>
        <w:pStyle w:val="Heading2"/>
      </w:pPr>
      <w:r>
        <w:t>Atomiklik</w:t>
      </w:r>
    </w:p>
    <w:p>
      <w:r>
        <w:t>Bir biznes amalining barcha o‘zgarishi birgalikda tasdiqlanadi yoki bekor qilinadi. Kitob qoldig‘i va berish yozuvi yarim holatda qolmasligi kerak.</w:t>
      </w:r>
    </w:p>
    <w:p>
      <w:pPr>
        <w:pStyle w:val="Heading2"/>
      </w:pPr>
      <w:r>
        <w:t>Izchillik</w:t>
      </w:r>
    </w:p>
    <w:p>
      <w:r>
        <w:t>Tranzaksiya belgilangan cheklov va biznes qoidalariga mos holatni saqlashi kerak. Tranzaksiya noto‘g‘ri yozilgan biznes qoidani o‘zi tuzatmaydi.</w:t>
      </w:r>
    </w:p>
    <w:p>
      <w:pPr>
        <w:pStyle w:val="Heading2"/>
      </w:pPr>
      <w:r>
        <w:t>Izolyatsiya</w:t>
      </w:r>
    </w:p>
    <w:p>
      <w:r>
        <w:t>Bir vaqtda bajarilayotgan tranzaksiyalar bir-birining oraliq holatini qanchalik ko‘rishini belgilaydi. MBBT va isolation darajasiga bog‘liq.</w:t>
      </w:r>
    </w:p>
    <w:p>
      <w:pPr>
        <w:pStyle w:val="Heading2"/>
      </w:pPr>
      <w:r>
        <w:t>Doimiylik</w:t>
      </w:r>
    </w:p>
    <w:p>
      <w:r>
        <w:t>Tasdiqlangan o‘zgarishning saqlanish xususiyati. Disk, jurnal va sozlama siyosati ham ahamiyatli; elektr uzilishiga oid kafolatlar sozlamaga qarab baholanadi.</w:t>
      </w:r>
    </w:p>
    <w:p>
      <w:pPr>
        <w:pStyle w:val="Heading2"/>
      </w:pPr>
      <w:r>
        <w:t>COMMIT va ROLLBACK</w:t>
      </w:r>
    </w:p>
    <w:p>
      <w:r>
        <w:t>Birinchisi joriy tranzaksiyani tasdiqlaydi, ikkinchisi uning o‘zgarishini bekor qiladi. Avval tasdiqlangan boshqa amallar avtomatik qaytmaydi.</w:t>
      </w:r>
    </w:p>
    <w:p>
      <w:pPr>
        <w:pStyle w:val="Heading1"/>
      </w:pPr>
      <w:r>
        <w:t>Namuna va bajarish muhiti</w:t>
      </w:r>
    </w:p>
    <w:p>
      <w:r>
        <w:t>SQLni platformadagi SQLite muharririda bajaring. Har Run yangi demo bazadan boshlanadi; oldingi Run o‘zgarishlari avtomatik qolmaydi. Matn kodi shu brauzerda saqlanadi.</w:t>
      </w:r>
    </w:p>
    <w:p>
      <w:pPr>
        <w:spacing w:after="0"/>
      </w:pPr>
      <w:r>
        <w:t>BEGIN;</w:t>
      </w:r>
    </w:p>
    <w:p>
      <w:pPr>
        <w:spacing w:after="0"/>
      </w:pPr>
      <w:r>
        <w:t>UPDATE books SET stock=stock-1 WHERE id=1 AND stock&gt;0;</w:t>
      </w:r>
    </w:p>
    <w:p>
      <w:pPr>
        <w:spacing w:after="0"/>
      </w:pPr>
      <w:r>
        <w:t>SELECT stock FROM books WHERE id=1;</w:t>
      </w:r>
    </w:p>
    <w:p>
      <w:pPr>
        <w:spacing w:after="0"/>
      </w:pPr>
      <w:r>
        <w:t>ROLLBACK;</w:t>
      </w:r>
    </w:p>
    <w:p>
      <w:pPr>
        <w:spacing w:after="0"/>
      </w:pPr>
      <w:r>
        <w:t>SELECT stock FROM books WHERE id=1;</w:t>
      </w:r>
    </w:p>
    <w:p>
      <w:pPr>
        <w:pStyle w:val="Heading2"/>
      </w:pPr>
      <w:r>
        <w:t>Kutiladigan natija</w:t>
      </w:r>
    </w:p>
    <w:p>
      <w:r>
        <w:t>Tranzaksiya ichida stock 2, ROLLBACKdan keyin 3 chiqadi.</w:t>
      </w:r>
    </w:p>
    <w:p>
      <w:pPr>
        <w:pStyle w:val="Heading2"/>
      </w:pPr>
      <w:r>
        <w:t>Xatoni tushunish</w:t>
      </w:r>
    </w:p>
    <w:p>
      <w:r>
        <w:t>Xatoni ushlab turib baribir COMMIT qilish yarim bajarilgan holatni saqlashi mumkin.</w:t>
      </w:r>
    </w:p>
    <w:p>
      <w:pPr>
        <w:pStyle w:val="Heading1"/>
      </w:pPr>
      <w:r>
        <w:t>Mustahkamlash</w:t>
      </w:r>
    </w:p>
    <w:p>
      <w:r>
        <w:t>Asosiy tushunchalarni misol bilan izohlang. Namunaning kirish va natijasini ajrating; mustaqil vazifa keyingi amaliy darsda beriladi.</w:t>
      </w:r>
    </w:p>
    <w:p>
      <w:pPr>
        <w:pStyle w:val="Heading2"/>
      </w:pPr>
      <w:r>
        <w:t>Tekshirish mezonlari</w:t>
      </w:r>
    </w:p>
    <w:p>
      <w:pPr>
        <w:pStyle w:val="ListBullet"/>
      </w:pPr>
      <w:r>
        <w:t>Atomiklik vazifasi misol bilan tushuntirilgan.</w:t>
      </w:r>
    </w:p>
    <w:p>
      <w:pPr>
        <w:pStyle w:val="ListBullet"/>
      </w:pPr>
      <w:r>
        <w:t>Namuna muhiti va natijasi to‘g‘ri ajratilgan.</w:t>
      </w:r>
    </w:p>
    <w:p>
      <w:pPr>
        <w:pStyle w:val="ListBullet"/>
      </w:pPr>
      <w:r>
        <w:t>Tegishli xato yoki chegaraviy holat tekshirilgan.</w:t>
      </w:r>
    </w:p>
    <w:p>
      <w:pPr>
        <w:pStyle w:val="ListBullet"/>
      </w:pPr>
      <w:r>
        <w:t>Natija va xulosa yozilgan.</w:t>
      </w:r>
    </w:p>
    <w:p>
      <w:pPr>
        <w:pStyle w:val="Heading1"/>
      </w:pPr>
      <w:r>
        <w:t>Atamalar</w:t>
      </w:r>
    </w:p>
    <w:p>
      <w:r>
        <w:t>Atomiklik — Bir biznes amalining barcha o‘zgarishi birgalikda tasdiqlanadi yoki bekor qilinadi.</w:t>
      </w:r>
    </w:p>
    <w:p>
      <w:r>
        <w:t>Izchillik — Tranzaksiya belgilangan cheklov va biznes qoidalariga mos holatni saqlashi kerak.</w:t>
      </w:r>
    </w:p>
    <w:p>
      <w:r>
        <w:t>Izolyatsiya — Bir vaqtda bajarilayotgan tranzaksiyalar bir-birining oraliq holatini qanchalik ko‘rishini belgilaydi.</w:t>
      </w:r>
    </w:p>
    <w:p>
      <w:r>
        <w:t>Doimiylik — Tasdiqlangan o‘zgarishning saqlanish xususiyati.</w:t>
      </w:r>
    </w:p>
    <w:p>
      <w:r>
        <w:t>COMMIT va ROLLBACK — Birinchisi joriy tranzaksiyani tasdiqlaydi, ikkinchisi uning o‘zgarishini bekor qiladi.</w:t>
      </w:r>
    </w:p>
    <w:p>
      <w:pPr>
        <w:pStyle w:val="Heading1"/>
      </w:pPr>
      <w:r>
        <w:t>Manbalar</w:t>
      </w:r>
    </w:p>
    <w:p>
      <w:hyperlink r:id="rId10">
        <w:r>
          <w:t>SQLite tranzaksiyalar</w:t>
        </w:r>
      </w:hyperlink>
      <w:r>
        <w:t xml:space="preserve"> · </w:t>
      </w:r>
      <w:hyperlink r:id="rId11">
        <w:r>
          <w:t>SQLite so‘rov rejalari</w:t>
        </w:r>
      </w:hyperlink>
    </w:p>
    <w:sectPr w:rsidR="00FC693F" w:rsidRPr="0006063C" w:rsidSect="00034616">
      <w:footerReference w:type="default" r:id="rId9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Web Ta’lim  |  7 modul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40"/>
    </w:pPr>
    <w:rPr>
      <w:rFonts w:ascii="Calibri" w:hAnsi="Calibri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Calibri" w:hAnsi="Calibri"/>
      <w:color w:val="000000"/>
      <w:sz w:val="28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Calibri" w:hAnsi="Calibri"/>
      <w:color w:val="000000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60" w:line="24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 w:line="24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 w:line="24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000000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4"/>
    </w:pPr>
    <w:rPr>
      <w:rFonts w:asciiTheme="majorHAnsi" w:eastAsiaTheme="majorEastAsia" w:hAnsiTheme="majorHAnsi" w:cstheme="majorBidi" w:ascii="Calibri" w:hAnsi="Calibri"/>
      <w:color w:val="000000"/>
      <w:sz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5"/>
    </w:pPr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6"/>
    </w:pPr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7"/>
    </w:pPr>
    <w:rPr>
      <w:rFonts w:asciiTheme="majorHAnsi" w:eastAsiaTheme="majorEastAsia" w:hAnsiTheme="majorHAnsi" w:cstheme="majorBidi" w:ascii="Calibri" w:hAnsi="Calibri"/>
      <w:color w:val="000000"/>
      <w:sz w:val="28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8"/>
    </w:pPr>
    <w:rPr>
      <w:rFonts w:asciiTheme="majorHAnsi" w:eastAsiaTheme="majorEastAsia" w:hAnsiTheme="majorHAnsi" w:cstheme="majorBidi" w:ascii="Calibri" w:hAnsi="Calibri"/>
      <w:i/>
      <w:iCs/>
      <w:color w:val="000000"/>
      <w:sz w:val="28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Calibri" w:hAnsi="Calibri"/>
      <w:color w:val="000000"/>
      <w:sz w:val="28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60" w:line="240" w:lineRule="auto" w:before="120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28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line="240" w:lineRule="auto" w:after="80"/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8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line="240" w:lineRule="auto" w:after="80"/>
      <w:ind w:left="720"/>
      <w:contextualSpacing/>
    </w:pPr>
    <w:rPr>
      <w:rFonts w:ascii="Calibri" w:hAnsi="Calibri"/>
      <w:color w:val="000000"/>
      <w:sz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Calibri" w:hAnsi="Calibri"/>
      <w:color w:val="000000"/>
      <w:sz w:val="28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Calibri" w:hAnsi="Calibri"/>
      <w:color w:val="000000"/>
      <w:sz w:val="28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80" w:line="240" w:lineRule="auto"/>
    </w:pPr>
    <w:rPr>
      <w:rFonts w:ascii="Calibri" w:hAnsi="Calibri"/>
      <w:color w:val="000000"/>
      <w:sz w:val="28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Calibri" w:hAnsi="Calibri"/>
      <w:color w:val="000000"/>
      <w:sz w:val="28"/>
      <w:szCs w:val="16"/>
    </w:rPr>
  </w:style>
  <w:style w:type="paragraph" w:styleId="List">
    <w:name w:val="List"/>
    <w:basedOn w:val="Normal"/>
    <w:uiPriority w:val="99"/>
    <w:unhideWhenUsed/>
    <w:rsid w:val="00AA1D8D"/>
    <w:pPr>
      <w:spacing w:line="240" w:lineRule="auto" w:after="80"/>
      <w:ind w:left="360" w:hanging="360"/>
      <w:contextualSpacing/>
    </w:pPr>
    <w:rPr>
      <w:rFonts w:ascii="Calibri" w:hAnsi="Calibri"/>
      <w:color w:val="000000"/>
      <w:sz w:val="28"/>
    </w:rPr>
  </w:style>
  <w:style w:type="paragraph" w:styleId="List2">
    <w:name w:val="List 2"/>
    <w:basedOn w:val="Normal"/>
    <w:uiPriority w:val="99"/>
    <w:unhideWhenUsed/>
    <w:rsid w:val="00326F90"/>
    <w:pPr>
      <w:spacing w:line="240" w:lineRule="auto" w:after="80"/>
      <w:ind w:left="720" w:hanging="360"/>
      <w:contextualSpacing/>
    </w:pPr>
    <w:rPr>
      <w:rFonts w:ascii="Calibri" w:hAnsi="Calibri"/>
      <w:color w:val="000000"/>
      <w:sz w:val="28"/>
    </w:rPr>
  </w:style>
  <w:style w:type="paragraph" w:styleId="List3">
    <w:name w:val="List 3"/>
    <w:basedOn w:val="Normal"/>
    <w:uiPriority w:val="99"/>
    <w:unhideWhenUsed/>
    <w:rsid w:val="00326F90"/>
    <w:pPr>
      <w:spacing w:line="240" w:lineRule="auto" w:after="80"/>
      <w:ind w:left="1080" w:hanging="360"/>
      <w:contextualSpacing/>
    </w:pPr>
    <w:rPr>
      <w:rFonts w:ascii="Calibri" w:hAnsi="Calibri"/>
      <w:color w:val="000000"/>
      <w:sz w:val="28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Continue">
    <w:name w:val="List Continue"/>
    <w:basedOn w:val="Normal"/>
    <w:uiPriority w:val="99"/>
    <w:unhideWhenUsed/>
    <w:rsid w:val="0029639D"/>
    <w:pPr>
      <w:spacing w:after="80" w:line="240" w:lineRule="auto"/>
      <w:ind w:left="360"/>
      <w:contextualSpacing/>
    </w:pPr>
    <w:rPr>
      <w:rFonts w:ascii="Calibri" w:hAnsi="Calibri"/>
      <w:color w:val="000000"/>
      <w:sz w:val="28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80" w:line="240" w:lineRule="auto"/>
      <w:ind w:left="720"/>
      <w:contextualSpacing/>
    </w:pPr>
    <w:rPr>
      <w:rFonts w:ascii="Calibri" w:hAnsi="Calibri"/>
      <w:color w:val="000000"/>
      <w:sz w:val="28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80" w:line="240" w:lineRule="auto"/>
      <w:ind w:left="1080"/>
      <w:contextualSpacing/>
    </w:pPr>
    <w:rPr>
      <w:rFonts w:ascii="Calibri" w:hAnsi="Calibri"/>
      <w:color w:val="000000"/>
      <w:sz w:val="28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line="240" w:lineRule="auto" w:after="80"/>
    </w:pPr>
    <w:rPr>
      <w:rFonts w:ascii="Calibri" w:hAnsi="Calibri"/>
      <w:color w:val="000000"/>
      <w:sz w:val="28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alibri" w:hAnsi="Calibri"/>
      <w:color w:val="000000"/>
      <w:sz w:val="28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line="240" w:lineRule="auto" w:after="80"/>
    </w:pPr>
    <w:rPr>
      <w:rFonts w:ascii="Calibri" w:hAnsi="Calibri"/>
      <w:i/>
      <w:iCs/>
      <w:color w:val="000000"/>
      <w:sz w:val="28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Calibri" w:hAnsi="Calibri"/>
      <w:i/>
      <w:iCs/>
      <w:color w:val="000000"/>
      <w:sz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Calibri" w:hAnsi="Calibri"/>
      <w:b/>
      <w:bCs/>
      <w:i/>
      <w:iCs/>
      <w:color w:val="000000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Calibri" w:hAnsi="Calibri"/>
      <w:color w:val="000000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Calibri" w:hAnsi="Calibri"/>
      <w:color w:val="000000"/>
      <w:sz w:val="28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80"/>
    </w:pPr>
    <w:rPr>
      <w:rFonts w:ascii="Calibri" w:hAnsi="Calibri"/>
      <w:b/>
      <w:bCs/>
      <w:color w:val="000000"/>
      <w:sz w:val="2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Calibri" w:hAnsi="Calibri"/>
      <w:b/>
      <w:bCs/>
      <w:color w:val="000000"/>
      <w:sz w:val="28"/>
    </w:rPr>
  </w:style>
  <w:style w:type="character" w:styleId="Emphasis">
    <w:name w:val="Emphasis"/>
    <w:basedOn w:val="DefaultParagraphFont"/>
    <w:uiPriority w:val="20"/>
    <w:qFormat/>
    <w:rsid w:val="00FC693F"/>
    <w:rPr>
      <w:rFonts w:ascii="Calibri" w:hAnsi="Calibri"/>
      <w:i/>
      <w:iCs/>
      <w:color w:val="000000"/>
      <w:sz w:val="2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80" w:line="240" w:lineRule="auto"/>
      <w:ind w:left="936" w:right="936"/>
    </w:pPr>
    <w:rPr>
      <w:rFonts w:ascii="Calibri" w:hAnsi="Calibri"/>
      <w:b/>
      <w:bCs/>
      <w:i/>
      <w:iCs/>
      <w:color w:val="000000"/>
      <w:sz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Calibri" w:hAnsi="Calibri"/>
      <w:b/>
      <w:bCs/>
      <w:i/>
      <w:iCs/>
      <w:color w:val="000000"/>
      <w:sz w:val="28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Calibri" w:hAnsi="Calibri"/>
      <w:i/>
      <w:iCs/>
      <w:color w:val="000000"/>
      <w:sz w:val="28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Calibri" w:hAnsi="Calibri"/>
      <w:b/>
      <w:bCs/>
      <w:i/>
      <w:iCs/>
      <w:color w:val="000000"/>
      <w:sz w:val="28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Calibri" w:hAnsi="Calibri"/>
      <w:smallCaps/>
      <w:color w:val="000000"/>
      <w:sz w:val="28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Calibri" w:hAnsi="Calibri"/>
      <w:b/>
      <w:bCs/>
      <w:smallCaps/>
      <w:color w:val="000000"/>
      <w:spacing w:val="5"/>
      <w:sz w:val="28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Calibri" w:hAnsi="Calibri"/>
      <w:b/>
      <w:bCs/>
      <w:smallCaps/>
      <w:color w:val="000000"/>
      <w:spacing w:val="5"/>
      <w:sz w:val="2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spacing w:line="240" w:lineRule="auto" w:after="80"/>
      <w:outlineLvl w:val="9"/>
    </w:pPr>
    <w:rPr>
      <w:rFonts w:ascii="Calibri" w:hAnsi="Calibri"/>
      <w:color w:val="000000"/>
      <w:sz w:val="28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sqlite.org/lang_transaction.html" TargetMode="External"/><Relationship Id="rId11" Type="http://schemas.openxmlformats.org/officeDocument/2006/relationships/hyperlink" Target="https://sqlite.org/eqp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Ubaydullayev Abdukarim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