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PostgreSQL schema identity va qat’iy turlar</w:t>
      </w:r>
    </w:p>
    <w:p>
      <w:r>
        <w:t>7 modul  |  53 mavzu  |  2 soat  |  Nazariy</w:t>
      </w:r>
    </w:p>
    <w:p>
      <w:r>
        <w:t>Ubaydullayev Abdukarim  |  Namangan shahar 3 sonli texnikum</w:t>
        <w:br/>
        <w:t>3 IT  |  2026/2027</w:t>
      </w:r>
    </w:p>
    <w:p>
      <w:pPr>
        <w:pStyle w:val="Heading1"/>
      </w:pPr>
      <w:r>
        <w:t>Dars maqsadi</w:t>
      </w:r>
    </w:p>
    <w:p>
      <w:r>
        <w:t>Schema va Identity vazifalarini izohlaydi; NUMERIC qo‘llanishini misolda ajratadi.</w:t>
      </w:r>
    </w:p>
    <w:p>
      <w:pPr>
        <w:pStyle w:val="Heading2"/>
      </w:pPr>
      <w:r>
        <w:t>Tayanch bilimlar</w:t>
      </w:r>
    </w:p>
    <w:p>
      <w:r>
        <w:t>7-modulning 1–52-mavzulari. Yangi tushunchalar ushbu darsda izohlanadi.</w:t>
      </w:r>
    </w:p>
    <w:p>
      <w:pPr>
        <w:pStyle w:val="Heading1"/>
      </w:pPr>
      <w:r>
        <w:t>Mavzuning mazmuni</w:t>
      </w:r>
    </w:p>
    <w:p>
      <w:r>
        <w:t>PostgreSQL alohida server va mijoz orqali ishlaydi. Oldin o‘tilgan SQL bilimlari saqlanadi, biroq schema, rol, izolyatsiya va backup buyruqlari PostgreSQL muhitida tekshiriladi. SQLite oynasi ularni bajarayotgandek ko‘rsatilmaydi.</w:t>
      </w:r>
    </w:p>
    <w:p>
      <w:pPr>
        <w:pStyle w:val="Heading2"/>
      </w:pPr>
      <w:r>
        <w:t>Schema</w:t>
      </w:r>
    </w:p>
    <w:p>
      <w:r>
        <w:t>Baza ichidagi obyekt nomlari makoni. library.books to‘liq nomi qaysi jadvalga murojaat qilinayotganini aniqlashtiradi.</w:t>
      </w:r>
    </w:p>
    <w:p>
      <w:pPr>
        <w:pStyle w:val="Heading2"/>
      </w:pPr>
      <w:r>
        <w:t>Identity</w:t>
      </w:r>
    </w:p>
    <w:p>
      <w:r>
        <w:t>GENERATED ALWAYS AS IDENTITY server boshqaradigan sonli identifikator beradi. Bu avtomatik UNIQUE yoki primary key qoidasini o‘zi almashtirmaydi.</w:t>
      </w:r>
    </w:p>
    <w:p>
      <w:pPr>
        <w:pStyle w:val="Heading2"/>
      </w:pPr>
      <w:r>
        <w:t>NUMERIC</w:t>
      </w:r>
    </w:p>
    <w:p>
      <w:r>
        <w:t>Belgilangan aniqlikdagi o‘nli qiymat uchun. Narx siyosati scale va yaxlitlash qoidasi bilan birga yoziladi.</w:t>
      </w:r>
    </w:p>
    <w:p>
      <w:pPr>
        <w:pStyle w:val="Heading2"/>
      </w:pPr>
      <w:r>
        <w:t>DATE</w:t>
      </w:r>
    </w:p>
    <w:p>
      <w:r>
        <w:t>Sanani maxsus tipda saqlaydi. TIMESTAMP va TIMESTAMPTZ vaqt bilan ishlashda boshqa ma’noga ega; vaqt mintaqasi talabi tanlanadi.</w:t>
      </w:r>
    </w:p>
    <w:p>
      <w:pPr>
        <w:pStyle w:val="Heading2"/>
      </w:pPr>
      <w:r>
        <w:t>Qat’iy tip</w:t>
      </w:r>
    </w:p>
    <w:p>
      <w:r>
        <w:t>Noto‘g‘ri turdagi qiymat baza tomonidan rad etilishi mumkin. SQLite oddiy jadvalidagi affinity bilan aynan bir xil deb bo‘lmaydi.</w:t>
      </w:r>
    </w:p>
    <w:p>
      <w:pPr>
        <w:pStyle w:val="Heading1"/>
      </w:pPr>
      <w:r>
        <w:t>Namuna va bajarish muhiti</w:t>
      </w:r>
    </w:p>
    <w:p>
      <w:r>
        <w:t>Bu buyruqlar lokal PostgreSQL 18 va psql muhitiga tegishli. Server, demo baza va tegishli huquq kerak; SQLite muharririda bajarilmaydi.</w:t>
      </w:r>
    </w:p>
    <w:p>
      <w:pPr>
        <w:spacing w:after="0"/>
      </w:pPr>
      <w:r>
        <w:t>CREATE SCHEMA library;</w:t>
      </w:r>
    </w:p>
    <w:p>
      <w:pPr>
        <w:spacing w:after="0"/>
      </w:pPr>
      <w:r>
        <w:t>CREATE TABLE library.sample_books(</w:t>
      </w:r>
    </w:p>
    <w:p>
      <w:pPr>
        <w:spacing w:after="0"/>
      </w:pPr>
      <w:r>
        <w:t xml:space="preserve"> id BIGINT GENERATED ALWAYS AS IDENTITY PRIMARY KEY,</w:t>
      </w:r>
    </w:p>
    <w:p>
      <w:pPr>
        <w:spacing w:after="0"/>
      </w:pPr>
      <w:r>
        <w:t xml:space="preserve"> title TEXT NOT NULL,price NUMERIC(12,2) CHECK(price&gt;=0),published_on DATE</w:t>
      </w:r>
    </w:p>
    <w:p>
      <w:pPr>
        <w:spacing w:after="0"/>
      </w:pPr>
      <w:r>
        <w:t>);</w:t>
      </w:r>
    </w:p>
    <w:p>
      <w:pPr>
        <w:pStyle w:val="Heading2"/>
      </w:pPr>
      <w:r>
        <w:t>Kutiladigan natija</w:t>
      </w:r>
    </w:p>
    <w:p>
      <w:r>
        <w:t>PostgreSQLda library.sample_books yaratiladi; buyruqlar vakolatli demo hisobda bajariladi.</w:t>
      </w:r>
    </w:p>
    <w:p>
      <w:pPr>
        <w:pStyle w:val="Heading2"/>
      </w:pPr>
      <w:r>
        <w:t>Xatoni tushunish</w:t>
      </w:r>
    </w:p>
    <w:p>
      <w:r>
        <w:t>PostgreSQL DDLni SQLite muharririda tekshirish uning PostgreSQLda to‘g‘riligini isbotlamaydi.</w:t>
      </w:r>
    </w:p>
    <w:p>
      <w:pPr>
        <w:pStyle w:val="Heading1"/>
      </w:pPr>
      <w:r>
        <w:t>Mustahkamlash</w:t>
      </w:r>
    </w:p>
    <w:p>
      <w:r>
        <w:t>Asosiy tushunchalarni misol bilan izohlang. Namunaning kirish va natijasini ajrating; mustaqil vazifa keyingi amaliy darsda beriladi.</w:t>
      </w:r>
    </w:p>
    <w:p>
      <w:pPr>
        <w:pStyle w:val="Heading2"/>
      </w:pPr>
      <w:r>
        <w:t>Tekshirish mezonlari</w:t>
      </w:r>
    </w:p>
    <w:p>
      <w:pPr>
        <w:pStyle w:val="ListBullet"/>
      </w:pPr>
      <w:r>
        <w:t>Schema vazifasi misol bilan tushuntirilgan.</w:t>
      </w:r>
    </w:p>
    <w:p>
      <w:pPr>
        <w:pStyle w:val="ListBullet"/>
      </w:pPr>
      <w:r>
        <w:t>Namuna muhiti va natijasi to‘g‘ri ajratilgan.</w:t>
      </w:r>
    </w:p>
    <w:p>
      <w:pPr>
        <w:pStyle w:val="ListBullet"/>
      </w:pPr>
      <w:r>
        <w:t>Tegishli xato yoki chegaraviy holat tekshirilgan.</w:t>
      </w:r>
    </w:p>
    <w:p>
      <w:pPr>
        <w:pStyle w:val="ListBullet"/>
      </w:pPr>
      <w:r>
        <w:t>Natija va xulosa yozilgan.</w:t>
      </w:r>
    </w:p>
    <w:p>
      <w:pPr>
        <w:pStyle w:val="Heading1"/>
      </w:pPr>
      <w:r>
        <w:t>Atamalar</w:t>
      </w:r>
    </w:p>
    <w:p>
      <w:r>
        <w:t>Schema — Baza ichidagi obyekt nomlari makoni.</w:t>
      </w:r>
    </w:p>
    <w:p>
      <w:r>
        <w:t>Identity — GENERATED ALWAYS AS IDENTITY server boshqaradigan sonli identifikator beradi.</w:t>
      </w:r>
    </w:p>
    <w:p>
      <w:r>
        <w:t>NUMERIC — Belgilangan aniqlikdagi o‘nli qiymat uchun.</w:t>
      </w:r>
    </w:p>
    <w:p>
      <w:r>
        <w:t>DATE — Sanani maxsus tipda saqlaydi.</w:t>
      </w:r>
    </w:p>
    <w:p>
      <w:r>
        <w:t>Qat’iy tip — Noto‘g‘ri turdagi qiymat baza tomonidan rad etilishi mumkin.</w:t>
      </w:r>
    </w:p>
    <w:p>
      <w:pPr>
        <w:pStyle w:val="Heading1"/>
      </w:pPr>
      <w:r>
        <w:t>Manbalar</w:t>
      </w:r>
    </w:p>
    <w:p>
      <w:hyperlink r:id="rId10">
        <w:r>
          <w:t>PostgreSQL 18 qo‘llanmasi</w:t>
        </w:r>
      </w:hyperlink>
      <w:r>
        <w:t xml:space="preserve"> · </w:t>
      </w:r>
      <w:hyperlink r:id="rId11">
        <w:r>
          <w:t>PostgreSQL backup</w:t>
        </w:r>
      </w:hyperlink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 xml:space="preserve">Web Ta’lim  |  7 modul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40" w:lineRule="auto" w:after="40"/>
    </w:pPr>
    <w:rPr>
      <w:rFonts w:ascii="Calibri" w:hAnsi="Calibri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rFonts w:ascii="Calibri" w:hAnsi="Calibri"/>
      <w:color w:val="000000"/>
      <w:sz w:val="28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rFonts w:ascii="Calibri" w:hAnsi="Calibri"/>
      <w:color w:val="000000"/>
      <w:sz w:val="28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 w:line="240" w:lineRule="auto"/>
      <w:outlineLvl w:val="0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 w:line="240" w:lineRule="auto"/>
      <w:outlineLvl w:val="1"/>
    </w:pPr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 w:line="240" w:lineRule="auto"/>
      <w:outlineLvl w:val="2"/>
    </w:pPr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4"/>
    </w:pPr>
    <w:rPr>
      <w:rFonts w:asciiTheme="majorHAnsi" w:eastAsiaTheme="majorEastAsia" w:hAnsiTheme="majorHAnsi" w:cstheme="majorBidi" w:ascii="Calibri" w:hAnsi="Calibri"/>
      <w:color w:val="000000"/>
      <w:sz w:val="28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5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6"/>
    </w:pPr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7"/>
    </w:pPr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80" w:line="240" w:lineRule="auto"/>
      <w:outlineLvl w:val="8"/>
    </w:pPr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character" w:default="1" w:styleId="DefaultParagraphFont">
    <w:name w:val="Default Paragraph Font"/>
    <w:uiPriority w:val="1"/>
    <w:semiHidden/>
    <w:unhideWhenUsed/>
    <w:rPr>
      <w:rFonts w:ascii="Calibri" w:hAnsi="Calibri"/>
      <w:color w:val="000000"/>
      <w:sz w:val="28"/>
    </w:rPr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 w:ascii="Calibri" w:hAnsi="Calibri"/>
      <w:b/>
      <w:bCs/>
      <w:color w:val="000000"/>
      <w:sz w:val="28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60" w:line="240" w:lineRule="auto" w:before="120"/>
      <w:contextualSpacing/>
    </w:pPr>
    <w:rPr>
      <w:rFonts w:asciiTheme="majorHAnsi" w:eastAsiaTheme="majorEastAsia" w:hAnsiTheme="majorHAnsi" w:cstheme="majorBidi" w:ascii="Calibri" w:hAnsi="Calibri"/>
      <w:b/>
      <w:color w:val="000000"/>
      <w:spacing w:val="5"/>
      <w:kern w:val="28"/>
      <w:sz w:val="2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 w:ascii="Calibri" w:hAnsi="Calibri"/>
      <w:color w:val="000000"/>
      <w:spacing w:val="5"/>
      <w:kern w:val="28"/>
      <w:sz w:val="28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line="240" w:lineRule="auto" w:after="80"/>
    </w:pPr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 w:ascii="Calibri" w:hAnsi="Calibri"/>
      <w:i/>
      <w:iCs/>
      <w:color w:val="000000"/>
      <w:spacing w:val="15"/>
      <w:sz w:val="28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line="240" w:lineRule="auto" w:after="80"/>
      <w:ind w:left="720"/>
      <w:contextualSpacing/>
    </w:pPr>
    <w:rPr>
      <w:rFonts w:ascii="Calibri" w:hAnsi="Calibri"/>
      <w:color w:val="000000"/>
      <w:sz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rFonts w:ascii="Calibri" w:hAnsi="Calibri"/>
      <w:color w:val="000000"/>
      <w:sz w:val="28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rFonts w:ascii="Calibri" w:hAnsi="Calibri"/>
      <w:color w:val="000000"/>
      <w:sz w:val="28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80" w:line="240" w:lineRule="auto"/>
    </w:pPr>
    <w:rPr>
      <w:rFonts w:ascii="Calibri" w:hAnsi="Calibri"/>
      <w:color w:val="000000"/>
      <w:sz w:val="28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rFonts w:ascii="Calibri" w:hAnsi="Calibri"/>
      <w:color w:val="000000"/>
      <w:sz w:val="28"/>
      <w:szCs w:val="16"/>
    </w:rPr>
  </w:style>
  <w:style w:type="paragraph" w:styleId="List">
    <w:name w:val="List"/>
    <w:basedOn w:val="Normal"/>
    <w:uiPriority w:val="99"/>
    <w:unhideWhenUsed/>
    <w:rsid w:val="00AA1D8D"/>
    <w:pPr>
      <w:spacing w:line="240" w:lineRule="auto" w:after="80"/>
      <w:ind w:left="360" w:hanging="360"/>
      <w:contextualSpacing/>
    </w:pPr>
    <w:rPr>
      <w:rFonts w:ascii="Calibri" w:hAnsi="Calibri"/>
      <w:color w:val="000000"/>
      <w:sz w:val="28"/>
    </w:rPr>
  </w:style>
  <w:style w:type="paragraph" w:styleId="List2">
    <w:name w:val="List 2"/>
    <w:basedOn w:val="Normal"/>
    <w:uiPriority w:val="99"/>
    <w:unhideWhenUsed/>
    <w:rsid w:val="00326F90"/>
    <w:pPr>
      <w:spacing w:line="240" w:lineRule="auto" w:after="80"/>
      <w:ind w:left="720" w:hanging="360"/>
      <w:contextualSpacing/>
    </w:pPr>
    <w:rPr>
      <w:rFonts w:ascii="Calibri" w:hAnsi="Calibri"/>
      <w:color w:val="000000"/>
      <w:sz w:val="28"/>
    </w:rPr>
  </w:style>
  <w:style w:type="paragraph" w:styleId="List3">
    <w:name w:val="List 3"/>
    <w:basedOn w:val="Normal"/>
    <w:uiPriority w:val="99"/>
    <w:unhideWhenUsed/>
    <w:rsid w:val="00326F90"/>
    <w:pPr>
      <w:spacing w:line="240" w:lineRule="auto" w:after="80"/>
      <w:ind w:left="1080" w:hanging="360"/>
      <w:contextualSpacing/>
    </w:pPr>
    <w:rPr>
      <w:rFonts w:ascii="Calibri" w:hAnsi="Calibri"/>
      <w:color w:val="000000"/>
      <w:sz w:val="28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spacing w:line="240" w:lineRule="auto" w:after="80"/>
      <w:contextualSpacing/>
    </w:pPr>
    <w:rPr>
      <w:rFonts w:ascii="Calibri" w:hAnsi="Calibri"/>
      <w:color w:val="000000"/>
      <w:sz w:val="28"/>
    </w:rPr>
  </w:style>
  <w:style w:type="paragraph" w:styleId="ListContinue">
    <w:name w:val="List Continue"/>
    <w:basedOn w:val="Normal"/>
    <w:uiPriority w:val="99"/>
    <w:unhideWhenUsed/>
    <w:rsid w:val="0029639D"/>
    <w:pPr>
      <w:spacing w:after="80" w:line="240" w:lineRule="auto"/>
      <w:ind w:left="360"/>
      <w:contextualSpacing/>
    </w:pPr>
    <w:rPr>
      <w:rFonts w:ascii="Calibri" w:hAnsi="Calibri"/>
      <w:color w:val="000000"/>
      <w:sz w:val="28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80" w:line="240" w:lineRule="auto"/>
      <w:ind w:left="720"/>
      <w:contextualSpacing/>
    </w:pPr>
    <w:rPr>
      <w:rFonts w:ascii="Calibri" w:hAnsi="Calibri"/>
      <w:color w:val="000000"/>
      <w:sz w:val="28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80" w:line="240" w:lineRule="auto"/>
      <w:ind w:left="1080"/>
      <w:contextualSpacing/>
    </w:pPr>
    <w:rPr>
      <w:rFonts w:ascii="Calibri" w:hAnsi="Calibri"/>
      <w:color w:val="000000"/>
      <w:sz w:val="28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line="240" w:lineRule="auto" w:after="80"/>
    </w:pPr>
    <w:rPr>
      <w:rFonts w:ascii="Calibri" w:hAnsi="Calibri"/>
      <w:color w:val="000000"/>
      <w:sz w:val="28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alibri" w:hAnsi="Calibri"/>
      <w:color w:val="000000"/>
      <w:sz w:val="28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>
      <w:spacing w:line="240" w:lineRule="auto" w:after="80"/>
    </w:pPr>
    <w:rPr>
      <w:rFonts w:ascii="Calibri" w:hAnsi="Calibri"/>
      <w:i/>
      <w:iCs/>
      <w:color w:val="000000"/>
      <w:sz w:val="28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rFonts w:ascii="Calibri" w:hAnsi="Calibri"/>
      <w:i/>
      <w:iCs/>
      <w:color w:val="000000"/>
      <w:sz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 w:ascii="Calibri" w:hAnsi="Calibri"/>
      <w:b/>
      <w:bCs/>
      <w:i/>
      <w:iCs/>
      <w:color w:val="000000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 w:ascii="Calibri" w:hAnsi="Calibri"/>
      <w:color w:val="000000"/>
      <w:sz w:val="28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 w:ascii="Calibri" w:hAnsi="Calibri"/>
      <w:i/>
      <w:iCs/>
      <w:color w:val="000000"/>
      <w:sz w:val="28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after="80"/>
    </w:pPr>
    <w:rPr>
      <w:rFonts w:ascii="Calibri" w:hAnsi="Calibri"/>
      <w:b/>
      <w:bCs/>
      <w:color w:val="000000"/>
      <w:sz w:val="2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rFonts w:ascii="Calibri" w:hAnsi="Calibri"/>
      <w:b/>
      <w:bCs/>
      <w:color w:val="000000"/>
      <w:sz w:val="28"/>
    </w:rPr>
  </w:style>
  <w:style w:type="character" w:styleId="Emphasis">
    <w:name w:val="Emphasis"/>
    <w:basedOn w:val="DefaultParagraphFont"/>
    <w:uiPriority w:val="20"/>
    <w:qFormat/>
    <w:rsid w:val="00FC693F"/>
    <w:rPr>
      <w:rFonts w:ascii="Calibri" w:hAnsi="Calibri"/>
      <w:i/>
      <w:iCs/>
      <w:color w:val="000000"/>
      <w:sz w:val="28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80" w:line="240" w:lineRule="auto"/>
      <w:ind w:left="936" w:right="936"/>
    </w:pPr>
    <w:rPr>
      <w:rFonts w:ascii="Calibri" w:hAnsi="Calibri"/>
      <w:b/>
      <w:bCs/>
      <w:i/>
      <w:iCs/>
      <w:color w:val="000000"/>
      <w:sz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Emphasis">
    <w:name w:val="Subtle Emphasis"/>
    <w:basedOn w:val="DefaultParagraphFont"/>
    <w:uiPriority w:val="19"/>
    <w:qFormat/>
    <w:rsid w:val="00FC693F"/>
    <w:rPr>
      <w:rFonts w:ascii="Calibri" w:hAnsi="Calibri"/>
      <w:i/>
      <w:iCs/>
      <w:color w:val="000000"/>
      <w:sz w:val="28"/>
    </w:rPr>
  </w:style>
  <w:style w:type="character" w:styleId="IntenseEmphasis">
    <w:name w:val="Intense Emphasis"/>
    <w:basedOn w:val="DefaultParagraphFont"/>
    <w:uiPriority w:val="21"/>
    <w:qFormat/>
    <w:rsid w:val="00FC693F"/>
    <w:rPr>
      <w:rFonts w:ascii="Calibri" w:hAnsi="Calibri"/>
      <w:b/>
      <w:bCs/>
      <w:i/>
      <w:iCs/>
      <w:color w:val="000000"/>
      <w:sz w:val="28"/>
    </w:rPr>
  </w:style>
  <w:style w:type="character" w:styleId="SubtleReference">
    <w:name w:val="Subtle Reference"/>
    <w:basedOn w:val="DefaultParagraphFont"/>
    <w:uiPriority w:val="31"/>
    <w:qFormat/>
    <w:rsid w:val="00FC693F"/>
    <w:rPr>
      <w:rFonts w:ascii="Calibri" w:hAnsi="Calibri"/>
      <w:smallCaps/>
      <w:color w:val="000000"/>
      <w:sz w:val="28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rFonts w:ascii="Calibri" w:hAnsi="Calibri"/>
      <w:b/>
      <w:bCs/>
      <w:smallCaps/>
      <w:color w:val="000000"/>
      <w:spacing w:val="5"/>
      <w:sz w:val="28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rFonts w:ascii="Calibri" w:hAnsi="Calibri"/>
      <w:b/>
      <w:bCs/>
      <w:smallCaps/>
      <w:color w:val="000000"/>
      <w:spacing w:val="5"/>
      <w:sz w:val="28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spacing w:line="240" w:lineRule="auto" w:after="80"/>
      <w:outlineLvl w:val="9"/>
    </w:pPr>
    <w:rPr>
      <w:rFonts w:ascii="Calibri" w:hAnsi="Calibri"/>
      <w:color w:val="000000"/>
      <w:sz w:val="28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www.postgresql.org/docs/18/tutorial.html" TargetMode="External"/><Relationship Id="rId11" Type="http://schemas.openxmlformats.org/officeDocument/2006/relationships/hyperlink" Target="https://www.postgresql.org/docs/18/backup-dump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Ubaydullayev Abdukarim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