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Qulaylik klaviatura va moslashuvchan interfeys</w:t>
      </w:r>
    </w:p>
    <w:p>
      <w:r>
        <w:t>8 modul  |  21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Label va Klaviatura vazifalarini izohlaydi, namuna oqimini va xato holatini tushuntiradi.</w:t>
      </w:r>
    </w:p>
    <w:p>
      <w:pPr>
        <w:pStyle w:val="Heading1"/>
      </w:pPr>
      <w:r>
        <w:t>Tayanch bilimlar</w:t>
      </w:r>
    </w:p>
    <w:p>
      <w:r>
        <w:t>8-modulning 1–20-mavzulari. Quyidagi tushunchalar shu darsda izohlanadi.</w:t>
      </w:r>
    </w:p>
    <w:p>
      <w:pPr>
        <w:pStyle w:val="Heading1"/>
      </w:pPr>
      <w:r>
        <w:t>Mavzuning mazmuni</w:t>
      </w:r>
    </w:p>
    <w:p>
      <w:r>
        <w:t>API sinovi brauzerdagi hamma xatoni topmaydi. Shu sababli foydalanuvchi oqimi, klaviatura, ekran o‘lchami va ishonchsiz matnni chiqarish alohida tekshiriladi. O‘lchov yoki nuqson hisobotida muhit va takrorlash qadami ko‘rsatiladi.</w:t>
      </w:r>
    </w:p>
    <w:p>
      <w:pPr>
        <w:pStyle w:val="Heading2"/>
      </w:pPr>
      <w:r>
        <w:t>Label</w:t>
      </w:r>
    </w:p>
    <w:p>
      <w:r>
        <w:t>Kirish maydoniga ko‘rinadigan nom beradi. Placeholder label o‘rnini to‘liq bosmaydi, chunki matn yozilganda yo‘qoladi.</w:t>
      </w:r>
    </w:p>
    <w:p>
      <w:pPr>
        <w:pStyle w:val="Heading2"/>
      </w:pPr>
      <w:r>
        <w:t>Klaviatura</w:t>
      </w:r>
    </w:p>
    <w:p>
      <w:r>
        <w:t>Tab bilan forma va tugmalarga borish, Enter bilan yuborish mumkin bo‘lishi kerak. Fokus ko‘rinib turishi va tartib ma’noli bo‘lishi tekshiriladi.</w:t>
      </w:r>
    </w:p>
    <w:p>
      <w:pPr>
        <w:pStyle w:val="Heading2"/>
      </w:pPr>
      <w:r>
        <w:t>Jonli xabar</w:t>
      </w:r>
    </w:p>
    <w:p>
      <w:r>
        <w:t>role=status odatiy natijani yordamchi texnologiyaga bildirishi mumkin. Xabar qisqa, aniq va rangga yolg‘iz bog‘lanmagan bo‘ladi.</w:t>
      </w:r>
    </w:p>
    <w:p>
      <w:pPr>
        <w:pStyle w:val="Heading2"/>
      </w:pPr>
      <w:r>
        <w:t>Moslashuv</w:t>
      </w:r>
    </w:p>
    <w:p>
      <w:r>
        <w:t>Kichik ekranda matn va boshqaruv kesilib qolmasligi kerak. 320 CSS piksel kenglik va kattalashtirishda gorizontal siljish kuzatiladi.</w:t>
      </w:r>
    </w:p>
    <w:p>
      <w:pPr>
        <w:pStyle w:val="Heading2"/>
      </w:pPr>
      <w:r>
        <w:t>Qo‘lda audit</w:t>
      </w:r>
    </w:p>
    <w:p>
      <w:r>
        <w:t>Avtomatik vosita barcha qulaylik muammosini topmaydi. Klaviatura, matn ma’nosi, fokus va o‘qish tartibi qo‘lda ham tekshiriladi.</w:t>
      </w:r>
    </w:p>
    <w:p>
      <w:pPr>
        <w:pStyle w:val="Heading1"/>
      </w:pPr>
      <w:r>
        <w:t>Namuna va bajarish muhiti</w:t>
      </w:r>
    </w:p>
    <w:p>
      <w:r>
        <w:t>Bu tahlil va dalil topshirig‘i. Sxema, tekshiruv jadvali va xulosani yozing; matn dastur sifatida bajarilmaydi.</w:t>
      </w:r>
    </w:p>
    <w:p>
      <w:pPr>
        <w:spacing w:after="0"/>
      </w:pPr>
      <w:r>
        <w:t>Tekshiruv dalili:</w:t>
      </w:r>
    </w:p>
    <w:p>
      <w:pPr>
        <w:spacing w:after="0"/>
      </w:pPr>
      <w:r>
        <w:t>1. Tab → Vazifa nomi → Qo‘shish</w:t>
      </w:r>
    </w:p>
    <w:p>
      <w:pPr>
        <w:spacing w:after="0"/>
      </w:pPr>
      <w:r>
        <w:t>2. Bo‘sh yuborish → tushunarli xabar</w:t>
      </w:r>
    </w:p>
    <w:p>
      <w:pPr>
        <w:spacing w:after="0"/>
      </w:pPr>
      <w:r>
        <w:t>3. 320 px va 200% zoom → boshqaruvlar ko‘rinadi</w:t>
      </w:r>
    </w:p>
    <w:p>
      <w:pPr>
        <w:spacing w:after="0"/>
      </w:pPr>
      <w:r>
        <w:t>4. Vazifa tugallandi → matnda holat bor</w:t>
      </w:r>
    </w:p>
    <w:p>
      <w:pPr>
        <w:pStyle w:val="Heading1"/>
      </w:pPr>
      <w:r>
        <w:t>Kutiladigan natija</w:t>
      </w:r>
    </w:p>
    <w:p>
      <w:r>
        <w:t>Har band uchun o‘tdi yoki nuqson, brauzer va kuzatuv yoziladi.</w:t>
      </w:r>
    </w:p>
    <w:p>
      <w:pPr>
        <w:pStyle w:val="Heading1"/>
      </w:pPr>
      <w:r>
        <w:t>Xatoni tushunish</w:t>
      </w:r>
    </w:p>
    <w:p>
      <w:r>
        <w:t>Yashil rangning o‘zi tugallangan holatni barcha foydalanuvchiga yetkazmaydi.</w:t>
      </w:r>
    </w:p>
    <w:p>
      <w:pPr>
        <w:pStyle w:val="Heading1"/>
      </w:pPr>
      <w:r>
        <w:t>Mustahkamlash</w:t>
      </w:r>
    </w:p>
    <w:p>
      <w:r>
        <w:t>Namuna oqimini izohlang va kutilgan natijani ayting. Mustaqil ish keyingi amaliy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Label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Label — Kirish maydoniga ko‘rinadigan nom beradi.</w:t>
      </w:r>
    </w:p>
    <w:p>
      <w:r>
        <w:t>Klaviatura — Tab bilan forma va tugmalarga borish, Enter bilan yuborish mumkin bo‘lishi kerak.</w:t>
      </w:r>
    </w:p>
    <w:p>
      <w:r>
        <w:t>Jonli xabar — role=status odatiy natijani yordamchi texnologiyaga bildirishi mumkin.</w:t>
      </w:r>
    </w:p>
    <w:p>
      <w:r>
        <w:t>Moslashuv — Kichik ekranda matn va boshqaruv kesilib qolmasligi kerak.</w:t>
      </w:r>
    </w:p>
    <w:p>
      <w:r>
        <w:t>Qo‘lda audit — Avtomatik vosita barcha qulaylik muammosini topmaydi.</w:t>
      </w:r>
    </w:p>
    <w:p>
      <w:pPr>
        <w:pStyle w:val="Heading1"/>
      </w:pPr>
      <w:r>
        <w:t>Manbalar</w:t>
      </w:r>
    </w:p>
    <w:p>
      <w:hyperlink r:id="rId10">
        <w:r>
          <w:t>Playwright kirish</w:t>
        </w:r>
      </w:hyperlink>
      <w:r>
        <w:t xml:space="preserve"> · </w:t>
      </w:r>
      <w:hyperlink r:id="rId11">
        <w:r>
          <w:t>Playwright lokatorlar</w:t>
        </w:r>
      </w:hyperlink>
      <w:r>
        <w:t xml:space="preserve"> · </w:t>
      </w:r>
      <w:hyperlink r:id="rId12">
        <w:r>
          <w:t>MDN accessibility</w:t>
        </w:r>
      </w:hyperlink>
      <w:r>
        <w:t xml:space="preserve"> · </w:t>
      </w:r>
      <w:hyperlink r:id="rId13">
        <w:r>
          <w:t>MDN CSP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laywright.dev/docs/intro" TargetMode="External"/><Relationship Id="rId11" Type="http://schemas.openxmlformats.org/officeDocument/2006/relationships/hyperlink" Target="https://playwright.dev/docs/locators" TargetMode="External"/><Relationship Id="rId12" Type="http://schemas.openxmlformats.org/officeDocument/2006/relationships/hyperlink" Target="https://developer.mozilla.org/en-US/docs/Learn_web_development/Core/Accessibility" TargetMode="External"/><Relationship Id="rId13" Type="http://schemas.openxmlformats.org/officeDocument/2006/relationships/hyperlink" Target="https://developer.mozilla.org/en-US/docs/Web/HTTP/Guides/C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