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Product Roadmap: Implementation Challenges</w:t>
      </w:r>
    </w:p>
    <w:p>
      <w:pPr>
        <w:pStyle w:val="Subtitle"/>
      </w:pPr>
      <w:r>
        <w:t xml:space="preserve">Board Briefing Document — Kepler Commerce Advertising Platform</w:t>
      </w:r>
    </w:p>
    <w:p>
      <w:pPr>
        <w:pStyle w:val="Heading1"/>
      </w:pPr>
      <w:r>
        <w:t xml:space="preserve">Context</w:t>
      </w:r>
    </w:p>
    <w:p>
      <w:pPr>
        <w:pStyle w:val="BodyText"/>
      </w:pPr>
      <w:r>
        <w:t xml:space="preserve">Two months ago, we aligned on a product roadmap for our Amazon Sponsored Products advertising platform. This document outlines the current implementation challenges and our approach to resolving them. The goal is to provide transparency on blockers, share our mitigation strategies, and align on priorities for the path forward.</w:t>
      </w:r>
    </w:p>
    <w:p>
      <w:pPr>
        <w:pStyle w:val="Heading1"/>
      </w:pPr>
      <w:r>
        <w:t xml:space="preserve">Executive Summary</w:t>
      </w:r>
    </w:p>
    <w:p>
      <w:pPr>
        <w:pStyle w:val="BodyText"/>
      </w:pPr>
      <w:r>
        <w:t xml:space="preserve">We have identified two primary challenges requiring discussion: </w:t>
      </w:r>
      <w:r>
        <w:rPr>
          <w:b/>
          <w:bCs/>
        </w:rPr>
        <w:t xml:space="preserve">(1) </w:t>
      </w:r>
      <w:r>
        <w:t xml:space="preserve">Insufficient sample size to gauge platform performance—account rollout is constrained by keyword research quality issues. </w:t>
      </w:r>
      <w:r>
        <w:rPr>
          <w:b/>
          <w:bCs/>
        </w:rPr>
        <w:t xml:space="preserve">(2) </w:t>
      </w:r>
      <w:r>
        <w:t xml:space="preserve">CVR (Conversion Rate) estimation accuracy—a core enhancement that would improve output quality across multiple features. We also provide a status update on components currently in the pipeline and outline our approach for the Automated Pacing feature rollout.</w:t>
      </w:r>
    </w:p>
    <w:p>
      <w:pPr>
        <w:pStyle w:val="Heading1"/>
      </w:pPr>
      <w:r>
        <w:t xml:space="preserve">Challenge 1: Insufficient Sample Size for Performance Evaluation</w:t>
      </w:r>
    </w:p>
    <w:p>
      <w:pPr>
        <w:pStyle w:val="Heading2"/>
      </w:pPr>
      <w:r>
        <w:t xml:space="preserve">The Problem</w:t>
      </w:r>
    </w:p>
    <w:p>
      <w:pPr>
        <w:pStyle w:val="BodyText"/>
      </w:pPr>
      <w:r>
        <w:t xml:space="preserve">We do not have enough sample accounts to conclusively gauge platform performance. To collect meaningful performance data, we need to roll out more accounts onto the platform. However, the </w:t>
      </w:r>
      <w:r>
        <w:rPr>
          <w:b/>
          <w:bCs/>
        </w:rPr>
        <w:t xml:space="preserve">Automated Keyword Research Feature</w:t>
      </w:r>
      <w:r>
        <w:t xml:space="preserve">—a prerequisite for account setup—currently has quality issues that require manual review and adjustment before the system can process the output.</w:t>
      </w:r>
    </w:p>
    <w:p>
      <w:pPr>
        <w:pStyle w:val="Heading2"/>
      </w:pPr>
      <w:r>
        <w:t xml:space="preserve">Current Status &amp; Mitigation</w:t>
      </w:r>
    </w:p>
    <w:p>
      <w:pPr>
        <w:pStyle w:val="BodyText"/>
      </w:pPr>
      <w:r>
        <w:t xml:space="preserve">We have initiated a project to enhance the quality of prompts using </w:t>
      </w:r>
      <w:r>
        <w:rPr>
          <w:b/>
          <w:bCs/>
        </w:rPr>
        <w:t xml:space="preserve">DSPy techniques</w:t>
      </w:r>
      <w:r>
        <w:t xml:space="preserve"> (led by Kostya). As prompt quality improves, output accuracy increases, reducing the need for manual intervention. Once accuracy reaches the target threshold, we can proceed with bulk account rollout and finally gather sufficient sample data to be conclusive about platform performance.</w:t>
      </w:r>
    </w:p>
    <w:p>
      <w:pPr>
        <w:pStyle w:val="Heading2"/>
      </w:pPr>
      <w:r>
        <w:t xml:space="preserve">Reporting Improvements</w:t>
      </w:r>
    </w:p>
    <w:p>
      <w:pPr>
        <w:pStyle w:val="BodyText"/>
      </w:pPr>
      <w:r>
        <w:t xml:space="preserve">We have also identified </w:t>
      </w:r>
      <w:r>
        <w:rPr>
          <w:b/>
          <w:bCs/>
        </w:rPr>
        <w:t xml:space="preserve">reporting enhancements</w:t>
      </w:r>
      <w:r>
        <w:t xml:space="preserve"> that will help us get a better grasp of performance without requiring extensive manual effort. These improvements will reduce the frequency of manual review cycles and enable faster action on performance issues.</w:t>
      </w:r>
    </w:p>
    <w:p>
      <w:pPr>
        <w:pStyle w:val="BodyText"/>
      </w:pPr>
      <w:r>
        <w:t xml:space="preserve">Granular root cause and performance analysis will eventually be handled by the </w:t>
      </w:r>
      <w:r>
        <w:rPr>
          <w:b/>
          <w:bCs/>
        </w:rPr>
        <w:t xml:space="preserve">APDC diagnostics platform</w:t>
      </w:r>
      <w:r>
        <w:t xml:space="preserve"> (currently in the pipeline). However, the reporting improvements will provide </w:t>
      </w:r>
      <w:r>
        <w:rPr>
          <w:b/>
          <w:bCs/>
        </w:rPr>
        <w:t xml:space="preserve">high-level directional insights</w:t>
      </w:r>
      <w:r>
        <w:t xml:space="preserve"> on how we are performing—enough to inform decisions and take action while the more detailed diagnostics capability is being developed.</w:t>
      </w:r>
    </w:p>
    <w:p>
      <w:pPr>
        <w:pStyle w:val="Heading1"/>
      </w:pPr>
      <w:r>
        <w:t xml:space="preserve">Challenge 2: CVR Estimation Accuracy</w:t>
      </w:r>
    </w:p>
    <w:p>
      <w:pPr>
        <w:pStyle w:val="Heading2"/>
      </w:pPr>
      <w:r>
        <w:t xml:space="preserve">Why This Matters</w:t>
      </w:r>
    </w:p>
    <w:p>
      <w:pPr>
        <w:pStyle w:val="BodyText"/>
      </w:pPr>
      <w:r>
        <w:t xml:space="preserve">The </w:t>
      </w:r>
      <w:r>
        <w:rPr>
          <w:b/>
          <w:bCs/>
        </w:rPr>
        <w:t xml:space="preserve">Conversion Rate (CVR) Estimation Engine</w:t>
      </w:r>
      <w:r>
        <w:t xml:space="preserve"> is a core enhancement that would improve output quality across multiple features: bid optimization, budget allocation, and the pacing model. Inaccurate CVR estimates lead to underbidding (missed sales) or overbidding (inefficiency). Based on limited performance visibility and manual review, CVR inaccuracy is a primary root cause of observed performance gaps.</w:t>
      </w:r>
    </w:p>
    <w:p>
      <w:pPr>
        <w:pStyle w:val="Heading2"/>
      </w:pPr>
      <w:r>
        <w:t xml:space="preserve">Current Limitation</w:t>
      </w:r>
    </w:p>
    <w:p>
      <w:pPr>
        <w:pStyle w:val="BodyText"/>
      </w:pPr>
      <w:r>
        <w:t xml:space="preserve">Our current model relies on historical moving averages for existing keywords—essentially, </w:t>
      </w:r>
      <w:r>
        <w:rPr>
          <w:b/>
          <w:bCs/>
        </w:rPr>
        <w:t xml:space="preserve">past performance dictates future expectations</w:t>
      </w:r>
      <w:r>
        <w:t xml:space="preserve">. However, this approach cannot account for the many factors that actually affect conversion rates. Examples include: day-of-week seasonality, price fluctuations, competitive dynamics, and keywords without sufficient conversion history. As we move to broader keyword groups for sparse data, accuracy degrades further.</w:t>
      </w:r>
    </w:p>
    <w:p>
      <w:pPr>
        <w:pStyle w:val="Heading2"/>
      </w:pPr>
      <w:r>
        <w:t xml:space="preserve">Proposed Enhancement</w:t>
      </w:r>
    </w:p>
    <w:p>
      <w:pPr>
        <w:pStyle w:val="BodyText"/>
      </w:pPr>
      <w:r>
        <w:t xml:space="preserve">A machine learning model trained on multiple features—seasonality, pricing ratios, category benchmarks, semantic keyword groupings—would significantly improve accuracy. We have identified a comprehensive feature set and have access to approximately 3,000 accounts of training data (pending quality verification).</w:t>
      </w:r>
    </w:p>
    <w:p>
      <w:pPr>
        <w:pStyle w:val="Heading2"/>
      </w:pPr>
      <w:r>
        <w:t xml:space="preserve">Challenges</w:t>
      </w:r>
    </w:p>
    <w:p>
      <w:pPr>
        <w:pStyle w:val="BodyText"/>
        <w:numPr>
          <w:ilvl w:val="0"/>
          <w:numId w:val="2"/>
        </w:numPr>
      </w:pPr>
      <w:r>
        <w:rPr>
          <w:b/>
          <w:bCs/>
        </w:rPr>
        <w:t xml:space="preserve">ML Expertise Required: </w:t>
      </w:r>
      <w:r>
        <w:t xml:space="preserve">Requires dedicated machine learning engineering capacity.</w:t>
      </w:r>
    </w:p>
    <w:p>
      <w:pPr>
        <w:pStyle w:val="BodyText"/>
        <w:numPr>
          <w:ilvl w:val="0"/>
          <w:numId w:val="2"/>
        </w:numPr>
      </w:pPr>
      <w:r>
        <w:rPr>
          <w:b/>
          <w:bCs/>
        </w:rPr>
        <w:t xml:space="preserve">R&amp;D Intensive: </w:t>
      </w:r>
      <w:r>
        <w:t xml:space="preserve">Feature selection requires iterative experimentation—add feature, measure impact, refine.</w:t>
      </w:r>
    </w:p>
    <w:p>
      <w:pPr>
        <w:pStyle w:val="BodyText"/>
        <w:numPr>
          <w:ilvl w:val="0"/>
          <w:numId w:val="2"/>
        </w:numPr>
      </w:pPr>
      <w:r>
        <w:rPr>
          <w:b/>
          <w:bCs/>
        </w:rPr>
        <w:t xml:space="preserve">Uncertain Delta: </w:t>
      </w:r>
      <w:r>
        <w:t xml:space="preserve">While improvement is certain, the magnitude is difficult to predict upfront.</w:t>
      </w:r>
    </w:p>
    <w:p>
      <w:pPr>
        <w:pStyle w:val="BodyText"/>
        <w:numPr>
          <w:ilvl w:val="0"/>
          <w:numId w:val="2"/>
        </w:numPr>
      </w:pPr>
      <w:r>
        <w:rPr>
          <w:b/>
          <w:bCs/>
        </w:rPr>
        <w:t xml:space="preserve">Data Quality: </w:t>
      </w:r>
      <w:r>
        <w:t xml:space="preserve">The 3,000-account dataset needs validation—small accounts with sparse data may not contribute meaningfully.</w:t>
      </w:r>
    </w:p>
    <w:p>
      <w:pPr>
        <w:pStyle w:val="Heading1"/>
      </w:pPr>
      <w:r>
        <w:t xml:space="preserve">Current Pipeline: Work in Progress</w:t>
      </w:r>
    </w:p>
    <w:p>
      <w:pPr>
        <w:pStyle w:val="BodyText"/>
      </w:pPr>
      <w:r>
        <w:t xml:space="preserve">The following components are currently in the pipeline and being actively worked on:</w:t>
      </w:r>
    </w:p>
    <w:p>
      <w:pPr>
        <w:pStyle w:val="BodyText"/>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0"/>
        <w:gridCol w:w="5600"/>
      </w:tblGrid>
      <w:tr>
        <w:trPr>
          <w:tblHeader/>
        </w:trPr>
        <w:tc>
          <w:tcPr>
            <w:tcW w:type="dxa" w:w="2800"/>
            <w:tcBorders>
              <w:top w:val="single" w:color="CCCCCC" w:sz="1"/>
              <w:left w:val="single" w:color="CCCCCC" w:sz="1"/>
              <w:bottom w:val="single" w:color="CCCCCC" w:sz="1"/>
              <w:right w:val="single" w:color="CCCCCC" w:sz="1"/>
            </w:tcBorders>
            <w:shd w:fill="e2e8f0" w:val="clear"/>
          </w:tcPr>
          <w:p>
            <w:pPr>
              <w:pStyle w:val="TableHeader"/>
            </w:pPr>
            <w:r>
              <w:t xml:space="preserve">Component</w:t>
            </w:r>
          </w:p>
        </w:tc>
        <w:tc>
          <w:tcPr>
            <w:tcW w:type="dxa" w:w="5600"/>
            <w:tcBorders>
              <w:top w:val="single" w:color="CCCCCC" w:sz="1"/>
              <w:left w:val="single" w:color="CCCCCC" w:sz="1"/>
              <w:bottom w:val="single" w:color="CCCCCC" w:sz="1"/>
              <w:right w:val="single" w:color="CCCCCC" w:sz="1"/>
            </w:tcBorders>
            <w:shd w:fill="e2e8f0" w:val="clear"/>
          </w:tcPr>
          <w:p>
            <w:pPr>
              <w:pStyle w:val="TableHeader"/>
            </w:pPr>
            <w:r>
              <w:t xml:space="preserve">Purpose &amp; Status</w:t>
            </w:r>
          </w:p>
        </w:tc>
      </w:tr>
      <w:tr>
        <w:tc>
          <w:tcPr>
            <w:tcW w:type="dxa" w:w="2800"/>
            <w:tcBorders>
              <w:top w:val="single" w:color="CCCCCC" w:sz="1"/>
              <w:left w:val="single" w:color="CCCCCC" w:sz="1"/>
              <w:bottom w:val="single" w:color="CCCCCC" w:sz="1"/>
              <w:right w:val="single" w:color="CCCCCC" w:sz="1"/>
            </w:tcBorders>
          </w:tcPr>
          <w:p>
            <w:pPr>
              <w:pStyle w:val="TableText"/>
            </w:pPr>
            <w:r>
              <w:rPr>
                <w:b/>
                <w:bCs/>
              </w:rPr>
              <w:t xml:space="preserve">Automated Pacing</w:t>
            </w:r>
          </w:p>
        </w:tc>
        <w:tc>
          <w:tcPr>
            <w:tcW w:type="dxa" w:w="5600"/>
            <w:tcBorders>
              <w:top w:val="single" w:color="CCCCCC" w:sz="1"/>
              <w:left w:val="single" w:color="CCCCCC" w:sz="1"/>
              <w:bottom w:val="single" w:color="CCCCCC" w:sz="1"/>
              <w:right w:val="single" w:color="CCCCCC" w:sz="1"/>
            </w:tcBorders>
          </w:tcPr>
          <w:p>
            <w:pPr>
              <w:pStyle w:val="TableText"/>
            </w:pPr>
            <w:r>
              <w:t xml:space="preserve">Intelligent campaign activation decisions. Base rule-based model being built; requirements submitted to engineering. See rollout approach below.</w:t>
            </w:r>
          </w:p>
        </w:tc>
      </w:tr>
      <w:tr>
        <w:tc>
          <w:tcPr>
            <w:tcW w:type="dxa" w:w="2800"/>
            <w:tcBorders>
              <w:top w:val="single" w:color="CCCCCC" w:sz="1"/>
              <w:left w:val="single" w:color="CCCCCC" w:sz="1"/>
              <w:bottom w:val="single" w:color="CCCCCC" w:sz="1"/>
              <w:right w:val="single" w:color="CCCCCC" w:sz="1"/>
            </w:tcBorders>
          </w:tcPr>
          <w:p>
            <w:pPr>
              <w:pStyle w:val="TableText"/>
            </w:pPr>
            <w:r>
              <w:rPr>
                <w:b/>
                <w:bCs/>
              </w:rPr>
              <w:t xml:space="preserve">APDC Platform</w:t>
            </w:r>
          </w:p>
        </w:tc>
        <w:tc>
          <w:tcPr>
            <w:tcW w:type="dxa" w:w="5600"/>
            <w:tcBorders>
              <w:top w:val="single" w:color="CCCCCC" w:sz="1"/>
              <w:left w:val="single" w:color="CCCCCC" w:sz="1"/>
              <w:bottom w:val="single" w:color="CCCCCC" w:sz="1"/>
              <w:right w:val="single" w:color="CCCCCC" w:sz="1"/>
            </w:tcBorders>
          </w:tcPr>
          <w:p>
            <w:pPr>
              <w:pStyle w:val="TableText"/>
            </w:pPr>
            <w:r>
              <w:t xml:space="preserve">Internal diagnostics tool for granular root cause and performance analysis. Requirements in progress, followed by development.</w:t>
            </w:r>
          </w:p>
        </w:tc>
      </w:tr>
      <w:tr>
        <w:tc>
          <w:tcPr>
            <w:tcW w:type="dxa" w:w="2800"/>
            <w:tcBorders>
              <w:top w:val="single" w:color="CCCCCC" w:sz="1"/>
              <w:left w:val="single" w:color="CCCCCC" w:sz="1"/>
              <w:bottom w:val="single" w:color="CCCCCC" w:sz="1"/>
              <w:right w:val="single" w:color="CCCCCC" w:sz="1"/>
            </w:tcBorders>
          </w:tcPr>
          <w:p>
            <w:pPr>
              <w:pStyle w:val="TableText"/>
            </w:pPr>
            <w:r>
              <w:rPr>
                <w:b/>
                <w:bCs/>
              </w:rPr>
              <w:t xml:space="preserve">Reporting &amp; Insights</w:t>
            </w:r>
          </w:p>
        </w:tc>
        <w:tc>
          <w:tcPr>
            <w:tcW w:type="dxa" w:w="5600"/>
            <w:tcBorders>
              <w:top w:val="single" w:color="CCCCCC" w:sz="1"/>
              <w:left w:val="single" w:color="CCCCCC" w:sz="1"/>
              <w:bottom w:val="single" w:color="CCCCCC" w:sz="1"/>
              <w:right w:val="single" w:color="CCCCCC" w:sz="1"/>
            </w:tcBorders>
          </w:tcPr>
          <w:p>
            <w:pPr>
              <w:pStyle w:val="TableText"/>
            </w:pPr>
            <w:r>
              <w:t xml:space="preserve">High-level performance visibility and insights layer. Currently in pipeline with Bilal and David's team; expected soon.</w:t>
            </w:r>
          </w:p>
        </w:tc>
      </w:tr>
      <w:tr>
        <w:tc>
          <w:tcPr>
            <w:tcW w:type="dxa" w:w="2800"/>
            <w:tcBorders>
              <w:top w:val="single" w:color="CCCCCC" w:sz="1"/>
              <w:left w:val="single" w:color="CCCCCC" w:sz="1"/>
              <w:bottom w:val="single" w:color="CCCCCC" w:sz="1"/>
              <w:right w:val="single" w:color="CCCCCC" w:sz="1"/>
            </w:tcBorders>
          </w:tcPr>
          <w:p>
            <w:pPr>
              <w:pStyle w:val="TableText"/>
            </w:pPr>
            <w:r>
              <w:rPr>
                <w:b/>
                <w:bCs/>
              </w:rPr>
              <w:t xml:space="preserve">Logic Refinements</w:t>
            </w:r>
          </w:p>
        </w:tc>
        <w:tc>
          <w:tcPr>
            <w:tcW w:type="dxa" w:w="5600"/>
            <w:tcBorders>
              <w:top w:val="single" w:color="CCCCCC" w:sz="1"/>
              <w:left w:val="single" w:color="CCCCCC" w:sz="1"/>
              <w:bottom w:val="single" w:color="CCCCCC" w:sz="1"/>
              <w:right w:val="single" w:color="CCCCCC" w:sz="1"/>
            </w:tcBorders>
          </w:tcPr>
          <w:p>
            <w:pPr>
              <w:pStyle w:val="TableText"/>
            </w:pPr>
            <w:r>
              <w:t xml:space="preserve">Minor improvements to existing algorithms based on agency team feedback and performance data.</w:t>
            </w:r>
          </w:p>
        </w:tc>
      </w:tr>
    </w:tbl>
    <w:p>
      <w:pPr>
        <w:pStyle w:val="Heading1"/>
      </w:pPr>
      <w:r>
        <w:t xml:space="preserve">Automated Pacing: Rollout Approach</w:t>
      </w:r>
    </w:p>
    <w:p>
      <w:pPr>
        <w:pStyle w:val="BodyText"/>
      </w:pPr>
      <w:r>
        <w:t xml:space="preserve">The current rollout for Automated Pacing will deliver a </w:t>
      </w:r>
      <w:r>
        <w:rPr>
          <w:b/>
          <w:bCs/>
        </w:rPr>
        <w:t xml:space="preserve">rule-based base model</w:t>
      </w:r>
      <w:r>
        <w:t xml:space="preserve">, targeted for release in </w:t>
      </w:r>
      <w:r>
        <w:rPr>
          <w:b/>
          <w:bCs/>
        </w:rPr>
        <w:t xml:space="preserve">February</w:t>
      </w:r>
      <w:r>
        <w:t xml:space="preserve">. This base model establishes the core workflow and validates the directional correctness of the approach.</w:t>
      </w:r>
    </w:p>
    <w:p>
      <w:pPr>
        <w:pStyle w:val="BodyText"/>
      </w:pPr>
      <w:r>
        <w:t xml:space="preserve">Post-validation, the base model will be enhanced with </w:t>
      </w:r>
      <w:r>
        <w:rPr>
          <w:b/>
          <w:bCs/>
        </w:rPr>
        <w:t xml:space="preserve">machine learning capabilities</w:t>
      </w:r>
      <w:r>
        <w:t xml:space="preserve">. We have already scoped and identified the initial ML enhancements required. The pacing workflow involves multiple interconnected input/output chains; feedback from the base model deployment will guide which chain requires enhancement first or has the most significant improvement opportunity—allowing us to prioritize enhancements optimally rather than making assumptions upfront.</w:t>
      </w:r>
    </w:p>
    <w:p>
      <w:pPr>
        <w:pStyle w:val="Heading1"/>
      </w:pPr>
      <w:r>
        <w:t xml:space="preserve">Path Forward</w:t>
      </w:r>
    </w:p>
    <w:p>
      <w:pPr>
        <w:pStyle w:val="BodyText"/>
      </w:pPr>
      <w:r>
        <w:rPr>
          <w:b/>
          <w:bCs/>
        </w:rPr>
        <w:t xml:space="preserve">Immediate: </w:t>
      </w:r>
      <w:r>
        <w:t xml:space="preserve">Complete DSPy prompt optimization for keyword research → unlock bulk account rollout. Deploy automated pacing base model (February). Finalize reporting layer for better performance visibility.</w:t>
      </w:r>
    </w:p>
    <w:p>
      <w:pPr>
        <w:pStyle w:val="BodyText"/>
      </w:pPr>
      <w:r>
        <w:rPr>
          <w:b/>
          <w:bCs/>
        </w:rPr>
        <w:t xml:space="preserve">Near-term: </w:t>
      </w:r>
      <w:r>
        <w:t xml:space="preserve">Validate pacing base model and collect feedback to guide ML enhancements. Complete APDC requirements and begin development.</w:t>
      </w:r>
    </w:p>
    <w:p>
      <w:pPr>
        <w:pStyle w:val="BodyText"/>
      </w:pPr>
      <w:r>
        <w:rPr>
          <w:b/>
          <w:bCs/>
        </w:rPr>
        <w:t xml:space="preserve">Strategic Decision Required: </w:t>
      </w:r>
      <w:r>
        <w:t xml:space="preserve">Given CVR estimation's potential to enhance output quality across multiple features, we recommend prioritizing the ML enhancement model. This investment will compound across bid optimization, budget allocation, and pacing performance.</w:t>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48"/>
      <w:szCs w:val="48"/>
    </w:rPr>
  </w:style>
  <w:style w:type="paragraph" w:styleId="Heading1">
    <w:name w:val="Heading 1"/>
    <w:basedOn w:val="Normal"/>
    <w:next w:val="Normal"/>
    <w:qFormat/>
    <w:pPr>
      <w:spacing w:before="280" w:after="120"/>
      <w:outlineLvl w:val="0"/>
    </w:pPr>
    <w:rPr>
      <w:rFonts w:ascii="Arial" w:cs="Arial" w:eastAsia="Arial" w:hAnsi="Arial"/>
      <w:b/>
      <w:bCs/>
      <w:color w:val="2c5282"/>
      <w:sz w:val="26"/>
      <w:szCs w:val="26"/>
    </w:rPr>
  </w:style>
  <w:style w:type="paragraph" w:styleId="Heading2">
    <w:name w:val="Heading 2"/>
    <w:basedOn w:val="Normal"/>
    <w:next w:val="Normal"/>
    <w:qFormat/>
    <w:pPr>
      <w:spacing w:before="200" w:after="80"/>
      <w:outlineLvl w:val="1"/>
    </w:pPr>
    <w:rPr>
      <w:rFonts w:ascii="Arial" w:cs="Arial" w:eastAsia="Arial" w:hAnsi="Arial"/>
      <w:b/>
      <w:bCs/>
      <w:color w:val="2d3748"/>
      <w:sz w:val="24"/>
      <w:szCs w:val="24"/>
    </w:rPr>
  </w:style>
  <w:style w:type="paragraph" w:styleId="Subtitle">
    <w:name w:val="Subtitle"/>
    <w:basedOn w:val="Normal"/>
    <w:pPr>
      <w:spacing w:after="300"/>
      <w:jc w:val="center"/>
    </w:pPr>
    <w:rPr>
      <w:rFonts w:ascii="Arial" w:cs="Arial" w:eastAsia="Arial" w:hAnsi="Arial"/>
      <w:color w:val="718096"/>
      <w:sz w:val="22"/>
      <w:szCs w:val="22"/>
    </w:rPr>
  </w:style>
  <w:style w:type="paragraph" w:styleId="BodyText">
    <w:name w:val="Body Text"/>
    <w:basedOn w:val="Normal"/>
    <w:pPr>
      <w:spacing w:after="120" w:line="276"/>
    </w:pPr>
    <w:rPr>
      <w:rFonts w:ascii="Arial" w:cs="Arial" w:eastAsia="Arial" w:hAnsi="Arial"/>
      <w:color w:val="2d3748"/>
      <w:sz w:val="21"/>
      <w:szCs w:val="21"/>
    </w:rPr>
  </w:style>
  <w:style w:type="paragraph" w:styleId="TableHeader">
    <w:name w:val="Table Header"/>
    <w:basedOn w:val="Normal"/>
    <w:pPr>
      <w:spacing w:before="60" w:after="60"/>
    </w:pPr>
    <w:rPr>
      <w:rFonts w:ascii="Arial" w:cs="Arial" w:eastAsia="Arial" w:hAnsi="Arial"/>
      <w:b/>
      <w:bCs/>
      <w:color w:val="1a365d"/>
      <w:sz w:val="20"/>
      <w:szCs w:val="20"/>
    </w:rPr>
  </w:style>
  <w:style w:type="paragraph" w:styleId="TableText">
    <w:name w:val="Table Text"/>
    <w:basedOn w:val="Normal"/>
    <w:pPr>
      <w:spacing w:before="40" w:after="40"/>
    </w:pPr>
    <w:rPr>
      <w:rFonts w:ascii="Arial" w:cs="Arial" w:eastAsia="Arial" w:hAnsi="Arial"/>
      <w:color w:val="2d3748"/>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2025-12-29T16:23:35.648Z</dcterms:created>
  <dcterms:modified xsi:type="dcterms:W3CDTF">2025-12-29T16:23:35.649Z</dcterms:modified>
</cp:coreProperties>
</file>

<file path=docProps/custom.xml><?xml version="1.0" encoding="utf-8"?>
<Properties xmlns="http://schemas.openxmlformats.org/officeDocument/2006/custom-properties" xmlns:vt="http://schemas.openxmlformats.org/officeDocument/2006/docPropsVTypes"/>
</file>