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82B49"/>
          <w:sz w:val="44"/>
        </w:rPr>
        <w:t>AetherFlow: Dynamic Multi-LLM Routing &amp; Benchmark Suite</w:t>
      </w:r>
    </w:p>
    <w:p>
      <w:pPr>
        <w:spacing w:before="0" w:after="200"/>
      </w:pPr>
      <w:r>
        <w:rPr>
          <w:rFonts w:ascii="Calibri" w:hAnsi="Calibri"/>
          <w:color w:val="1E5AA0"/>
          <w:sz w:val="26"/>
        </w:rPr>
        <w:t>Master Project &amp; Literature Review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A6978"/>
                <w:sz w:val="18"/>
              </w:rPr>
              <w:t>Project Type</w:t>
              <w:br/>
            </w:r>
            <w:r>
              <w:rPr>
                <w:color w:val="23282D"/>
                <w:sz w:val="19"/>
              </w:rPr>
              <w:t>Final Year Project (2-Semester, Fall 2025 – Spring 2026)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A6978"/>
                <w:sz w:val="18"/>
              </w:rPr>
              <w:t>Current Status</w:t>
              <w:br/>
            </w:r>
            <w:r>
              <w:rPr>
                <w:color w:val="23282D"/>
                <w:sz w:val="19"/>
              </w:rPr>
              <w:t>Phase 1 Complete (~60%) | Phase 2 Pending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A6978"/>
                <w:sz w:val="18"/>
              </w:rPr>
              <w:t>Last Updated</w:t>
              <w:br/>
            </w:r>
            <w:r>
              <w:rPr>
                <w:color w:val="23282D"/>
                <w:sz w:val="19"/>
              </w:rPr>
              <w:t>August 2026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color w:val="182B49"/>
          <w:sz w:val="2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1. Project Identity</w:t>
            </w:r>
          </w:p>
        </w:tc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6. Research Questions (RQ1–RQ5)</w:t>
            </w:r>
          </w:p>
        </w:tc>
      </w:tr>
      <w:tr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2. Completed Assets</w:t>
            </w:r>
          </w:p>
        </w:tc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7. Phase 2 Roadmap</w:t>
            </w:r>
          </w:p>
        </w:tc>
      </w:tr>
      <w:tr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3. Dataset Architecture</w:t>
            </w:r>
          </w:p>
        </w:tc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8. Defense / Viva Strategy</w:t>
            </w:r>
          </w:p>
        </w:tc>
      </w:tr>
      <w:tr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4. Literature Review (5 Papers)</w:t>
            </w:r>
          </w:p>
        </w:tc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9. Thesis Structure Mapping</w:t>
            </w:r>
          </w:p>
        </w:tc>
      </w:tr>
      <w:tr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5. Novelty &amp; Positioning</w:t>
            </w:r>
          </w:p>
        </w:tc>
        <w:tc>
          <w:tcPr>
            <w:tcW w:type="dxa" w:w="468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5AA0"/>
                <w:sz w:val="19"/>
              </w:rPr>
              <w:t>10. Key Numbers to Memorize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1. Project Identity</w:t>
      </w:r>
    </w:p>
    <w:p>
      <w:r>
        <w:t>AetherFlow is a standardized empirical benchmark suite and routing research framework that evaluates eight state-of-the-art LLMs across 26 benchmark sources (consolidated into five capability classes) under a strict query-aligned schema with measured per-query cost and latency. On top of this ground truth, the project establishes the three-objective (Accuracy-Cost-Latency) Pareto frontier, implements oracle and practical query-level routers, and quantifies the gap between practical and theoretically optimal routing—with particular attention to how that gap widens on difficult queries.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E5AA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82B49"/>
                <w:sz w:val="21"/>
              </w:rPr>
              <w:t xml:space="preserve">📌 One-Line Essence: </w:t>
            </w:r>
            <w:r>
              <w:rPr>
                <w:color w:val="23282D"/>
                <w:sz w:val="21"/>
              </w:rPr>
              <w:t>We route requests based on predicted answer quality per query, not price lists—providing the intelligence layer that commercial aggregators (AgentRouter, OpenRouter) lack.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The Distinction That Defines 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 / Aspect</w:t>
            </w:r>
          </w:p>
        </w:tc>
        <w:tc>
          <w:tcPr>
            <w:tcW w:type="dxa" w:w="345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Commercial Routers (AgentRouter / OpenRouter)</w:t>
            </w:r>
          </w:p>
        </w:tc>
        <w:tc>
          <w:tcPr>
            <w:tcW w:type="dxa" w:w="360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AetherFlow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Routing Decision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Price list / availability / static user preference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Predicted per-query correctness</w:t>
            </w:r>
          </w:p>
        </w:tc>
      </w:tr>
      <w:tr>
        <w:trPr>
          <w:cantSplit/>
        </w:trPr>
        <w:tc>
          <w:tcPr>
            <w:tcW w:type="dxa" w:w="2304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Uses Accuracy-Outcome Data</w:t>
            </w:r>
          </w:p>
        </w:tc>
        <w:tc>
          <w:tcPr>
            <w:tcW w:type="dxa" w:w="345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Yes — 1,887 × 8 aligned outcomes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Latency-Aware Per Query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Yes (3-objective joint optimization)</w:t>
            </w:r>
          </w:p>
        </w:tc>
      </w:tr>
      <w:tr>
        <w:trPr>
          <w:cantSplit/>
        </w:trPr>
        <w:tc>
          <w:tcPr>
            <w:tcW w:type="dxa" w:w="2304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Oracle-Gap / Research Analysis</w:t>
            </w:r>
          </w:p>
        </w:tc>
        <w:tc>
          <w:tcPr>
            <w:tcW w:type="dxa" w:w="345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Core research contribution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2. Completed Assets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Data Assets</w:t>
      </w:r>
    </w:p>
    <w:p>
      <w:pPr>
        <w:pStyle w:val="ListBullet"/>
        <w:spacing w:after="60"/>
      </w:pPr>
      <w:r>
        <w:rPr>
          <w:b/>
          <w:color w:val="182B49"/>
        </w:rPr>
        <w:t xml:space="preserve">26 Benchmark Sources: </w:t>
      </w:r>
      <w:r>
        <w:t>Cleaned, audited, and mapped into 5 capability classes: Coding, Mathematical Reasoning, Scientific Questionnaire (MCQ), General Knowledge, and Competitive Math.</w:t>
      </w:r>
    </w:p>
    <w:p>
      <w:pPr>
        <w:pStyle w:val="ListBullet"/>
        <w:spacing w:after="60"/>
      </w:pPr>
      <w:r>
        <w:rPr>
          <w:b/>
          <w:color w:val="182B49"/>
        </w:rPr>
        <w:t xml:space="preserve">8 Modern LLMs Evaluated: </w:t>
      </w:r>
      <w:r>
        <w:t>Llama-3.1-8B-Instruct, Qwen3-8B, DeepSeek-v3-0324, Gemini-2.5-Flash, Gemini-2.5-Pro, GPT-4.1, Claude-Sonnet-4, and GPT-5.</w:t>
      </w:r>
    </w:p>
    <w:p>
      <w:pPr>
        <w:pStyle w:val="ListBullet"/>
        <w:spacing w:after="60"/>
      </w:pPr>
      <w:r>
        <w:rPr>
          <w:b/>
          <w:color w:val="182B49"/>
        </w:rPr>
        <w:t xml:space="preserve">Strict Alignment: </w:t>
      </w:r>
      <w:r>
        <w:t>1,887 identical prompts × 8 models (cleaned/aligned_8_models/); extended set 3,352 × 7 (aligned_7_models/); full individual sets (individual/).</w:t>
      </w:r>
    </w:p>
    <w:p>
      <w:pPr>
        <w:pStyle w:val="ListBullet"/>
        <w:spacing w:after="60"/>
      </w:pPr>
      <w:r>
        <w:rPr>
          <w:b/>
          <w:color w:val="182B49"/>
        </w:rPr>
        <w:t xml:space="preserve">Stable query_id: </w:t>
      </w:r>
      <w:r>
        <w:t>SHA1-based query identifier backfilled into all 15 aligned CSVs—verified 1,887/1,887 match across all 8 model files; new models join on ID, not row position.</w:t>
      </w:r>
    </w:p>
    <w:p>
      <w:pPr>
        <w:pStyle w:val="ListBullet"/>
        <w:spacing w:after="60"/>
      </w:pPr>
      <w:r>
        <w:rPr>
          <w:b/>
          <w:color w:val="182B49"/>
        </w:rPr>
        <w:t xml:space="preserve">Known Quirk Handled: </w:t>
      </w:r>
      <w:r>
        <w:t>aligned_7 contains ~246 duplicate queries (3,106 unique IDs of 3,352 rows)—must deduplicate before train/test splits to avoid data leakage.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Infrastructure Assets</w:t>
      </w:r>
    </w:p>
    <w:p>
      <w:pPr>
        <w:pStyle w:val="ListBullet"/>
        <w:spacing w:after="60"/>
      </w:pPr>
      <w:r>
        <w:rPr>
          <w:b/>
          <w:color w:val="182B49"/>
        </w:rPr>
        <w:t xml:space="preserve">models_registry.json: </w:t>
      </w:r>
      <w:r>
        <w:t>Config-driven model registry containing provider details, endpoints, pricing per 1M tokens, snapshot dates, and _template entries for future models.</w:t>
      </w:r>
    </w:p>
    <w:p>
      <w:pPr>
        <w:pStyle w:val="ListBullet"/>
        <w:spacing w:after="60"/>
      </w:pPr>
      <w:r>
        <w:rPr>
          <w:b/>
          <w:color w:val="182B49"/>
        </w:rPr>
        <w:t xml:space="preserve">run_eval.py: </w:t>
      </w:r>
      <w:r>
        <w:t>Generic OpenAI-compatible evaluation harness supporting any provider (incl. local vLLM/Ollama), automated scoring for boxed math, MCQ letters A–D, numeric equivalence, measured actual_latency, and dry-run cost estimation.</w:t>
      </w:r>
    </w:p>
    <w:p>
      <w:pPr>
        <w:pStyle w:val="ListBullet"/>
        <w:spacing w:after="60"/>
      </w:pPr>
      <w:r>
        <w:rPr>
          <w:b/>
          <w:color w:val="182B49"/>
        </w:rPr>
        <w:t xml:space="preserve">add_query_ids.py: </w:t>
      </w:r>
      <w:r>
        <w:t>Query-ID backfill tool with strict idempotent execution.</w:t>
      </w:r>
    </w:p>
    <w:p>
      <w:pPr>
        <w:pStyle w:val="ListBullet"/>
        <w:spacing w:after="60"/>
      </w:pPr>
      <w:r>
        <w:rPr>
          <w:b/>
          <w:color w:val="182B49"/>
        </w:rPr>
        <w:t xml:space="preserve">Analysis &amp; Graph Tooling: </w:t>
      </w:r>
      <w:r>
        <w:t>Dedicated scripts (analyze_8_models.py, run_full_analysis_local.py, and automated graph generators).</w:t>
      </w:r>
    </w:p>
    <w:p>
      <w:pPr>
        <w:pStyle w:val="ListBullet"/>
        <w:spacing w:after="60"/>
      </w:pPr>
      <w:r>
        <w:rPr>
          <w:b/>
          <w:color w:val="182B49"/>
        </w:rPr>
        <w:t xml:space="preserve">Documentation: </w:t>
      </w:r>
      <w:r>
        <w:t>Master documentation, model selection rationale, citations repository, and project review sheets.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Measured Spread (The Routing-Relevant Variance)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 Dimension</w:t>
            </w:r>
          </w:p>
        </w:tc>
        <w:tc>
          <w:tcPr>
            <w:tcW w:type="dxa" w:w="216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Spread</w:t>
            </w:r>
          </w:p>
        </w:tc>
        <w:tc>
          <w:tcPr>
            <w:tcW w:type="dxa" w:w="4608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Comparison Points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Cost Differential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~6,200×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$0.000013 (Llama-8B) to $0.0829 (Gemini-Pro) per query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Latency Differential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~55×</w:t>
            </w:r>
          </w:p>
        </w:tc>
        <w:tc>
          <w:tcPr>
            <w:tcW w:type="dxa" w:w="460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0.19s (Gemini-Flash) to 10.8s (CoT competition math)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Accuracy Differential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~51.4 points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37.31% (Llama-8B) to 88.77% (GPT-5)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3. Dataset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E5AA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82B49"/>
                <w:sz w:val="21"/>
              </w:rPr>
              <w:t xml:space="preserve">📌 Pipeline Overview: </w:t>
            </w:r>
            <w:r>
              <w:rPr>
                <w:color w:val="23282D"/>
                <w:sz w:val="21"/>
              </w:rPr>
              <w:t>26 Benchmark Sources → Cleaning &amp; Auditing → 5 Capability Classes (Coding | Math Reasoning | Sci-QA MCQ | Gen Knowledge | Competitive Math) → 1,887 Aligned Queries (SHA1 query_id joined across 8 models) → Accuracy / Cost / Latency Evaluation → Pareto Frontier &amp; Oracle Policy → Difficulty-Stratified Failure Analysis.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b/>
          <w:color w:val="182B49"/>
        </w:rPr>
        <w:t xml:space="preserve">Schema (17 Columns): </w:t>
      </w:r>
      <w:r>
        <w:t>index, query_id, dataset_name, model_name, origin_query, prompt, ground_truth, prediction, score, correct, prompt_tokens, completion_tokens, total_tokens, cost, estimated_latency, actual_latency, raw_output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Model Taxonomy &amp; Structural Invariance</w:t>
      </w:r>
    </w:p>
    <w:p>
      <w:pPr>
        <w:spacing w:after="80"/>
      </w:pPr>
      <w:r>
        <w:t>Our model taxonomy organizes models into structural classes rather than specific snapshot names. This ensures the benchmark architecture remains valid over time—new model releases simply slot into existing classes.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Class</w:t>
            </w:r>
          </w:p>
        </w:tc>
        <w:tc>
          <w:tcPr>
            <w:tcW w:type="dxa" w:w="288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Representative Members</w:t>
            </w:r>
          </w:p>
        </w:tc>
        <w:tc>
          <w:tcPr>
            <w:tcW w:type="dxa" w:w="3888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Role in Routing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Small Open-Weights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Llama-3.1-8B, Qwen3-8B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Zero/minimal-cost anchor, edge deployment baseline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Efficient Open Flagship</w:t>
            </w:r>
          </w:p>
        </w:tc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DeepSeek-v3</w:t>
            </w:r>
          </w:p>
        </w:tc>
        <w:tc>
          <w:tcPr>
            <w:tcW w:type="dxa" w:w="388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Cost-efficiency Pareto point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Fast Cheap Closed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Gemini-2.5-Flash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Ultra-low-latency anchor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Enterprise Closed</w:t>
            </w:r>
          </w:p>
        </w:tc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GPT-4.1, Claude-Sonnet-4</w:t>
            </w:r>
          </w:p>
        </w:tc>
        <w:tc>
          <w:tcPr>
            <w:tcW w:type="dxa" w:w="388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Commercial enterprise baselines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Flagship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GPT-5, Gemini-2.5-Pro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Accuracy ceiling / quality upper-bound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4. Literature Review</w:t>
      </w:r>
    </w:p>
    <w:p>
      <w:pPr>
        <w:spacing w:after="80"/>
      </w:pPr>
      <w:r>
        <w:t>Five key papers reviewed in chronological order. Every paper maps directly to a citation, a baseline, or a testable empirical hypothesis within AetherFlow.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4.1 FrugalGPT (Stanford, 2023) — arXiv:2305.14930</w:t>
      </w:r>
    </w:p>
    <w:p>
      <w:pPr>
        <w:spacing w:before="20" w:after="40"/>
      </w:pPr>
      <w:r>
        <w:rPr>
          <w:b/>
          <w:color w:val="182B49"/>
        </w:rPr>
        <w:t xml:space="preserve">• Contribution: </w:t>
      </w:r>
      <w:r>
        <w:t>Introduced LLM cascades—query a cheap model first and escalate to stronger models when the answer is likely incorrect; demonstrated large cost reductions on GPT-3/4-era benchmarks.</w:t>
      </w:r>
    </w:p>
    <w:p>
      <w:pPr>
        <w:spacing w:before="20" w:after="40"/>
      </w:pPr>
      <w:r>
        <w:rPr>
          <w:b/>
          <w:color w:val="182B49"/>
        </w:rPr>
        <w:t xml:space="preserve">• Relation to AetherFlow: </w:t>
      </w:r>
      <w:r>
        <w:t>Ancestor citation, not a competitor. Established the cost-saving premise, but evaluated small cascades only, without a query-aligned public benchmark, no latency objective, and on pre-2024 models.</w:t>
      </w:r>
    </w:p>
    <w:p>
      <w:pPr>
        <w:spacing w:before="20" w:after="40"/>
      </w:pPr>
      <w:r>
        <w:rPr>
          <w:b/>
          <w:color w:val="182B49"/>
        </w:rPr>
        <w:t xml:space="preserve">• Use in Project: </w:t>
      </w:r>
      <w:r>
        <w:t>Foundational motivation; implement a FrugalGPT-style confidence cascade as a primary baseline router.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4.2 RouteLLM (LMSYS / UC Berkeley, 2024) — arXiv:2407.21783</w:t>
      </w:r>
    </w:p>
    <w:p>
      <w:pPr>
        <w:spacing w:before="20" w:after="40"/>
      </w:pPr>
      <w:r>
        <w:rPr>
          <w:b/>
          <w:color w:val="182B49"/>
        </w:rPr>
        <w:t xml:space="preserve">• Contribution: </w:t>
      </w:r>
      <w:r>
        <w:t>Learned pairwise router (strong vs. weak model) trained on preference data; showed ~2–3× cost savings at ~90% of GPT-4 quality; formalized the LLM routing problem.</w:t>
      </w:r>
    </w:p>
    <w:p>
      <w:pPr>
        <w:spacing w:before="20" w:after="40"/>
      </w:pPr>
      <w:r>
        <w:rPr>
          <w:b/>
          <w:color w:val="182B49"/>
        </w:rPr>
        <w:t xml:space="preserve">• Relation to AetherFlow: </w:t>
      </w:r>
      <w:r>
        <w:t>Closest methodological ancestor. However, restricted to pairwise routing, cost-quality tradeoffs only (no latency), 2024-era models, no difficulty analysis, and no oracle-gap quantification on modern flagships.</w:t>
      </w:r>
    </w:p>
    <w:p>
      <w:pPr>
        <w:spacing w:before="20" w:after="40"/>
      </w:pPr>
      <w:r>
        <w:rPr>
          <w:b/>
          <w:color w:val="182B49"/>
        </w:rPr>
        <w:t xml:space="preserve">• Use in Project: </w:t>
      </w:r>
      <w:r>
        <w:t>Implement a RouteLLM-style learned router as a baseline; cite for formal problem formulation.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4.3 Self-REF (Apple / Rice University, ICML 2025) — arXiv:2410.13284</w:t>
      </w:r>
    </w:p>
    <w:p>
      <w:pPr>
        <w:spacing w:before="20" w:after="40"/>
      </w:pPr>
      <w:r>
        <w:rPr>
          <w:b/>
          <w:color w:val="182B49"/>
        </w:rPr>
        <w:t xml:space="preserve">• Contribution: </w:t>
      </w:r>
      <w:r>
        <w:t>Trains special confidence tokens into an LLM so it reliably self-reports whether its answer is correct; extracted confidence scores improve downstream routing and rejection.</w:t>
      </w:r>
    </w:p>
    <w:p>
      <w:pPr>
        <w:spacing w:before="20" w:after="40"/>
      </w:pPr>
      <w:r>
        <w:rPr>
          <w:b/>
          <w:color w:val="182B49"/>
        </w:rPr>
        <w:t xml:space="preserve">• Relation to AetherFlow: </w:t>
      </w:r>
      <w:r>
        <w:t>A confidence-signal technique, not a benchmark or router evaluation. Answers 'how should a model express confidence?' whereas AetherFlow answers 'given 8 models' actual outcomes, how well can any router exploit query-level differences?' (Orthogonal).</w:t>
      </w:r>
    </w:p>
    <w:p>
      <w:pPr>
        <w:spacing w:before="20" w:after="40"/>
      </w:pPr>
      <w:r>
        <w:rPr>
          <w:b/>
          <w:color w:val="182B49"/>
        </w:rPr>
        <w:t xml:space="preserve">• Use in Project: </w:t>
      </w:r>
      <w:r>
        <w:t>Cite for the confidence-routing family; lightweight variant (verbalized confidence without retraining) serves as a router signal baseline.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4.4 Confident or Seek Stronger (2025) — arXiv:2502.04428</w:t>
      </w:r>
    </w:p>
    <w:p>
      <w:pPr>
        <w:spacing w:before="20" w:after="40"/>
      </w:pPr>
      <w:r>
        <w:rPr>
          <w:b/>
          <w:color w:val="182B49"/>
        </w:rPr>
        <w:t xml:space="preserve">• Contribution: </w:t>
      </w:r>
      <w:r>
        <w:t>Comprehensive benchmark of uncertainty-driven SLM-to-LLM offloading across 1,500+ settings; finds uncertainty-correctness alignment (not downstream data) drives routing success; releases calibration-data pipeline.</w:t>
      </w:r>
    </w:p>
    <w:p>
      <w:pPr>
        <w:spacing w:before="20" w:after="40"/>
      </w:pPr>
      <w:r>
        <w:rPr>
          <w:b/>
          <w:color w:val="182B49"/>
        </w:rPr>
        <w:t xml:space="preserve">• Relation to AetherFlow: </w:t>
      </w:r>
      <w:r>
        <w:t>Closest in spirit (routing benchmarking), but four concrete differences:</w:t>
        <w:br/>
        <w:t>1. Pairwise vs. N-way: routes 1 SLM to 1 LLM, whereas we perform 8-way selection over a full Pareto frontier.</w:t>
        <w:br/>
        <w:t>2. Uncertainty-driven only: no learned query-feature routing (kNN/embeddings) or oracle policy.</w:t>
        <w:br/>
        <w:t>3. No latency objective: defines efficiency as avoided LLM invocations, not measured 3-objective tradeoffs.</w:t>
        <w:br/>
        <w:t>4. No difficulty/oracle gap analysis: benchmarks strategies rather than quantifying structural gaps to optimal routing.</w:t>
        <w:br/>
        <w:br/>
        <w:t>*Testable Hypothesis:* Their claim that uncertainty-correctness alignment determines routing success is directly verifiable on our 1,887 × 8 aligned dataset by computing per-class correlation between confidence and correctness across 8 models.</w:t>
      </w:r>
    </w:p>
    <w:p>
      <w:pPr>
        <w:spacing w:before="20" w:after="40"/>
      </w:pPr>
      <w:r>
        <w:rPr>
          <w:b/>
          <w:color w:val="182B49"/>
        </w:rPr>
        <w:t xml:space="preserve">• Use in Project: </w:t>
      </w:r>
      <w:r>
        <w:t>Cite for uncertainty-routing state-of-the-art; uncertainty-based router becomes a baseline; their finding becomes an explicit research sub-question.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4.5 LLMRouterBench (Shanghai AI Laboratory, 2026) — arXiv:2601.07206</w:t>
      </w:r>
    </w:p>
    <w:p>
      <w:pPr>
        <w:spacing w:before="20" w:after="40"/>
      </w:pPr>
      <w:r>
        <w:rPr>
          <w:b/>
          <w:color w:val="182B49"/>
        </w:rPr>
        <w:t xml:space="preserve">• Contribution: </w:t>
      </w:r>
      <w:r>
        <w:t>Large-scale routing benchmark; notes prior benchmarks 'lack coverage of flagship models with realistic inference costs.'</w:t>
      </w:r>
    </w:p>
    <w:p>
      <w:pPr>
        <w:spacing w:before="20" w:after="40"/>
      </w:pPr>
      <w:r>
        <w:rPr>
          <w:b/>
          <w:color w:val="182B49"/>
        </w:rPr>
        <w:t xml:space="preserve">• Relation to AetherFlow: </w:t>
      </w:r>
      <w:r>
        <w:t>The closest contemporaneous benchmark. Our core differentiators:</w:t>
        <w:br/>
        <w:t>1. Query-level strict alignment (1,887 × 8) enabling per-instance oracle computation (rare even in 2026 benchmarks).</w:t>
        <w:br/>
        <w:t>2. Measured per-query latency, rather than token-count estimates.</w:t>
        <w:br/>
        <w:t>3. Difficulty-tiered capability classes supporting routing-collapse and routing-plateau analysis.</w:t>
        <w:br/>
        <w:t>4. Three-objective Pareto frontier (Accuracy-Cost-Latency), not cost-quality only.</w:t>
      </w:r>
    </w:p>
    <w:p>
      <w:pPr>
        <w:spacing w:before="20" w:after="40"/>
      </w:pPr>
      <w:r>
        <w:rPr>
          <w:b/>
          <w:color w:val="182B49"/>
        </w:rPr>
        <w:t xml:space="preserve">• Use in Project: </w:t>
      </w:r>
      <w:r>
        <w:t>Cite as the benchmark we extend; address its stated limitations explicitly in a dedicated thesis paragraph.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4.6 Related Non-Paper Context</w:t>
      </w:r>
    </w:p>
    <w:p>
      <w:pPr>
        <w:pStyle w:val="ListBullet"/>
        <w:spacing w:after="40"/>
      </w:pPr>
      <w:r>
        <w:rPr>
          <w:b/>
        </w:rPr>
        <w:t xml:space="preserve">RouterBench (2024): </w:t>
      </w:r>
      <w:r>
        <w:t>Cost-quality only, GPT-4/Claude-2 era, admits no latency coverage—serves as a primary positioning foil.</w:t>
      </w:r>
    </w:p>
    <w:p>
      <w:pPr>
        <w:pStyle w:val="ListBullet"/>
        <w:spacing w:after="40"/>
      </w:pPr>
      <w:r>
        <w:rPr>
          <w:b/>
        </w:rPr>
        <w:t xml:space="preserve">Commercial Aggregators (AgentRouter, OpenRouter): </w:t>
      </w:r>
      <w:r>
        <w:t>Request-forwarding infrastructure lacking per-query correctness prediction. AetherFlow provides the research intelligence layer on top.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4.7 Summary Matrix of Related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01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Paper</w:t>
            </w:r>
          </w:p>
        </w:tc>
        <w:tc>
          <w:tcPr>
            <w:tcW w:type="dxa" w:w="864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187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Threat to Novelty</w:t>
            </w:r>
          </w:p>
        </w:tc>
        <w:tc>
          <w:tcPr>
            <w:tcW w:type="dxa" w:w="2448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Our Use in Project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FrugalGPT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2023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Cascade method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None — Ancestor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Citation + cascade baseline</w:t>
            </w:r>
          </w:p>
        </w:tc>
      </w:tr>
      <w:tr>
        <w:trPr>
          <w:cantSplit/>
        </w:trPr>
        <w:tc>
          <w:tcPr>
            <w:tcW w:type="dxa" w:w="201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RouteLLM</w:t>
            </w:r>
          </w:p>
        </w:tc>
        <w:tc>
          <w:tcPr>
            <w:tcW w:type="dxa" w:w="864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2024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Learned pairwise router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None — Pairwise, no latency</w:t>
            </w:r>
          </w:p>
        </w:tc>
        <w:tc>
          <w:tcPr>
            <w:tcW w:type="dxa" w:w="244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Citation + learned baseline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Self-REF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2025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Confidence training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None — Orthogonal technique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Citation + confidence baseline</w:t>
            </w:r>
          </w:p>
        </w:tc>
      </w:tr>
      <w:tr>
        <w:trPr>
          <w:cantSplit/>
        </w:trPr>
        <w:tc>
          <w:tcPr>
            <w:tcW w:type="dxa" w:w="201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Confident or Seek Stronger</w:t>
            </w:r>
          </w:p>
        </w:tc>
        <w:tc>
          <w:tcPr>
            <w:tcW w:type="dxa" w:w="864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2025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Uncertainty routing benchmark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Low — Pairwise, UQ-only, no latency</w:t>
            </w:r>
          </w:p>
        </w:tc>
        <w:tc>
          <w:tcPr>
            <w:tcW w:type="dxa" w:w="244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Baseline + testable hypothesis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LLMRouterBench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2026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Routing benchmark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Moderate — Closest work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Explicit differentiation paragraph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5. Novelty and Positioning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What We Do NOT Claim</w:t>
      </w:r>
    </w:p>
    <w:p>
      <w:pPr>
        <w:pStyle w:val="ListBullet"/>
        <w:spacing w:after="40"/>
      </w:pPr>
      <w:r>
        <w:t>We did not invent LLM routing (FrugalGPT and RouteLLM pioneered the field).</w:t>
      </w:r>
    </w:p>
    <w:p>
      <w:pPr>
        <w:pStyle w:val="ListBullet"/>
        <w:spacing w:after="40"/>
      </w:pPr>
      <w:r>
        <w:t>We do not claim three-way Pareto routing is mathematically unprecedented.</w:t>
      </w:r>
    </w:p>
    <w:p>
      <w:pPr>
        <w:pStyle w:val="ListBullet"/>
        <w:spacing w:after="40"/>
      </w:pPr>
      <w:r>
        <w:t>We are not building a commercial routing service or competing on aggregator infrastructure.</w:t>
      </w: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What We DO Claim (The Combination Novelty)</w:t>
      </w:r>
    </w:p>
    <w:p>
      <w:pPr>
        <w:pStyle w:val="ListBullet"/>
        <w:spacing w:after="40"/>
      </w:pPr>
      <w:r>
        <w:rPr>
          <w:b/>
        </w:rPr>
        <w:t xml:space="preserve">Modern Model Pool: </w:t>
      </w:r>
      <w:r>
        <w:t>2025–2026 flagships + open-weights anchors vs. GPT-4-era prior work.</w:t>
      </w:r>
    </w:p>
    <w:p>
      <w:pPr>
        <w:pStyle w:val="ListBullet"/>
        <w:spacing w:after="40"/>
      </w:pPr>
      <w:r>
        <w:rPr>
          <w:b/>
        </w:rPr>
        <w:t xml:space="preserve">Measured Latency: </w:t>
      </w:r>
      <w:r>
        <w:t>Per-query physical wall-clock latency, not synthetic token-count approximations.</w:t>
      </w:r>
    </w:p>
    <w:p>
      <w:pPr>
        <w:pStyle w:val="ListBullet"/>
        <w:spacing w:after="40"/>
      </w:pPr>
      <w:r>
        <w:rPr>
          <w:b/>
        </w:rPr>
        <w:t xml:space="preserve">Strict Query Alignment: </w:t>
      </w:r>
      <w:r>
        <w:t>1,887 × 8 strictly aligned queries across 5 capability classes allowing exact per-instance oracle computation.</w:t>
      </w:r>
    </w:p>
    <w:p>
      <w:pPr>
        <w:pStyle w:val="ListBullet"/>
        <w:spacing w:after="40"/>
      </w:pPr>
      <w:r>
        <w:rPr>
          <w:b/>
        </w:rPr>
        <w:t xml:space="preserve">Three-Objective Pareto Frontier: </w:t>
      </w:r>
      <w:r>
        <w:t>Rigorous joint optimization over Accuracy, Cost, and Measured Latency.</w:t>
      </w:r>
    </w:p>
    <w:p>
      <w:pPr>
        <w:pStyle w:val="ListBullet"/>
        <w:spacing w:after="40"/>
      </w:pPr>
      <w:r>
        <w:rPr>
          <w:b/>
        </w:rPr>
        <w:t xml:space="preserve">Per-Query Oracle Gap: </w:t>
      </w:r>
      <w:r>
        <w:t>Quantifying the precise empirical gap between practical routers and theoretical optimal bounds.</w:t>
      </w:r>
    </w:p>
    <w:p>
      <w:pPr>
        <w:pStyle w:val="ListBullet"/>
        <w:spacing w:after="40"/>
      </w:pPr>
      <w:r>
        <w:rPr>
          <w:b/>
        </w:rPr>
        <w:t xml:space="preserve">Difficulty-Stratified Analysis: </w:t>
      </w:r>
      <w:r>
        <w:t>Directly connecting empirical failures to published routing-collapse and routing-plateau phenomena.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E5AA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82B49"/>
                <w:sz w:val="21"/>
              </w:rPr>
              <w:t xml:space="preserve">📌 Safe Positioning Statement (Thesis Abstract): </w:t>
            </w:r>
            <w:r>
              <w:rPr>
                <w:color w:val="23282D"/>
                <w:sz w:val="21"/>
              </w:rPr>
              <w:t>"AetherFlow investigates modern multi-LLM routing under a jointly measured Accuracy-Cost-Latency objective. We construct an independently curated and query-aligned benchmark spanning five capability classes and eight contemporary LLMs, including flagship and low-cost models with substantial variation in inference cost and measured latency. Beyond establishing the resulting Pareto frontier, we evaluate practical query-level routers against an oracle routing policy and analyze their performance across capability and difficulty levels, with particular attention to the gap between practical and optimal routing."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6. Research Questions (RQ1–RQ5)</w:t>
      </w:r>
    </w:p>
    <w:p>
      <w:pPr>
        <w:spacing w:before="40" w:after="60"/>
      </w:pPr>
      <w:r>
        <w:rPr>
          <w:b/>
          <w:color w:val="182B49"/>
        </w:rPr>
        <w:t xml:space="preserve">RQ1 — Model Landscape: </w:t>
      </w:r>
      <w:r>
        <w:t xml:space="preserve">How do modern LLMs differ across accuracy, cost, and latency? </w:t>
      </w:r>
      <w:r>
        <w:rPr>
          <w:i/>
          <w:color w:val="5A6978"/>
        </w:rPr>
        <w:t>[Answered by the 1,887 × 8 benchmark.]</w:t>
      </w:r>
    </w:p>
    <w:p>
      <w:pPr>
        <w:spacing w:before="40" w:after="60"/>
      </w:pPr>
      <w:r>
        <w:rPr>
          <w:b/>
          <w:color w:val="182B49"/>
        </w:rPr>
        <w:t xml:space="preserve">RQ2 — Pareto Efficiency: </w:t>
      </w:r>
      <w:r>
        <w:t xml:space="preserve">Which models are Pareto-optimal under joint Accuracy-Cost-Latency constraints? </w:t>
      </w:r>
      <w:r>
        <w:rPr>
          <w:i/>
          <w:color w:val="5A6978"/>
        </w:rPr>
        <w:t>[Answered by Pareto frontier analysis.]</w:t>
      </w:r>
    </w:p>
    <w:p>
      <w:pPr>
        <w:spacing w:before="40" w:after="60"/>
      </w:pPr>
      <w:r>
        <w:rPr>
          <w:b/>
          <w:color w:val="182B49"/>
        </w:rPr>
        <w:t xml:space="preserve">RQ3 — Routing Effectiveness: </w:t>
      </w:r>
      <w:r>
        <w:t xml:space="preserve">Can query-level routing achieve comparable quality at substantially lower cost and latency than always using the strongest model? </w:t>
      </w:r>
      <w:r>
        <w:rPr>
          <w:i/>
          <w:color w:val="5A6978"/>
        </w:rPr>
        <w:t>[Main routing experiments.]</w:t>
      </w:r>
    </w:p>
    <w:p>
      <w:pPr>
        <w:spacing w:before="40" w:after="60"/>
      </w:pPr>
      <w:r>
        <w:rPr>
          <w:b/>
          <w:color w:val="182B49"/>
        </w:rPr>
        <w:t xml:space="preserve">RQ4 — Difficulty Stratification: </w:t>
      </w:r>
      <w:r>
        <w:t xml:space="preserve">Does routing performance deteriorate disproportionately on difficult queries? </w:t>
      </w:r>
      <w:r>
        <w:rPr>
          <w:i/>
          <w:color w:val="5A6978"/>
        </w:rPr>
        <w:t>[Capability × difficulty breakdown.]</w:t>
      </w:r>
    </w:p>
    <w:p>
      <w:pPr>
        <w:spacing w:before="40" w:after="60"/>
      </w:pPr>
      <w:r>
        <w:rPr>
          <w:b/>
          <w:color w:val="182B49"/>
        </w:rPr>
        <w:t xml:space="preserve">RQ5 — Gap to Oracle: </w:t>
      </w:r>
      <w:r>
        <w:t xml:space="preserve">How close can practical routers get to the theoretically optimal per-query routing policy? </w:t>
      </w:r>
      <w:r>
        <w:rPr>
          <w:i/>
          <w:color w:val="5A6978"/>
        </w:rPr>
        <w:t>[Core analytical chapter.]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E5AA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82B49"/>
                <w:sz w:val="21"/>
              </w:rPr>
              <w:t xml:space="preserve">📌 Oracle Formulation: </w:t>
            </w:r>
            <w:r>
              <w:rPr>
                <w:color w:val="23282D"/>
                <w:sz w:val="21"/>
              </w:rPr>
              <w:t>For quality threshold A_min (e.g., 90%), for every query q:</w:t>
              <w:br/>
              <w:t>m*(q) = argmin_m [ C_m(q) + α · L_m(q) ]   subject to   correct_m(q) = 1</w:t>
              <w:br/>
              <w:t>Oracle Gap = Performance(oracle) - Performance(router)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7. Phase 2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87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Estimated Effort</w:t>
            </w:r>
          </w:p>
        </w:tc>
        <w:tc>
          <w:tcPr>
            <w:tcW w:type="dxa" w:w="331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Output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1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Oracle Router on Aligned Data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~1 day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Headline result: oracle table + gap baseline</w:t>
            </w:r>
          </w:p>
        </w:tc>
      </w:tr>
      <w:tr>
        <w:trPr>
          <w:cantSplit/>
        </w:trPr>
        <w:tc>
          <w:tcPr>
            <w:tcW w:type="dxa" w:w="57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Baseline Routers Implementation</w:t>
              <w:br/>
              <w:t>(Cheapest, Strongest, Cascade, Confidence, kNN)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~1 week</w:t>
            </w:r>
          </w:p>
        </w:tc>
        <w:tc>
          <w:tcPr>
            <w:tcW w:type="dxa" w:w="331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Comprehensive baseline roster table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3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Learned Router ('Our Method')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1–2 weeks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AetherFlow router row &amp; model weights</w:t>
            </w:r>
          </w:p>
        </w:tc>
      </w:tr>
      <w:tr>
        <w:trPr>
          <w:cantSplit/>
        </w:trPr>
        <w:tc>
          <w:tcPr>
            <w:tcW w:type="dxa" w:w="57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4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Stratified Splits &amp; Leakage Checks</w:t>
              <w:br/>
              <w:t>(70/15/15 by capability × difficulty; dedup aligned_7)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~2 days</w:t>
            </w:r>
          </w:p>
        </w:tc>
        <w:tc>
          <w:tcPr>
            <w:tcW w:type="dxa" w:w="331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Trustworthy, leak-free evaluation dataset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Evaluation Suite &amp; Difficulty Breakdown</w:t>
              <w:br/>
              <w:t>(Main table + Easy/Medium/Hard analysis)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~3 days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Strongest empirical chapter for thesis</w:t>
            </w:r>
          </w:p>
        </w:tc>
      </w:tr>
      <w:tr>
        <w:trPr>
          <w:cantSplit/>
        </w:trPr>
        <w:tc>
          <w:tcPr>
            <w:tcW w:type="dxa" w:w="57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6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Explicit RQ1–RQ5 Synthesis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Writing</w:t>
            </w:r>
          </w:p>
        </w:tc>
        <w:tc>
          <w:tcPr>
            <w:tcW w:type="dxa" w:w="331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Completed thesis chapters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7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Fresh-Model Integration Demo</w:t>
              <w:br/>
              <w:t>(via run_eval.py + registry before viva)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~0.5 day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Proves extensibility; resolves 'latest models' query</w:t>
            </w:r>
          </w:p>
        </w:tc>
      </w:tr>
      <w:tr>
        <w:trPr>
          <w:cantSplit/>
        </w:trPr>
        <w:tc>
          <w:tcPr>
            <w:tcW w:type="dxa" w:w="57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8</w:t>
            </w:r>
          </w:p>
        </w:tc>
        <w:tc>
          <w:tcPr>
            <w:tcW w:type="dxa" w:w="360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Thesis Writing &amp; Live Routing Demo Prep</w:t>
            </w:r>
          </w:p>
        </w:tc>
        <w:tc>
          <w:tcPr>
            <w:tcW w:type="dxa" w:w="187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Ongoing</w:t>
            </w:r>
          </w:p>
        </w:tc>
        <w:tc>
          <w:tcPr>
            <w:tcW w:type="dxa" w:w="331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Defense-ready thesis &amp; presentation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5AA0"/>
          <w:sz w:val="25"/>
        </w:rPr>
        <w:t>Target Results Table Format (Illustrative)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88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Router Strategy</w:t>
            </w:r>
          </w:p>
        </w:tc>
        <w:tc>
          <w:tcPr>
            <w:tcW w:type="dxa" w:w="129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 / Query</w:t>
            </w:r>
          </w:p>
        </w:tc>
        <w:tc>
          <w:tcPr>
            <w:tcW w:type="dxa" w:w="1296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44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 Reduction</w:t>
            </w:r>
          </w:p>
        </w:tc>
        <w:tc>
          <w:tcPr>
            <w:tcW w:type="dxa" w:w="115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Oracle Gap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GPT-5 Only (Upper Bound)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High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$$$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Slow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0.0%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Cheapest Only (Llama-8B)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Low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Fast</w:t>
            </w:r>
          </w:p>
        </w:tc>
        <w:tc>
          <w:tcPr>
            <w:tcW w:type="dxa" w:w="144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~90.0%</w:t>
            </w:r>
          </w:p>
        </w:tc>
        <w:tc>
          <w:tcPr>
            <w:tcW w:type="dxa" w:w="115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Large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kNN Router (RouteLLM-style)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~92%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$$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Medium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~72.0%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Moderate</w:t>
            </w:r>
          </w:p>
        </w:tc>
      </w:tr>
      <w:tr>
        <w:trPr>
          <w:cantSplit/>
        </w:trPr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Confidence Cascade (FrugalGPT)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~93%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$$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Medium</w:t>
            </w:r>
          </w:p>
        </w:tc>
        <w:tc>
          <w:tcPr>
            <w:tcW w:type="dxa" w:w="144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~68.0%</w:t>
            </w:r>
          </w:p>
        </w:tc>
        <w:tc>
          <w:tcPr>
            <w:tcW w:type="dxa" w:w="115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Moderate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AetherFlow Router (Ours)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~94%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$$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Medium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~75.0%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Oracle Policy (Optimal Upper Bound)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Upper Bound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$$</w:t>
            </w:r>
          </w:p>
        </w:tc>
        <w:tc>
          <w:tcPr>
            <w:tcW w:type="dxa" w:w="1296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Fast</w:t>
            </w:r>
          </w:p>
        </w:tc>
        <w:tc>
          <w:tcPr>
            <w:tcW w:type="dxa" w:w="144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~82.0%</w:t>
            </w:r>
          </w:p>
        </w:tc>
        <w:tc>
          <w:tcPr>
            <w:tcW w:type="dxa" w:w="115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3282D"/>
                <w:sz w:val="19"/>
              </w:rPr>
              <w:t>0.0%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8. Defense / Viva Strategy</w:t>
      </w:r>
    </w:p>
    <w:p>
      <w:pPr>
        <w:spacing w:before="60" w:after="20"/>
      </w:pPr>
      <w:r>
        <w:rPr>
          <w:b/>
          <w:color w:val="1E5AA0"/>
        </w:rPr>
        <w:t>Q1: 'Why are your models old / why not include the latest Opus or GPT-5.x releases?'</w:t>
      </w:r>
    </w:p>
    <w:p>
      <w:pPr>
        <w:spacing w:before="20" w:after="80"/>
      </w:pPr>
      <w:r>
        <w:t>Four-Layer Defense Answer:</w:t>
        <w:br/>
        <w:t>1. Classes, Not Models: Our 8 models represent stable architectural tiers (small-open, efficient-open, fast-cheap, enterprise, flagship). New releases occupy existing slots without altering the underlying taxonomy.</w:t>
        <w:br/>
        <w:t>2. Declared Snapshot: The evaluation window (Aug 2025 – Jan 2026) is clearly scoped. Precedent: RouteLLM evaluated GPT-4-era models and remains a standard benchmark.</w:t>
        <w:br/>
        <w:t>3. Live Extensibility Proof: Demonstrate live integration of a newly released model in under 2 hours via models_registry.json + run_eval.py on a 300-query validation split.</w:t>
        <w:br/>
        <w:t>4. Strategic Reframe: The continuous influx of new models increases choice paralysis, making automated routing a necessity rather than an optional optimization.</w:t>
      </w:r>
    </w:p>
    <w:p>
      <w:pPr>
        <w:spacing w:before="60" w:after="20"/>
      </w:pPr>
      <w:r>
        <w:rPr>
          <w:b/>
          <w:color w:val="1E5AA0"/>
        </w:rPr>
        <w:t>Q2: 'RouterBench and LLMRouterBench already exist—how is AetherFlow distinct?'</w:t>
      </w:r>
    </w:p>
    <w:p>
      <w:pPr>
        <w:spacing w:before="20" w:after="80"/>
      </w:pPr>
      <w:r>
        <w:t>They established cost-quality tradeoffs on legacy models with token-count latency approximations and without strict per-query alignment. AetherFlow delivers modern models, measured physical latency, strict 1,887 × 8 alignment, difficulty stratification, and exact oracle gap quantification.</w:t>
      </w:r>
    </w:p>
    <w:p>
      <w:pPr>
        <w:spacing w:before="60" w:after="20"/>
      </w:pPr>
      <w:r>
        <w:rPr>
          <w:b/>
          <w:color w:val="1E5AA0"/>
        </w:rPr>
        <w:t>Q3: 'What is your novelty if routing as a concept already exists?'</w:t>
      </w:r>
    </w:p>
    <w:p>
      <w:pPr>
        <w:spacing w:before="20" w:after="80"/>
      </w:pPr>
      <w:r>
        <w:t>The combination novelty: modern pool + measured physical latency + strict query alignment + 3-objective Pareto frontier + per-query oracle + difficulty-stratified failure analysis. Empirical rigor and benchmarking constitute substantial academic contributions.</w:t>
      </w:r>
    </w:p>
    <w:p>
      <w:pPr>
        <w:spacing w:before="60" w:after="20"/>
      </w:pPr>
      <w:r>
        <w:rPr>
          <w:b/>
          <w:color w:val="1E5AA0"/>
        </w:rPr>
        <w:t>Q4: 'How does this differ from commercial routers like AgentRouter or OpenRouter?'</w:t>
      </w:r>
    </w:p>
    <w:p>
      <w:pPr>
        <w:spacing w:before="20" w:after="80"/>
      </w:pPr>
      <w:r>
        <w:t>Commercial aggregators are request-routing infrastructure based on static pricing and availability rules. AetherFlow is the intelligence layer that predicts per-query correctness before dispatch. The observed 51.4-point accuracy spread proves why predictive routing is essential.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9. Thesis Structure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Thesis Chapter</w:t>
            </w:r>
          </w:p>
        </w:tc>
        <w:tc>
          <w:tcPr>
            <w:tcW w:type="dxa" w:w="4608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Chapter Content</w:t>
            </w:r>
          </w:p>
        </w:tc>
        <w:tc>
          <w:tcPr>
            <w:tcW w:type="dxa" w:w="216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Material in Repo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1. Introduction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The inference cost dilemma, model proliferation, and AetherFlow solution overview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Section 1 of this master doc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2. Literature Review</w:t>
            </w:r>
          </w:p>
        </w:tc>
        <w:tc>
          <w:tcPr>
            <w:tcW w:type="dxa" w:w="460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5-paper structured analysis, RouterBench comparison, commercial aggregator positioning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Section 4 of this master doc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3. Benchmark Methodology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26 sources, 5 capability classes, alignment protocol, 17-col schema, registry &amp; harness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Sections 2 &amp; 3 of this master doc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4. Model Landscape &amp; Pareto Frontier</w:t>
            </w:r>
          </w:p>
        </w:tc>
        <w:tc>
          <w:tcPr>
            <w:tcW w:type="dxa" w:w="460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Empirical spread, 3-objective Pareto frontier, baseline model characterization (RQ1, RQ2)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Analysis graphs &amp; harness data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5. Routing Experiments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Oracle policy, learned routers, baseline comparisons, cost/latency savings (RQ3, RQ5)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Phase 2 experimental suite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6. Difficulty &amp; Failure Analysis</w:t>
            </w:r>
          </w:p>
        </w:tc>
        <w:tc>
          <w:tcPr>
            <w:tcW w:type="dxa" w:w="460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Easy/Medium/Hard stratification, routing-collapse, and plateau phenomena (RQ4)</w:t>
            </w:r>
          </w:p>
        </w:tc>
        <w:tc>
          <w:tcPr>
            <w:tcW w:type="dxa" w:w="216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Phase 2 failure analysis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7. Conclusion &amp; Future Work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Extensibility framework, agentic workloads, and live dynamic routing pipelines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Phase 2 wrap-up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0"/>
        </w:rPr>
        <w:t>10. Key Numbers to Memorize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 / Parameter</w:t>
            </w:r>
          </w:p>
        </w:tc>
        <w:tc>
          <w:tcPr>
            <w:tcW w:type="dxa" w:w="2880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888"/>
            <w:shd w:fill="182B4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Context &amp; Significance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Evaluated Scale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8 Models | 26 Sources | 5 Classes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Covers small open-weights to premier flagships across diverse domains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Aligned Queries</w:t>
            </w:r>
          </w:p>
        </w:tc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1,887 Aligned (8 models)</w:t>
              <w:br/>
              <w:t>3,352 Extended (7 models)</w:t>
            </w:r>
          </w:p>
        </w:tc>
        <w:tc>
          <w:tcPr>
            <w:tcW w:type="dxa" w:w="388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Strict SHA1-matched instances; 3,106 unique queries in extended set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Cost Spread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~6,200× Differential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$0.000013/query (Llama-8B) to $0.0829/query (Gemini-Pro)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Latency Spread</w:t>
            </w:r>
          </w:p>
        </w:tc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~55× Differential</w:t>
            </w:r>
          </w:p>
        </w:tc>
        <w:tc>
          <w:tcPr>
            <w:tcW w:type="dxa" w:w="388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0.194s (Gemini-Flash) to 10.8s (CoT competition math)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Accuracy Spread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51.4 Percentage Points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37.31% (Llama-8B) to 88.77% (GPT-5)</w:t>
            </w:r>
          </w:p>
        </w:tc>
      </w:tr>
      <w:tr>
        <w:trPr>
          <w:cantSplit/>
        </w:trPr>
        <w:tc>
          <w:tcPr>
            <w:tcW w:type="dxa" w:w="2592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Target Cost Savings</w:t>
            </w:r>
          </w:p>
        </w:tc>
        <w:tc>
          <w:tcPr>
            <w:tcW w:type="dxa" w:w="2880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70% – 80% Reduction</w:t>
            </w:r>
          </w:p>
        </w:tc>
        <w:tc>
          <w:tcPr>
            <w:tcW w:type="dxa" w:w="3888"/>
            <w:shd w:fill="F4F6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Achieved while retaining 90%+ of flagship accuracy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Dataset Partition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70% Train / 15% Val / 15% Test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3282D"/>
                <w:sz w:val="19"/>
              </w:rPr>
              <w:t>Stratified across capability classes and difficulty tiers (A_min = 90%)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