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7F6227F">
      <w:pPr>
        <w:pStyle w:val="style62"/>
        <w:spacing w:after="100"/>
        <w:rPr/>
      </w:pPr>
      <w:r>
        <w:t>Enterprise Customer 360 Analytics &amp; Business Intelligence Platform</w:t>
      </w:r>
    </w:p>
    <w:p w14:paraId="044731A0">
      <w:pPr>
        <w:pStyle w:val="style0"/>
        <w:spacing w:after="120"/>
        <w:rPr/>
      </w:pPr>
      <w:r>
        <w:rPr>
          <w:i/>
          <w:iCs/>
        </w:rPr>
        <w:t>Ezitech Engineering Framework (EEF) — Industry Case Study DS-001</w:t>
      </w:r>
    </w:p>
    <w:p w14:paraId="DDE1B6F3">
      <w:pPr>
        <w:pStyle w:val="style4097"/>
        <w:spacing w:before="240" w:after="120"/>
        <w:rPr/>
      </w:pPr>
      <w:r>
        <w:t>1. Project Overview</w:t>
      </w:r>
    </w:p>
    <w:p w14:paraId="876FEA17">
      <w:pPr>
        <w:pStyle w:val="style0"/>
        <w:spacing w:after="120"/>
        <w:rPr/>
      </w:pPr>
      <w:r>
        <w:t>This project consolidates customer data from 5 business systems (POS, Website Analytics, Customer Support, Email Campaigns, Payment Systems) into a single Customer 360 profile for a multinational retail company (12M customers, 450 stores, 8 countries). The platform generates advanced analytics, executive dashboards, and data-driven insights to address key business challenges: unknown customer lifetime value, poor segmentation, high churn, and slow executive reporting.</w:t>
      </w:r>
    </w:p>
    <w:p w14:paraId="229B6520">
      <w:pPr>
        <w:pStyle w:val="style0"/>
        <w:spacing w:after="120"/>
        <w:rPr/>
      </w:pPr>
      <w:r>
        <w:t>Team: 2 Data Science Engineers   |   Duration: 4 Weeks   |   Sample dataset: 5,000 customers, 5 linked source tables</w:t>
      </w:r>
    </w:p>
    <w:p w14:paraId="C2CA4C29">
      <w:pPr>
        <w:pStyle w:val="style4097"/>
        <w:spacing w:before="240" w:after="120"/>
        <w:rPr/>
      </w:pPr>
      <w:r>
        <w:t>2.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6360"/>
      </w:tblGrid>
      <w:tr w14:paraId="C4DA3D6E">
        <w:trPr/>
        <w:tc>
          <w:tcPr>
            <w:tcW w:w="3000" w:type="dxa"/>
            <w:tcBorders/>
            <w:shd w:val="clear" w:color="auto" w:fill="d9e2f3"/>
          </w:tcPr>
          <w:p w14:paraId="D2884562">
            <w:pPr>
              <w:pStyle w:val="style0"/>
              <w:rPr/>
            </w:pPr>
            <w:r>
              <w:rPr>
                <w:b/>
                <w:bCs/>
              </w:rPr>
              <w:t>Category</w:t>
            </w:r>
          </w:p>
        </w:tc>
        <w:tc>
          <w:tcPr>
            <w:tcW w:w="6360" w:type="dxa"/>
            <w:tcBorders/>
            <w:shd w:val="clear" w:color="auto" w:fill="d9e2f3"/>
          </w:tcPr>
          <w:p w14:paraId="00CBD62B">
            <w:pPr>
              <w:pStyle w:val="style0"/>
              <w:rPr/>
            </w:pPr>
            <w:r>
              <w:rPr>
                <w:b/>
                <w:bCs/>
              </w:rPr>
              <w:t>Tools Used</w:t>
            </w:r>
          </w:p>
        </w:tc>
      </w:tr>
      <w:tr w14:paraId="32387853">
        <w:tblPrEx/>
        <w:trPr/>
        <w:tc>
          <w:tcPr>
            <w:tcW w:w="3000" w:type="dxa"/>
            <w:tcBorders/>
          </w:tcPr>
          <w:p w14:paraId="654EA116">
            <w:pPr>
              <w:pStyle w:val="style0"/>
              <w:rPr/>
            </w:pPr>
            <w:r>
              <w:rPr>
                <w:b w:val="false"/>
                <w:bCs w:val="false"/>
              </w:rPr>
              <w:t>Language</w:t>
            </w:r>
          </w:p>
        </w:tc>
        <w:tc>
          <w:tcPr>
            <w:tcW w:w="6360" w:type="dxa"/>
            <w:tcBorders/>
          </w:tcPr>
          <w:p w14:paraId="0738D59C">
            <w:pPr>
              <w:pStyle w:val="style0"/>
              <w:rPr/>
            </w:pPr>
            <w:r>
              <w:rPr>
                <w:b w:val="false"/>
                <w:bCs w:val="false"/>
              </w:rPr>
              <w:t>Python 3.14</w:t>
            </w:r>
          </w:p>
        </w:tc>
      </w:tr>
      <w:tr w14:paraId="FDDCF885">
        <w:tblPrEx/>
        <w:trPr/>
        <w:tc>
          <w:tcPr>
            <w:tcW w:w="3000" w:type="dxa"/>
            <w:tcBorders/>
          </w:tcPr>
          <w:p w14:paraId="FE833ACC">
            <w:pPr>
              <w:pStyle w:val="style0"/>
              <w:rPr/>
            </w:pPr>
            <w:r>
              <w:rPr>
                <w:b w:val="false"/>
                <w:bCs w:val="false"/>
              </w:rPr>
              <w:t>Data Processing</w:t>
            </w:r>
          </w:p>
        </w:tc>
        <w:tc>
          <w:tcPr>
            <w:tcW w:w="6360" w:type="dxa"/>
            <w:tcBorders/>
          </w:tcPr>
          <w:p w14:paraId="7A2AD36F">
            <w:pPr>
              <w:pStyle w:val="style0"/>
              <w:rPr/>
            </w:pPr>
            <w:r>
              <w:rPr>
                <w:b w:val="false"/>
                <w:bCs w:val="false"/>
              </w:rPr>
              <w:t>Pandas, NumPy</w:t>
            </w:r>
          </w:p>
        </w:tc>
      </w:tr>
      <w:tr w14:paraId="D41AFA8C">
        <w:tblPrEx/>
        <w:trPr/>
        <w:tc>
          <w:tcPr>
            <w:tcW w:w="3000" w:type="dxa"/>
            <w:tcBorders/>
          </w:tcPr>
          <w:p w14:paraId="147C4534">
            <w:pPr>
              <w:pStyle w:val="style0"/>
              <w:rPr/>
            </w:pPr>
            <w:r>
              <w:rPr>
                <w:b w:val="false"/>
                <w:bCs w:val="false"/>
              </w:rPr>
              <w:t>Statistics</w:t>
            </w:r>
          </w:p>
        </w:tc>
        <w:tc>
          <w:tcPr>
            <w:tcW w:w="6360" w:type="dxa"/>
            <w:tcBorders/>
          </w:tcPr>
          <w:p w14:paraId="CB0D4B1D">
            <w:pPr>
              <w:pStyle w:val="style0"/>
              <w:rPr/>
            </w:pPr>
            <w:r>
              <w:rPr>
                <w:b w:val="false"/>
                <w:bCs w:val="false"/>
              </w:rPr>
              <w:t>SciPy, Statsmodels</w:t>
            </w:r>
          </w:p>
        </w:tc>
      </w:tr>
      <w:tr w14:paraId="0796D3B7">
        <w:tblPrEx/>
        <w:trPr/>
        <w:tc>
          <w:tcPr>
            <w:tcW w:w="3000" w:type="dxa"/>
            <w:tcBorders/>
          </w:tcPr>
          <w:p w14:paraId="E180B733">
            <w:pPr>
              <w:pStyle w:val="style0"/>
              <w:rPr/>
            </w:pPr>
            <w:r>
              <w:rPr>
                <w:b w:val="false"/>
                <w:bCs w:val="false"/>
              </w:rPr>
              <w:t>Visualization</w:t>
            </w:r>
          </w:p>
        </w:tc>
        <w:tc>
          <w:tcPr>
            <w:tcW w:w="6360" w:type="dxa"/>
            <w:tcBorders/>
          </w:tcPr>
          <w:p w14:paraId="CB2DA0F4">
            <w:pPr>
              <w:pStyle w:val="style0"/>
              <w:rPr/>
            </w:pPr>
            <w:r>
              <w:rPr>
                <w:b w:val="false"/>
                <w:bCs w:val="false"/>
              </w:rPr>
              <w:t>Plotly, Matplotlib</w:t>
            </w:r>
          </w:p>
        </w:tc>
      </w:tr>
      <w:tr w14:paraId="2A5E96D6">
        <w:tblPrEx/>
        <w:trPr/>
        <w:tc>
          <w:tcPr>
            <w:tcW w:w="3000" w:type="dxa"/>
            <w:tcBorders/>
          </w:tcPr>
          <w:p w14:paraId="6A418253">
            <w:pPr>
              <w:pStyle w:val="style0"/>
              <w:rPr/>
            </w:pPr>
            <w:r>
              <w:rPr>
                <w:b w:val="false"/>
                <w:bCs w:val="false"/>
              </w:rPr>
              <w:t>Dashboard</w:t>
            </w:r>
          </w:p>
        </w:tc>
        <w:tc>
          <w:tcPr>
            <w:tcW w:w="6360" w:type="dxa"/>
            <w:tcBorders/>
          </w:tcPr>
          <w:p w14:paraId="D48A3EF1">
            <w:pPr>
              <w:pStyle w:val="style0"/>
              <w:rPr/>
            </w:pPr>
            <w:r>
              <w:rPr>
                <w:b w:val="false"/>
                <w:bCs w:val="false"/>
              </w:rPr>
              <w:t>Streamlit</w:t>
            </w:r>
          </w:p>
        </w:tc>
      </w:tr>
      <w:tr w14:paraId="2AA5C309">
        <w:tblPrEx/>
        <w:trPr/>
        <w:tc>
          <w:tcPr>
            <w:tcW w:w="3000" w:type="dxa"/>
            <w:tcBorders/>
          </w:tcPr>
          <w:p w14:paraId="F4A4FA45">
            <w:pPr>
              <w:pStyle w:val="style0"/>
              <w:rPr/>
            </w:pPr>
            <w:r>
              <w:rPr>
                <w:b w:val="false"/>
                <w:bCs w:val="false"/>
              </w:rPr>
              <w:t>Data Warehouse</w:t>
            </w:r>
          </w:p>
        </w:tc>
        <w:tc>
          <w:tcPr>
            <w:tcW w:w="6360" w:type="dxa"/>
            <w:tcBorders/>
          </w:tcPr>
          <w:p w14:paraId="94D08B33">
            <w:pPr>
              <w:pStyle w:val="style0"/>
              <w:rPr/>
            </w:pPr>
            <w:r>
              <w:rPr>
                <w:b w:val="false"/>
                <w:bCs w:val="false"/>
              </w:rPr>
              <w:t>DuckDB</w:t>
            </w:r>
          </w:p>
        </w:tc>
      </w:tr>
    </w:tbl>
    <w:p w14:paraId="B4BD32C8">
      <w:pPr>
        <w:pStyle w:val="style4097"/>
        <w:spacing w:before="240" w:after="120"/>
        <w:rPr/>
      </w:pPr>
      <w:r>
        <w:t>3. Project Structure</w:t>
      </w:r>
    </w:p>
    <w:p w14:paraId="3A4B4CDD">
      <w:pPr>
        <w:pStyle w:val="style179"/>
        <w:numPr>
          <w:ilvl w:val="0"/>
          <w:numId w:val="1"/>
        </w:numPr>
        <w:spacing w:after="80"/>
        <w:rPr/>
      </w:pPr>
      <w:r>
        <w:t>app.py — Streamlit dashboard application</w:t>
      </w:r>
    </w:p>
    <w:p w14:paraId="5FACB4BE">
      <w:pPr>
        <w:pStyle w:val="style179"/>
        <w:numPr>
          <w:ilvl w:val="0"/>
          <w:numId w:val="1"/>
        </w:numPr>
        <w:spacing w:after="80"/>
        <w:rPr/>
      </w:pPr>
      <w:r>
        <w:t>customer_360.csv — Master merged customer table</w:t>
      </w:r>
    </w:p>
    <w:p w14:paraId="986D92C4">
      <w:pPr>
        <w:pStyle w:val="style179"/>
        <w:numPr>
          <w:ilvl w:val="0"/>
          <w:numId w:val="1"/>
        </w:numPr>
        <w:spacing w:after="80"/>
        <w:rPr/>
      </w:pPr>
      <w:r>
        <w:t>monthly_revenue.csv — Monthly revenue time series</w:t>
      </w:r>
    </w:p>
    <w:p w14:paraId="85AFF1C0">
      <w:pPr>
        <w:pStyle w:val="style179"/>
        <w:numPr>
          <w:ilvl w:val="0"/>
          <w:numId w:val="1"/>
        </w:numPr>
        <w:spacing w:after="80"/>
        <w:rPr/>
      </w:pPr>
      <w:r>
        <w:t>product_performance.csv — Product-level sales performance</w:t>
      </w:r>
    </w:p>
    <w:p w14:paraId="B4728E81">
      <w:pPr>
        <w:pStyle w:val="style179"/>
        <w:numPr>
          <w:ilvl w:val="0"/>
          <w:numId w:val="1"/>
        </w:numPr>
        <w:spacing w:after="80"/>
        <w:rPr/>
      </w:pPr>
      <w:r>
        <w:t>category_performance.csv — Category-level sales performance</w:t>
      </w:r>
    </w:p>
    <w:p w14:paraId="5B819885">
      <w:pPr>
        <w:pStyle w:val="style179"/>
        <w:numPr>
          <w:ilvl w:val="0"/>
          <w:numId w:val="1"/>
        </w:numPr>
        <w:spacing w:after="80"/>
        <w:rPr/>
      </w:pPr>
      <w:r>
        <w:t>store_performance.csv — Store / regional sales performance</w:t>
      </w:r>
    </w:p>
    <w:p w14:paraId="A7D3B1A7">
      <w:pPr>
        <w:pStyle w:val="style179"/>
        <w:numPr>
          <w:ilvl w:val="0"/>
          <w:numId w:val="1"/>
        </w:numPr>
        <w:spacing w:after="80"/>
        <w:rPr/>
      </w:pPr>
      <w:r>
        <w:t>campaign_performance.csv — Email marketing campaign metrics</w:t>
      </w:r>
    </w:p>
    <w:p w14:paraId="9416E77E">
      <w:pPr>
        <w:pStyle w:val="style179"/>
        <w:numPr>
          <w:ilvl w:val="0"/>
          <w:numId w:val="1"/>
        </w:numPr>
        <w:spacing w:after="80"/>
        <w:rPr/>
      </w:pPr>
      <w:r>
        <w:t>customer_360_warehouse.duckdb — DuckDB data warehouse file</w:t>
      </w:r>
    </w:p>
    <w:p w14:paraId="277ACF0C">
      <w:pPr>
        <w:pStyle w:val="style4097"/>
        <w:spacing w:before="240" w:after="120"/>
        <w:rPr/>
      </w:pPr>
      <w:r>
        <w:t>4. How to Run the Dashboard</w:t>
      </w:r>
    </w:p>
    <w:p w14:paraId="1BADE748">
      <w:pPr>
        <w:pStyle w:val="style0"/>
        <w:spacing w:after="120"/>
        <w:rPr/>
      </w:pPr>
      <w:r>
        <w:t>1. Open a terminal in the project folder.</w:t>
      </w:r>
    </w:p>
    <w:p w14:paraId="2661677E">
      <w:pPr>
        <w:pStyle w:val="style0"/>
        <w:spacing w:after="120"/>
        <w:rPr/>
      </w:pPr>
      <w:r>
        <w:t>2. Install dependencies (one time): python -m pip install streamlit plotly pandas duckdb statsmodels</w:t>
      </w:r>
    </w:p>
    <w:p w14:paraId="6D2E1A44">
      <w:pPr>
        <w:pStyle w:val="style0"/>
        <w:spacing w:after="120"/>
        <w:rPr/>
      </w:pPr>
      <w:r>
        <w:t>3. Launch the dashboard: python -m streamlit run app.py</w:t>
      </w:r>
    </w:p>
    <w:p w14:paraId="A06A003D">
      <w:pPr>
        <w:pStyle w:val="style0"/>
        <w:spacing w:after="120"/>
        <w:rPr/>
      </w:pPr>
      <w:r>
        <w:t>4. The dashboard opens automatically in your browser at http://localhost:8501</w:t>
      </w:r>
    </w:p>
    <w:p w14:paraId="EC793BB8">
      <w:pPr>
        <w:pStyle w:val="style4097"/>
        <w:spacing w:before="240" w:after="120"/>
        <w:rPr/>
      </w:pPr>
      <w:r>
        <w:t>5. Data Pipeline Summary</w:t>
      </w:r>
    </w:p>
    <w:p w14:paraId="53793FAD">
      <w:pPr>
        <w:pStyle w:val="style4098"/>
        <w:spacing w:before="240" w:after="120"/>
        <w:rPr/>
      </w:pPr>
      <w:r>
        <w:t>Step 1 — Data Collection &amp; Integration</w:t>
      </w:r>
    </w:p>
    <w:p w14:paraId="5B8F317C">
      <w:pPr>
        <w:pStyle w:val="style0"/>
        <w:spacing w:after="120"/>
        <w:rPr/>
      </w:pPr>
      <w:r>
        <w:t>Raw data was collected from 5 source systems (POS transactions, website analytics, support tickets, email campaigns, payment records), each aggregated to customer level and merged on customer_id into a single customer_360 table using a left join (5,000 unique customers, 0 duplicates).</w:t>
      </w:r>
    </w:p>
    <w:p w14:paraId="770B283C">
      <w:pPr>
        <w:pStyle w:val="style4098"/>
        <w:spacing w:before="240" w:after="120"/>
        <w:rPr/>
      </w:pPr>
      <w:r>
        <w:t>Step 2 — Data Cleaning &amp; Validation</w:t>
      </w:r>
    </w:p>
    <w:p w14:paraId="D9AB7E84">
      <w:pPr>
        <w:pStyle w:val="style179"/>
        <w:numPr>
          <w:ilvl w:val="0"/>
          <w:numId w:val="1"/>
        </w:numPr>
        <w:spacing w:after="80"/>
        <w:rPr/>
      </w:pPr>
      <w:r>
        <w:t>Missing values in count/amount columns filled with 0</w:t>
      </w:r>
    </w:p>
    <w:p w14:paraId="9FF707F3">
      <w:pPr>
        <w:pStyle w:val="style179"/>
        <w:numPr>
          <w:ilvl w:val="0"/>
          <w:numId w:val="1"/>
        </w:numPr>
        <w:spacing w:after="80"/>
        <w:rPr/>
      </w:pPr>
      <w:r>
        <w:t>Data types validated (numeric, categorical, datetime)</w:t>
      </w:r>
    </w:p>
    <w:p w14:paraId="1CFE693A">
      <w:pPr>
        <w:pStyle w:val="style179"/>
        <w:numPr>
          <w:ilvl w:val="0"/>
          <w:numId w:val="1"/>
        </w:numPr>
        <w:spacing w:after="80"/>
        <w:rPr/>
      </w:pPr>
      <w:r>
        <w:t>Negative value checks — 0 found</w:t>
      </w:r>
    </w:p>
    <w:p w14:paraId="33E03CC9">
      <w:pPr>
        <w:pStyle w:val="style179"/>
        <w:numPr>
          <w:ilvl w:val="0"/>
          <w:numId w:val="1"/>
        </w:numPr>
        <w:spacing w:after="80"/>
        <w:rPr/>
      </w:pPr>
      <w:r>
        <w:t>Customer ID format validation — 0 invalid</w:t>
      </w:r>
    </w:p>
    <w:p w14:paraId="31693CAB">
      <w:pPr>
        <w:pStyle w:val="style179"/>
        <w:numPr>
          <w:ilvl w:val="0"/>
          <w:numId w:val="1"/>
        </w:numPr>
        <w:spacing w:after="80"/>
        <w:rPr/>
      </w:pPr>
      <w:r>
        <w:t>Data warehouse layer built in DuckDB for fast SQL queries</w:t>
      </w:r>
    </w:p>
    <w:p w14:paraId="694E7856">
      <w:pPr>
        <w:pStyle w:val="style4098"/>
        <w:spacing w:before="240" w:after="120"/>
        <w:rPr/>
      </w:pPr>
      <w:r>
        <w:t>Step 3 — Customer Segmentation (RFM Analysis)</w:t>
      </w:r>
    </w:p>
    <w:p w14:paraId="AEC286B8">
      <w:pPr>
        <w:pStyle w:val="style0"/>
        <w:spacing w:after="120"/>
        <w:rPr/>
      </w:pPr>
      <w:r>
        <w:t>Recency, Frequency, and Monetary scores (1-5 scale) were calculated per customer and combined into 7 segments: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6360"/>
      </w:tblGrid>
      <w:tr w14:paraId="700541B1">
        <w:trPr/>
        <w:tc>
          <w:tcPr>
            <w:tcW w:w="3000" w:type="dxa"/>
            <w:tcBorders/>
            <w:shd w:val="clear" w:color="auto" w:fill="d9e2f3"/>
          </w:tcPr>
          <w:p w14:paraId="C0E7B0D6">
            <w:pPr>
              <w:pStyle w:val="style0"/>
              <w:rPr/>
            </w:pPr>
            <w:r>
              <w:rPr>
                <w:b/>
                <w:bCs/>
              </w:rPr>
              <w:t>Segment</w:t>
            </w:r>
          </w:p>
        </w:tc>
        <w:tc>
          <w:tcPr>
            <w:tcW w:w="6360" w:type="dxa"/>
            <w:tcBorders/>
            <w:shd w:val="clear" w:color="auto" w:fill="d9e2f3"/>
          </w:tcPr>
          <w:p w14:paraId="684B9DE6">
            <w:pPr>
              <w:pStyle w:val="style0"/>
              <w:rPr/>
            </w:pPr>
            <w:r>
              <w:rPr>
                <w:b/>
                <w:bCs/>
              </w:rPr>
              <w:t>Description</w:t>
            </w:r>
          </w:p>
        </w:tc>
      </w:tr>
      <w:tr w14:paraId="1172EF03">
        <w:tblPrEx/>
        <w:trPr/>
        <w:tc>
          <w:tcPr>
            <w:tcW w:w="3000" w:type="dxa"/>
            <w:tcBorders/>
          </w:tcPr>
          <w:p w14:paraId="2DEEF96F">
            <w:pPr>
              <w:pStyle w:val="style0"/>
              <w:rPr/>
            </w:pPr>
            <w:r>
              <w:rPr>
                <w:b w:val="false"/>
                <w:bCs w:val="false"/>
              </w:rPr>
              <w:t>Champions</w:t>
            </w:r>
          </w:p>
        </w:tc>
        <w:tc>
          <w:tcPr>
            <w:tcW w:w="6360" w:type="dxa"/>
            <w:tcBorders/>
          </w:tcPr>
          <w:p w14:paraId="B8702926">
            <w:pPr>
              <w:pStyle w:val="style0"/>
              <w:rPr/>
            </w:pPr>
            <w:r>
              <w:rPr>
                <w:b w:val="false"/>
                <w:bCs w:val="false"/>
              </w:rPr>
              <w:t>Best customers — recent, frequent, high spend</w:t>
            </w:r>
          </w:p>
        </w:tc>
      </w:tr>
      <w:tr w14:paraId="FDB1C405">
        <w:tblPrEx/>
        <w:trPr/>
        <w:tc>
          <w:tcPr>
            <w:tcW w:w="3000" w:type="dxa"/>
            <w:tcBorders/>
          </w:tcPr>
          <w:p w14:paraId="9C048192">
            <w:pPr>
              <w:pStyle w:val="style0"/>
              <w:rPr/>
            </w:pPr>
            <w:r>
              <w:rPr>
                <w:b w:val="false"/>
                <w:bCs w:val="false"/>
              </w:rPr>
              <w:t>Loyal Customers</w:t>
            </w:r>
          </w:p>
        </w:tc>
        <w:tc>
          <w:tcPr>
            <w:tcW w:w="6360" w:type="dxa"/>
            <w:tcBorders/>
          </w:tcPr>
          <w:p w14:paraId="96C22176">
            <w:pPr>
              <w:pStyle w:val="style0"/>
              <w:rPr/>
            </w:pPr>
            <w:r>
              <w:rPr>
                <w:b w:val="false"/>
                <w:bCs w:val="false"/>
              </w:rPr>
              <w:t>Consistent, trustworthy repeat buyers</w:t>
            </w:r>
          </w:p>
        </w:tc>
      </w:tr>
      <w:tr w14:paraId="DDFC6A29">
        <w:tblPrEx/>
        <w:trPr/>
        <w:tc>
          <w:tcPr>
            <w:tcW w:w="3000" w:type="dxa"/>
            <w:tcBorders/>
          </w:tcPr>
          <w:p w14:paraId="07F0058D">
            <w:pPr>
              <w:pStyle w:val="style0"/>
              <w:rPr/>
            </w:pPr>
            <w:r>
              <w:rPr>
                <w:b w:val="false"/>
                <w:bCs w:val="false"/>
              </w:rPr>
              <w:t>Potential Loyalist</w:t>
            </w:r>
          </w:p>
        </w:tc>
        <w:tc>
          <w:tcPr>
            <w:tcW w:w="6360" w:type="dxa"/>
            <w:tcBorders/>
          </w:tcPr>
          <w:p w14:paraId="DC686EE5">
            <w:pPr>
              <w:pStyle w:val="style0"/>
              <w:rPr/>
            </w:pPr>
            <w:r>
              <w:rPr>
                <w:b w:val="false"/>
                <w:bCs w:val="false"/>
              </w:rPr>
              <w:t>Good customers, close to becoming loyal</w:t>
            </w:r>
          </w:p>
        </w:tc>
      </w:tr>
      <w:tr w14:paraId="743635E6">
        <w:tblPrEx/>
        <w:trPr/>
        <w:tc>
          <w:tcPr>
            <w:tcW w:w="3000" w:type="dxa"/>
            <w:tcBorders/>
          </w:tcPr>
          <w:p w14:paraId="21990CC0">
            <w:pPr>
              <w:pStyle w:val="style0"/>
              <w:rPr/>
            </w:pPr>
            <w:r>
              <w:rPr>
                <w:b w:val="false"/>
                <w:bCs w:val="false"/>
              </w:rPr>
              <w:t>New Customers</w:t>
            </w:r>
          </w:p>
        </w:tc>
        <w:tc>
          <w:tcPr>
            <w:tcW w:w="6360" w:type="dxa"/>
            <w:tcBorders/>
          </w:tcPr>
          <w:p w14:paraId="1635D7C4">
            <w:pPr>
              <w:pStyle w:val="style0"/>
              <w:rPr/>
            </w:pPr>
            <w:r>
              <w:rPr>
                <w:b w:val="false"/>
                <w:bCs w:val="false"/>
              </w:rPr>
              <w:t>Recently acquired, low history</w:t>
            </w:r>
          </w:p>
        </w:tc>
      </w:tr>
      <w:tr w14:paraId="A2DBE986">
        <w:tblPrEx/>
        <w:trPr/>
        <w:tc>
          <w:tcPr>
            <w:tcW w:w="3000" w:type="dxa"/>
            <w:tcBorders/>
          </w:tcPr>
          <w:p w14:paraId="E97BA2B8">
            <w:pPr>
              <w:pStyle w:val="style0"/>
              <w:rPr/>
            </w:pPr>
            <w:r>
              <w:rPr>
                <w:b w:val="false"/>
                <w:bCs w:val="false"/>
              </w:rPr>
              <w:t>Needs Attention</w:t>
            </w:r>
          </w:p>
        </w:tc>
        <w:tc>
          <w:tcPr>
            <w:tcW w:w="6360" w:type="dxa"/>
            <w:tcBorders/>
          </w:tcPr>
          <w:p w14:paraId="1C904E8F">
            <w:pPr>
              <w:pStyle w:val="style0"/>
              <w:rPr/>
            </w:pPr>
            <w:r>
              <w:rPr>
                <w:b w:val="false"/>
                <w:bCs w:val="false"/>
              </w:rPr>
              <w:t>Declining engagement</w:t>
            </w:r>
          </w:p>
        </w:tc>
      </w:tr>
      <w:tr w14:paraId="FFD88CE9">
        <w:tblPrEx/>
        <w:trPr/>
        <w:tc>
          <w:tcPr>
            <w:tcW w:w="3000" w:type="dxa"/>
            <w:tcBorders/>
          </w:tcPr>
          <w:p w14:paraId="24212CE6">
            <w:pPr>
              <w:pStyle w:val="style0"/>
              <w:rPr/>
            </w:pPr>
            <w:r>
              <w:rPr>
                <w:b w:val="false"/>
                <w:bCs w:val="false"/>
              </w:rPr>
              <w:t>At Risk</w:t>
            </w:r>
          </w:p>
        </w:tc>
        <w:tc>
          <w:tcPr>
            <w:tcW w:w="6360" w:type="dxa"/>
            <w:tcBorders/>
          </w:tcPr>
          <w:p w14:paraId="600E2FD0">
            <w:pPr>
              <w:pStyle w:val="style0"/>
              <w:rPr/>
            </w:pPr>
            <w:r>
              <w:rPr>
                <w:b w:val="false"/>
                <w:bCs w:val="false"/>
              </w:rPr>
              <w:t>High past value, recently inactive — churn risk</w:t>
            </w:r>
          </w:p>
        </w:tc>
      </w:tr>
      <w:tr w14:paraId="039CA360">
        <w:tblPrEx/>
        <w:trPr/>
        <w:tc>
          <w:tcPr>
            <w:tcW w:w="3000" w:type="dxa"/>
            <w:tcBorders/>
          </w:tcPr>
          <w:p w14:paraId="70F51B45">
            <w:pPr>
              <w:pStyle w:val="style0"/>
              <w:rPr/>
            </w:pPr>
            <w:r>
              <w:rPr>
                <w:b w:val="false"/>
                <w:bCs w:val="false"/>
              </w:rPr>
              <w:t>Lost</w:t>
            </w:r>
          </w:p>
        </w:tc>
        <w:tc>
          <w:tcPr>
            <w:tcW w:w="6360" w:type="dxa"/>
            <w:tcBorders/>
          </w:tcPr>
          <w:p w14:paraId="4FDFE6F4">
            <w:pPr>
              <w:pStyle w:val="style0"/>
              <w:rPr/>
            </w:pPr>
            <w:r>
              <w:rPr>
                <w:b w:val="false"/>
                <w:bCs w:val="false"/>
              </w:rPr>
              <w:t>Long inactive, low value</w:t>
            </w:r>
          </w:p>
        </w:tc>
      </w:tr>
    </w:tbl>
    <w:p w14:paraId="0ED2BE77">
      <w:pPr>
        <w:pStyle w:val="style4098"/>
        <w:spacing w:before="240" w:after="120"/>
        <w:rPr/>
      </w:pPr>
      <w:r>
        <w:t>Step 4 — Customer Analytics</w:t>
      </w:r>
    </w:p>
    <w:p w14:paraId="5DAEEFB3">
      <w:pPr>
        <w:pStyle w:val="style179"/>
        <w:numPr>
          <w:ilvl w:val="0"/>
          <w:numId w:val="1"/>
        </w:numPr>
        <w:spacing w:after="80"/>
        <w:rPr/>
      </w:pPr>
      <w:r>
        <w:t>Customer Lifetime Value (CLV) = avg_order_value x total_transactions</w:t>
      </w:r>
    </w:p>
    <w:p w14:paraId="49724AC7">
      <w:pPr>
        <w:pStyle w:val="style179"/>
        <w:numPr>
          <w:ilvl w:val="0"/>
          <w:numId w:val="1"/>
        </w:numPr>
        <w:spacing w:after="80"/>
        <w:rPr/>
      </w:pPr>
      <w:r>
        <w:t>Churn Flag: customers inactive more than 60 days flagged as "Churned"</w:t>
      </w:r>
    </w:p>
    <w:p w14:paraId="698EE611">
      <w:pPr>
        <w:pStyle w:val="style179"/>
        <w:numPr>
          <w:ilvl w:val="0"/>
          <w:numId w:val="1"/>
        </w:numPr>
        <w:spacing w:after="80"/>
        <w:rPr/>
      </w:pPr>
      <w:r>
        <w:t>Overall Churn Rate: 40.4%   |   Retention Rate: 59.6%</w:t>
      </w:r>
    </w:p>
    <w:p w14:paraId="2E1B7CD0">
      <w:pPr>
        <w:pStyle w:val="style179"/>
        <w:numPr>
          <w:ilvl w:val="0"/>
          <w:numId w:val="1"/>
        </w:numPr>
        <w:spacing w:after="80"/>
        <w:rPr/>
      </w:pPr>
      <w:r>
        <w:t>Repeat Purchase Rate: 99.98%</w:t>
      </w:r>
    </w:p>
    <w:p w14:paraId="A8E85670">
      <w:pPr>
        <w:pStyle w:val="style4098"/>
        <w:spacing w:before="240" w:after="120"/>
        <w:rPr/>
      </w:pPr>
      <w:r>
        <w:t>Step 5 — Sales Analytics</w:t>
      </w:r>
    </w:p>
    <w:p w14:paraId="911FCA1E">
      <w:pPr>
        <w:pStyle w:val="style179"/>
        <w:numPr>
          <w:ilvl w:val="0"/>
          <w:numId w:val="1"/>
        </w:numPr>
        <w:spacing w:after="80"/>
        <w:rPr/>
      </w:pPr>
      <w:r>
        <w:t>Monthly revenue trend (Jan 2023 - Dec 2024, 24 months)</w:t>
      </w:r>
    </w:p>
    <w:p w14:paraId="A01D6901">
      <w:pPr>
        <w:pStyle w:val="style179"/>
        <w:numPr>
          <w:ilvl w:val="0"/>
          <w:numId w:val="1"/>
        </w:numPr>
        <w:spacing w:after="80"/>
        <w:rPr/>
      </w:pPr>
      <w:r>
        <w:t>Product, category, and store-level performance rankings</w:t>
      </w:r>
    </w:p>
    <w:p w14:paraId="19E4250F">
      <w:pPr>
        <w:pStyle w:val="style179"/>
        <w:numPr>
          <w:ilvl w:val="0"/>
          <w:numId w:val="1"/>
        </w:numPr>
        <w:spacing w:after="80"/>
        <w:rPr/>
      </w:pPr>
      <w:r>
        <w:t>Seasonal analysis (Summer highest, Winter lowest — minor variation)</w:t>
      </w:r>
    </w:p>
    <w:p w14:paraId="D3CB33B2">
      <w:pPr>
        <w:pStyle w:val="style4098"/>
        <w:spacing w:before="240" w:after="120"/>
        <w:rPr/>
      </w:pPr>
      <w:r>
        <w:t>Step 6 — Marketing Analytics</w:t>
      </w:r>
    </w:p>
    <w:p w14:paraId="8E082A59">
      <w:pPr>
        <w:pStyle w:val="style179"/>
        <w:numPr>
          <w:ilvl w:val="0"/>
          <w:numId w:val="1"/>
        </w:numPr>
        <w:spacing w:after="80"/>
        <w:rPr/>
      </w:pPr>
      <w:r>
        <w:t>Campaign performance: open rate, click rate, conversion rate per campaign</w:t>
      </w:r>
    </w:p>
    <w:p w14:paraId="E090DD3E">
      <w:pPr>
        <w:pStyle w:val="style179"/>
        <w:numPr>
          <w:ilvl w:val="0"/>
          <w:numId w:val="1"/>
        </w:numPr>
        <w:spacing w:after="80"/>
        <w:rPr/>
      </w:pPr>
      <w:r>
        <w:t>Conversion funnel: Sent (15,000) -&gt; Opened (6,648) -&gt; Clicked (2,685) -&gt; Converted (902)</w:t>
      </w:r>
    </w:p>
    <w:p w14:paraId="A80A4685">
      <w:pPr>
        <w:pStyle w:val="style0"/>
        <w:spacing w:after="120"/>
        <w:rPr/>
      </w:pPr>
      <w:r>
        <w:rPr>
          <w:i/>
          <w:iCs/>
        </w:rPr>
        <w:t>Limitation: CAC and ROAS could not be calculated — no campaign cost / ad-spend data was available in the source dataset. This is documented rather than estimated to preserve data integrity.</w:t>
      </w:r>
    </w:p>
    <w:p w14:paraId="955E0F0F">
      <w:pPr>
        <w:pStyle w:val="style4098"/>
        <w:spacing w:before="240" w:after="120"/>
        <w:rPr/>
      </w:pPr>
      <w:r>
        <w:t>Step 7 — EDA &amp; Statistical Analysis</w:t>
      </w:r>
    </w:p>
    <w:p w14:paraId="95508E07">
      <w:pPr>
        <w:pStyle w:val="style179"/>
        <w:numPr>
          <w:ilvl w:val="0"/>
          <w:numId w:val="1"/>
        </w:numPr>
        <w:spacing w:after="80"/>
        <w:rPr/>
      </w:pPr>
      <w:r>
        <w:t>Descriptive statistics (mean, std, min/max) for all numeric fields</w:t>
      </w:r>
    </w:p>
    <w:p w14:paraId="124FDE44">
      <w:pPr>
        <w:pStyle w:val="style179"/>
        <w:numPr>
          <w:ilvl w:val="0"/>
          <w:numId w:val="1"/>
        </w:numPr>
        <w:spacing w:after="80"/>
        <w:rPr/>
      </w:pPr>
      <w:r>
        <w:t>Correlation analysis: CLV correlates strongly with total_transactions (r=0.79) and avg_order_value (r=0.57); marketing engagement shows near-zero correlation with CLV</w:t>
      </w:r>
    </w:p>
    <w:p w14:paraId="ED48611C">
      <w:pPr>
        <w:pStyle w:val="style179"/>
        <w:numPr>
          <w:ilvl w:val="0"/>
          <w:numId w:val="1"/>
        </w:numPr>
        <w:spacing w:after="80"/>
        <w:rPr/>
      </w:pPr>
      <w:r>
        <w:t>Hypothesis testing (independent t-test): Active customers spend significantly more than churned customers (p &lt; 0.0001)</w:t>
      </w:r>
    </w:p>
    <w:p w14:paraId="B9F62268">
      <w:pPr>
        <w:pStyle w:val="style179"/>
        <w:numPr>
          <w:ilvl w:val="0"/>
          <w:numId w:val="1"/>
        </w:numPr>
        <w:spacing w:after="80"/>
        <w:rPr/>
      </w:pPr>
      <w:r>
        <w:t>Time series forecast (Exponential Smoothing): 3-month revenue projection generated</w:t>
      </w:r>
    </w:p>
    <w:p w14:paraId="29C08AD7">
      <w:pPr>
        <w:pStyle w:val="style179"/>
        <w:numPr>
          <w:ilvl w:val="0"/>
          <w:numId w:val="1"/>
        </w:numPr>
        <w:spacing w:after="80"/>
        <w:rPr/>
      </w:pPr>
      <w:r>
        <w:t>Anomaly detection (IQR method): 41 high-value outlier customers identified, several flagged At Risk</w:t>
      </w:r>
    </w:p>
    <w:p w14:paraId="A8038496">
      <w:pPr>
        <w:pStyle w:val="style4098"/>
        <w:spacing w:before="240" w:after="120"/>
        <w:rPr/>
      </w:pPr>
      <w:r>
        <w:t>Step 8 — Executive Dashboard</w:t>
      </w:r>
    </w:p>
    <w:p w14:paraId="93E60BF7">
      <w:pPr>
        <w:pStyle w:val="style0"/>
        <w:spacing w:after="120"/>
        <w:rPr/>
      </w:pPr>
      <w:r>
        <w:t>Built in Streamlit, includes:</w:t>
      </w:r>
    </w:p>
    <w:p w14:paraId="F78933E0">
      <w:pPr>
        <w:pStyle w:val="style179"/>
        <w:numPr>
          <w:ilvl w:val="0"/>
          <w:numId w:val="1"/>
        </w:numPr>
        <w:spacing w:after="80"/>
        <w:rPr/>
      </w:pPr>
      <w:r>
        <w:t>KPI cards (Total Customers, Total Revenue, Churn Rate, Avg CLV)</w:t>
      </w:r>
    </w:p>
    <w:p w14:paraId="2B987C58">
      <w:pPr>
        <w:pStyle w:val="style179"/>
        <w:numPr>
          <w:ilvl w:val="0"/>
          <w:numId w:val="1"/>
        </w:numPr>
        <w:spacing w:after="80"/>
        <w:rPr/>
      </w:pPr>
      <w:r>
        <w:t>Monthly revenue trend chart</w:t>
      </w:r>
    </w:p>
    <w:p w14:paraId="A0B902A9">
      <w:pPr>
        <w:pStyle w:val="style179"/>
        <w:numPr>
          <w:ilvl w:val="0"/>
          <w:numId w:val="1"/>
        </w:numPr>
        <w:spacing w:after="80"/>
        <w:rPr/>
      </w:pPr>
      <w:r>
        <w:t>Customer segment distribution (donut chart)</w:t>
      </w:r>
    </w:p>
    <w:p w14:paraId="BE222B70">
      <w:pPr>
        <w:pStyle w:val="style179"/>
        <w:numPr>
          <w:ilvl w:val="0"/>
          <w:numId w:val="1"/>
        </w:numPr>
        <w:spacing w:after="80"/>
        <w:rPr/>
      </w:pPr>
      <w:r>
        <w:t>Category performance (bar chart)</w:t>
      </w:r>
    </w:p>
    <w:p w14:paraId="9BF2991D">
      <w:pPr>
        <w:pStyle w:val="style179"/>
        <w:numPr>
          <w:ilvl w:val="0"/>
          <w:numId w:val="1"/>
        </w:numPr>
        <w:spacing w:after="80"/>
        <w:rPr/>
      </w:pPr>
      <w:r>
        <w:t>Top 10 products by revenue</w:t>
      </w:r>
    </w:p>
    <w:p w14:paraId="0AD53ED5">
      <w:pPr>
        <w:pStyle w:val="style179"/>
        <w:numPr>
          <w:ilvl w:val="0"/>
          <w:numId w:val="1"/>
        </w:numPr>
        <w:spacing w:after="80"/>
        <w:rPr/>
      </w:pPr>
      <w:r>
        <w:t>Store performance table</w:t>
      </w:r>
    </w:p>
    <w:p w14:paraId="A8867734">
      <w:pPr>
        <w:pStyle w:val="style179"/>
        <w:numPr>
          <w:ilvl w:val="0"/>
          <w:numId w:val="1"/>
        </w:numPr>
        <w:spacing w:after="80"/>
        <w:rPr/>
      </w:pPr>
      <w:r>
        <w:t>Campaign performance table</w:t>
      </w:r>
    </w:p>
    <w:p w14:paraId="1A9DBFE7">
      <w:pPr>
        <w:pStyle w:val="style179"/>
        <w:numPr>
          <w:ilvl w:val="0"/>
          <w:numId w:val="1"/>
        </w:numPr>
        <w:spacing w:after="80"/>
        <w:rPr/>
      </w:pPr>
      <w:r>
        <w:t>Searchable customer detail table</w:t>
      </w:r>
    </w:p>
    <w:p w14:paraId="48B4E2EA">
      <w:pPr>
        <w:pStyle w:val="style4097"/>
        <w:spacing w:before="240" w:after="120"/>
        <w:rPr/>
      </w:pPr>
      <w:r>
        <w:t>6. Key Business Insights</w:t>
      </w:r>
    </w:p>
    <w:p w14:paraId="84ED769C">
      <w:pPr>
        <w:pStyle w:val="style179"/>
        <w:numPr>
          <w:ilvl w:val="0"/>
          <w:numId w:val="1"/>
        </w:numPr>
        <w:spacing w:after="80"/>
        <w:rPr/>
      </w:pPr>
      <w:r>
        <w:t>Customer value is driven by purchase behavior, not marketing engagement. Transaction frequency and order size predict CLV; email/website activity does not.</w:t>
      </w:r>
    </w:p>
    <w:p w14:paraId="98C0A487">
      <w:pPr>
        <w:pStyle w:val="style179"/>
        <w:numPr>
          <w:ilvl w:val="0"/>
          <w:numId w:val="1"/>
        </w:numPr>
        <w:spacing w:after="80"/>
        <w:rPr/>
      </w:pPr>
      <w:r>
        <w:t>40.4% of customers are currently churned, representing a major retention opportunity.</w:t>
      </w:r>
    </w:p>
    <w:p w14:paraId="A71E078C">
      <w:pPr>
        <w:pStyle w:val="style179"/>
        <w:numPr>
          <w:ilvl w:val="0"/>
          <w:numId w:val="1"/>
        </w:numPr>
        <w:spacing w:after="80"/>
        <w:rPr/>
      </w:pPr>
      <w:r>
        <w:t>41 high-value customers are statistical outliers (2-2.5x average spend); several are flagged At Risk and should be prioritized for immediate retention campaigns.</w:t>
      </w:r>
    </w:p>
    <w:p w14:paraId="31DF5AB5">
      <w:pPr>
        <w:pStyle w:val="style179"/>
        <w:numPr>
          <w:ilvl w:val="0"/>
          <w:numId w:val="1"/>
        </w:numPr>
        <w:spacing w:after="80"/>
        <w:rPr/>
      </w:pPr>
      <w:r>
        <w:t>Revenue and category sales are stable and well-diversified — no single product, category, or store dominates.</w:t>
      </w:r>
    </w:p>
    <w:p w14:paraId="A04E23B2">
      <w:pPr>
        <w:pStyle w:val="style179"/>
        <w:numPr>
          <w:ilvl w:val="0"/>
          <w:numId w:val="1"/>
        </w:numPr>
        <w:spacing w:after="80"/>
        <w:rPr/>
      </w:pPr>
      <w:r>
        <w:t>Eid Collection campaign achieved the highest conversion rate (7.16%); Loyalty Rewards underperformed and may need redesign.</w:t>
      </w:r>
    </w:p>
    <w:p w14:paraId="4E613BEC">
      <w:pPr>
        <w:pStyle w:val="style4097"/>
        <w:spacing w:before="240" w:after="120"/>
        <w:rPr/>
      </w:pPr>
      <w:r>
        <w:t>7. Known Limitations</w:t>
      </w:r>
    </w:p>
    <w:p w14:paraId="65A952EC">
      <w:pPr>
        <w:pStyle w:val="style179"/>
        <w:numPr>
          <w:ilvl w:val="0"/>
          <w:numId w:val="1"/>
        </w:numPr>
        <w:spacing w:after="80"/>
        <w:rPr/>
      </w:pPr>
      <w:r>
        <w:t>CAC, ROAS, and marketing ROI could not be computed — the dataset does not include campaign cost/ad spend fields.</w:t>
      </w:r>
    </w:p>
    <w:p w14:paraId="2AA2915A">
      <w:pPr>
        <w:pStyle w:val="style179"/>
        <w:numPr>
          <w:ilvl w:val="0"/>
          <w:numId w:val="1"/>
        </w:numPr>
        <w:spacing w:after="80"/>
        <w:rPr/>
      </w:pPr>
      <w:r>
        <w:t>Forecast is a simple trend-based projection (Exponential Smoothing without seasonality) and should be validated against actual future data.</w:t>
      </w:r>
    </w:p>
    <w:p w14:paraId="335C8891">
      <w:pPr>
        <w:pStyle w:val="style179"/>
        <w:numPr>
          <w:ilvl w:val="0"/>
          <w:numId w:val="1"/>
        </w:numPr>
        <w:spacing w:after="80"/>
        <w:rPr/>
      </w:pPr>
      <w:r>
        <w:t>Sample dataset (5,000 customers) is a subset representing the full 12M customer base described in the business problem.</w:t>
      </w:r>
    </w:p>
    <w:p w14:paraId="B60E1142">
      <w:pPr>
        <w:pStyle w:val="style4097"/>
        <w:spacing w:before="240" w:after="120"/>
        <w:rPr/>
      </w:pPr>
      <w:r>
        <w:t>8. Authors</w:t>
      </w:r>
    </w:p>
    <w:p w14:paraId="57C49E4E">
      <w:pPr>
        <w:pStyle w:val="style0"/>
        <w:spacing w:after="120"/>
        <w:rPr/>
      </w:pPr>
      <w:r>
        <w:t>Data Science Engineering Team — Ezitech Engineering Framework, Case Study DS-001</w:t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0418ea82-2884-446a-96b1-3aa9198d8379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792</Words>
  <Characters>4924</Characters>
  <Application>WPS Office</Application>
  <Paragraphs>117</Paragraphs>
  <CharactersWithSpaces>5626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2026-09-19T14:17:21Z</dcterms:created>
  <dc:creator>Un-named</dc:creator>
  <lastModifiedBy>Infinix X6531</lastModifiedBy>
  <dcterms:modified xsi:type="dcterms:W3CDTF">2026-09-19T14:17:21Z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292400bbce014beca02ea617079f12ec_23</vt:lpwstr>
  </property>
</Properties>
</file>