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JALRAKSHAK — REPRODUCIBILITY &amp; PROVENANCE REPORT</w:t>
      </w:r>
    </w:p>
    <w:p>
      <w:pPr>
        <w:jc w:val="center"/>
      </w:pPr>
      <w:r>
        <w:rPr>
          <w:i/>
          <w:sz w:val="20"/>
        </w:rPr>
        <w:t>JalRakshak SIH'26 — Evidence Hub</w:t>
      </w:r>
    </w:p>
    <w:p>
      <w:pPr>
        <w:pStyle w:val="Heading1"/>
      </w:pPr>
      <w:r>
        <w:t>Objective</w:t>
      </w:r>
    </w:p>
    <w:p>
      <w:r>
        <w:t>A reviewer should be able to identify the exact source artifact behind a displayed result, the transformations applied, and whether artifacts changed.</w:t>
      </w:r>
    </w:p>
    <w:p>
      <w:pPr>
        <w:pStyle w:val="Heading1"/>
      </w:pPr>
      <w:r>
        <w:t>Manifest fields</w:t>
      </w:r>
    </w:p>
    <w:p>
      <w:pPr>
        <w:pStyle w:val="ListBullet"/>
      </w:pPr>
      <w:r>
        <w:t>Artifact ID; filename/path; type; source scenario; parent artifact.</w:t>
      </w:r>
    </w:p>
    <w:p>
      <w:pPr>
        <w:pStyle w:val="ListBullet"/>
      </w:pPr>
      <w:r>
        <w:t>Solver/software version; timestamp.</w:t>
      </w:r>
    </w:p>
    <w:p>
      <w:pPr>
        <w:pStyle w:val="ListBullet"/>
      </w:pPr>
      <w:r>
        <w:t>CRS; bounds; resolution; units; nodata; dimensions.</w:t>
      </w:r>
    </w:p>
    <w:p>
      <w:pPr>
        <w:pStyle w:val="ListBullet"/>
      </w:pPr>
      <w:r>
        <w:t>Processing operation and script/version.</w:t>
      </w:r>
    </w:p>
    <w:p>
      <w:pPr>
        <w:pStyle w:val="ListBullet"/>
      </w:pPr>
      <w:r>
        <w:t>SHA-256 checksum.</w:t>
      </w:r>
    </w:p>
    <w:p>
      <w:pPr>
        <w:pStyle w:val="ListBullet"/>
      </w:pPr>
      <w:r>
        <w:t>Licence/attribution.</w:t>
      </w:r>
    </w:p>
    <w:p>
      <w:pPr>
        <w:pStyle w:val="ListBullet"/>
      </w:pPr>
      <w:r>
        <w:t>Validation status.</w:t>
      </w:r>
    </w:p>
    <w:p>
      <w:pPr>
        <w:pStyle w:val="Heading1"/>
      </w:pPr>
      <w:r>
        <w:t>Repeatability</w:t>
      </w:r>
    </w:p>
    <w:p>
      <w:r>
        <w:t>Numerical/decision repeatability is demonstrated for defined tests. Byte-identical file reproduction must not be claimed merely because hydraulic arrays repeat; metadata can change file hashes.</w:t>
      </w:r>
    </w:p>
    <w:p>
      <w:pPr>
        <w:pStyle w:val="Heading1"/>
      </w:pPr>
      <w:r>
        <w:t>Reproduction sequence</w:t>
      </w:r>
    </w:p>
    <w:p>
      <w:pPr>
        <w:pStyle w:val="ListNumber"/>
      </w:pPr>
      <w:r>
        <w:t>Obtain exact source/model artifacts and licences.</w:t>
      </w:r>
    </w:p>
    <w:p>
      <w:pPr>
        <w:pStyle w:val="ListNumber"/>
      </w:pPr>
      <w:r>
        <w:t>Verify checksums.</w:t>
      </w:r>
    </w:p>
    <w:p>
      <w:pPr>
        <w:pStyle w:val="ListNumber"/>
      </w:pPr>
      <w:r>
        <w:t>Verify software versions.</w:t>
      </w:r>
    </w:p>
    <w:p>
      <w:pPr>
        <w:pStyle w:val="ListNumber"/>
      </w:pPr>
      <w:r>
        <w:t>Load native HEC-RAS result.</w:t>
      </w:r>
    </w:p>
    <w:p>
      <w:pPr>
        <w:pStyle w:val="ListNumber"/>
      </w:pPr>
      <w:r>
        <w:t>Run documented adapter.</w:t>
      </w:r>
    </w:p>
    <w:p>
      <w:pPr>
        <w:pStyle w:val="ListNumber"/>
      </w:pPr>
      <w:r>
        <w:t>Apply road coupling.</w:t>
      </w:r>
    </w:p>
    <w:p>
      <w:pPr>
        <w:pStyle w:val="ListNumber"/>
      </w:pPr>
      <w:r>
        <w:t>Run EWE with identical route/travel/buffer configuration.</w:t>
      </w:r>
    </w:p>
    <w:p>
      <w:pPr>
        <w:pStyle w:val="ListNumber"/>
      </w:pPr>
      <w:r>
        <w:t>Compare decision output and limiting edge.</w:t>
      </w:r>
    </w:p>
    <w:p>
      <w:pPr>
        <w:pStyle w:val="ListNumber"/>
      </w:pPr>
      <w:r>
        <w:t>Classify any discrepancy.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