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ROAD–HYDRAULIC COUPLING REPORT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Why coupling matters</w:t>
      </w:r>
    </w:p>
    <w:p>
      <w:r>
        <w:t>Hydraulic maps describe water behavior. Emergency officers need an interpretation of that behavior on a route: where the route becomes temporally constrained and how much departure time remains under the selected scenario.</w:t>
      </w:r>
    </w:p>
    <w:p>
      <w:pPr>
        <w:pStyle w:val="Heading1"/>
      </w:pPr>
      <w:r>
        <w:t>Hardened coupling method</w:t>
      </w:r>
    </w:p>
    <w:p>
      <w:pPr>
        <w:pStyle w:val="ListBullet"/>
      </w:pPr>
      <w:r>
        <w:t>Projected road geometry in EPSG:32644 for the documented Tehri workflow.</w:t>
      </w:r>
    </w:p>
    <w:p>
      <w:pPr>
        <w:pStyle w:val="ListBullet"/>
      </w:pPr>
      <w:r>
        <w:t>Road densification ≤50 m.</w:t>
      </w:r>
    </w:p>
    <w:p>
      <w:pPr>
        <w:pStyle w:val="ListBullet"/>
      </w:pPr>
      <w:r>
        <w:t>Exact perpendicular distance to hydraulic cells.</w:t>
      </w:r>
    </w:p>
    <w:p>
      <w:pPr>
        <w:pStyle w:val="ListBullet"/>
      </w:pPr>
      <w:r>
        <w:t>Strict 150 m baseline corridor for the 100 m mesh.</w:t>
      </w:r>
    </w:p>
    <w:p>
      <w:pPr>
        <w:pStyle w:val="ListBullet"/>
      </w:pPr>
      <w:r>
        <w:t>Old 1200 m nearest-cell method rejected because distant cells could create false inundation.</w:t>
      </w:r>
    </w:p>
    <w:p>
      <w:pPr>
        <w:pStyle w:val="Heading1"/>
      </w:pPr>
      <w:r>
        <w:t>Sensitivity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Corridor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Coupled cells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Inundated cells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Max depth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t>50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75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12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30.89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Narrow sensitivity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t>100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152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22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31.63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Intermediate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t>150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230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34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31.70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Baseline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t>200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307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47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31.86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Broader sensitivity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t>500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—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—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37.25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Distant-cell influence increases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t>1200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—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—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39.19 m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t>Rejected; false association observed</w:t>
            </w:r>
          </w:p>
        </w:tc>
      </w:tr>
    </w:tbl>
    <w:p>
      <w:pPr>
        <w:pStyle w:val="Heading1"/>
      </w:pPr>
      <w:r>
        <w:t>Travel-time assumption</w:t>
      </w:r>
    </w:p>
    <w:p>
      <w:r>
        <w:t>The demonstration uses a static configured 50 km/h travel-speed assumption. It is not live traffic, dynamic congestion, or a validated evacuation-speed distribution.</w:t>
      </w:r>
    </w:p>
    <w:p>
      <w:pPr>
        <w:pStyle w:val="Heading1"/>
      </w:pPr>
      <w:r>
        <w:t>Per-edge evidence</w:t>
      </w:r>
    </w:p>
    <w:p>
      <w:pPr>
        <w:pStyle w:val="ListBullet"/>
      </w:pPr>
      <w:r>
        <w:t>Hydraulic arrival time</w:t>
      </w:r>
    </w:p>
    <w:p>
      <w:pPr>
        <w:pStyle w:val="ListBullet"/>
      </w:pPr>
      <w:r>
        <w:t>Depth where displayed</w:t>
      </w:r>
    </w:p>
    <w:p>
      <w:pPr>
        <w:pStyle w:val="ListBullet"/>
      </w:pPr>
      <w:r>
        <w:t>Velocity where displayed/used</w:t>
      </w:r>
    </w:p>
    <w:p>
      <w:pPr>
        <w:pStyle w:val="ListBullet"/>
      </w:pPr>
      <w:r>
        <w:t>Coverage/nodata state</w:t>
      </w:r>
    </w:p>
    <w:p>
      <w:pPr>
        <w:pStyle w:val="ListBullet"/>
      </w:pPr>
      <w:r>
        <w:t>Source scenario and artifact provenance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