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EXPOSURE, LOSS &amp; DAMAGE FRAMEWORK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Purpose</w:t>
      </w:r>
    </w:p>
    <w:p>
      <w:r>
        <w:t>Exposure/loss should remain a structured framework unless authoritative inventories, vulnerability functions, values and validation data exist.</w:t>
      </w:r>
    </w:p>
    <w:p>
      <w:pPr>
        <w:pStyle w:val="Heading1"/>
      </w:pPr>
      <w:r>
        <w:t>Exposure layers</w:t>
      </w:r>
    </w:p>
    <w:p>
      <w:pPr>
        <w:pStyle w:val="ListBullet"/>
      </w:pPr>
      <w:r>
        <w:t>Population/settlements where sourced</w:t>
      </w:r>
    </w:p>
    <w:p>
      <w:pPr>
        <w:pStyle w:val="ListBullet"/>
      </w:pPr>
      <w:r>
        <w:t>Buildings/critical infrastructure where legitimately sourced</w:t>
      </w:r>
    </w:p>
    <w:p>
      <w:pPr>
        <w:pStyle w:val="ListBullet"/>
      </w:pPr>
      <w:r>
        <w:t>Roads</w:t>
      </w:r>
    </w:p>
    <w:p>
      <w:pPr>
        <w:pStyle w:val="ListBullet"/>
      </w:pPr>
      <w:r>
        <w:t>Evacuation shelters/assembly areas</w:t>
      </w:r>
    </w:p>
    <w:p>
      <w:pPr>
        <w:pStyle w:val="ListBullet"/>
      </w:pPr>
      <w:r>
        <w:t>Administrative/contextual GIS</w:t>
      </w:r>
    </w:p>
    <w:p>
      <w:pPr>
        <w:pStyle w:val="Heading1"/>
      </w:pPr>
      <w:r>
        <w:t>Requirements for defensible loss analysis</w:t>
      </w:r>
    </w:p>
    <w:p>
      <w:pPr>
        <w:pStyle w:val="ListNumber"/>
      </w:pPr>
      <w:r>
        <w:t>Exposure inventory and asset classes.</w:t>
      </w:r>
    </w:p>
    <w:p>
      <w:pPr>
        <w:pStyle w:val="ListNumber"/>
      </w:pPr>
      <w:r>
        <w:t>Hazard intensity variables such as depth/velocity/duration.</w:t>
      </w:r>
    </w:p>
    <w:p>
      <w:pPr>
        <w:pStyle w:val="ListNumber"/>
      </w:pPr>
      <w:r>
        <w:t>Appropriate vulnerability/fragility functions.</w:t>
      </w:r>
    </w:p>
    <w:p>
      <w:pPr>
        <w:pStyle w:val="ListNumber"/>
      </w:pPr>
      <w:r>
        <w:t>Replacement values or explicit non-monetary consequence scale.</w:t>
      </w:r>
    </w:p>
    <w:p>
      <w:pPr>
        <w:pStyle w:val="ListNumber"/>
      </w:pPr>
      <w:r>
        <w:t>Temporal context where relevant.</w:t>
      </w:r>
    </w:p>
    <w:p>
      <w:pPr>
        <w:pStyle w:val="ListNumber"/>
      </w:pPr>
      <w:r>
        <w:t>Validation or benchmark evidence.</w:t>
      </w:r>
    </w:p>
    <w:p>
      <w:pPr>
        <w:pStyle w:val="Heading1"/>
      </w:pPr>
      <w:r>
        <w:t>Current boundary</w:t>
      </w:r>
    </w:p>
    <w:p>
      <w:r>
        <w:t>Describe this as an exposure/loss framework, not a validated financial damage predictor. Unsupported hard-coded damage curves or accuracy percentages must not be presented as established science.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