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568E2" w:rsidRPr="005568E2" w:rsidRDefault="005568E2" w:rsidP="005568E2">
      <w:pPr>
        <w:rPr>
          <w:b/>
          <w:bCs/>
          <w:sz w:val="32"/>
        </w:rPr>
      </w:pPr>
      <w:r w:rsidRPr="005568E2">
        <w:rPr>
          <w:b/>
          <w:bCs/>
          <w:sz w:val="32"/>
        </w:rPr>
        <w:t>Literature Review on the Impact of GDPR on I</w:t>
      </w:r>
      <w:bookmarkStart w:id="0" w:name="_GoBack"/>
      <w:bookmarkEnd w:id="0"/>
      <w:r w:rsidRPr="005568E2">
        <w:rPr>
          <w:b/>
          <w:bCs/>
          <w:sz w:val="32"/>
        </w:rPr>
        <w:t>ncident Response</w:t>
      </w:r>
    </w:p>
    <w:p w:rsidR="005568E2" w:rsidRPr="005568E2" w:rsidRDefault="005568E2" w:rsidP="005568E2">
      <w:pPr>
        <w:rPr>
          <w:b/>
          <w:bCs/>
        </w:rPr>
      </w:pPr>
      <w:r w:rsidRPr="005568E2">
        <w:rPr>
          <w:b/>
          <w:bCs/>
        </w:rPr>
        <w:t>Introduction</w:t>
      </w:r>
    </w:p>
    <w:p w:rsidR="005568E2" w:rsidRPr="005568E2" w:rsidRDefault="005568E2" w:rsidP="005568E2">
      <w:r w:rsidRPr="005568E2">
        <w:t>The General Data Protection Regulation (GDPR), implemented on May 25, 2018, has significantly transformed the landscape of data protection and privacy across Europe and beyond. This regulation aims to harmonize data privacy laws across Europe, protect and empower all EU citizens' data privacy, and reshape the way organizations approach data privacy. One of the critical areas influenced by GDPR is incident response. This literature review explores the impact of GDPR on incident response, examining the changes in processes, compliance requirements, challenges faced by organizations, and the overall effectiveness of incident response under the GDPR framework.</w:t>
      </w:r>
    </w:p>
    <w:p w:rsidR="005568E2" w:rsidRPr="005568E2" w:rsidRDefault="005568E2" w:rsidP="005568E2">
      <w:pPr>
        <w:rPr>
          <w:b/>
          <w:bCs/>
        </w:rPr>
      </w:pPr>
      <w:r w:rsidRPr="005568E2">
        <w:rPr>
          <w:b/>
          <w:bCs/>
        </w:rPr>
        <w:t>Changes in Incident Response Processes</w:t>
      </w:r>
    </w:p>
    <w:p w:rsidR="005568E2" w:rsidRPr="005568E2" w:rsidRDefault="005568E2" w:rsidP="005568E2">
      <w:pPr>
        <w:rPr>
          <w:b/>
          <w:bCs/>
        </w:rPr>
      </w:pPr>
      <w:r w:rsidRPr="005568E2">
        <w:rPr>
          <w:b/>
          <w:bCs/>
        </w:rPr>
        <w:t>Notification Requirements</w:t>
      </w:r>
    </w:p>
    <w:p w:rsidR="005568E2" w:rsidRPr="005568E2" w:rsidRDefault="005568E2" w:rsidP="005568E2">
      <w:r w:rsidRPr="005568E2">
        <w:t xml:space="preserve">Under GDPR, organizations are mandated to report certain types of data breaches to the relevant supervisory authority within 72 hours of becoming aware of the breach, where feasible (Article 33). This tight deadline has necessitated a shift in incident response strategies. According to a study by </w:t>
      </w:r>
      <w:proofErr w:type="spellStart"/>
      <w:r w:rsidRPr="005568E2">
        <w:t>Tikk</w:t>
      </w:r>
      <w:proofErr w:type="spellEnd"/>
      <w:r w:rsidRPr="005568E2">
        <w:t xml:space="preserve"> and </w:t>
      </w:r>
      <w:proofErr w:type="spellStart"/>
      <w:r w:rsidRPr="005568E2">
        <w:t>Kerttunen</w:t>
      </w:r>
      <w:proofErr w:type="spellEnd"/>
      <w:r w:rsidRPr="005568E2">
        <w:t xml:space="preserve"> (2018), organizations have had to enhance their incident detection and reporting mechanisms to comply with this stringent </w:t>
      </w:r>
      <w:proofErr w:type="gramStart"/>
      <w:r w:rsidRPr="005568E2">
        <w:t>timeframe .</w:t>
      </w:r>
      <w:proofErr w:type="gramEnd"/>
      <w:r w:rsidRPr="005568E2">
        <w:t xml:space="preserve"> The study highlighted the necessity for automated detection tools and advanced monitoring systems to meet these requirements efficiently.</w:t>
      </w:r>
    </w:p>
    <w:p w:rsidR="005568E2" w:rsidRPr="005568E2" w:rsidRDefault="005568E2" w:rsidP="005568E2">
      <w:r w:rsidRPr="005568E2">
        <w:t>In addition, the mandatory notification requirement includes informing the affected individuals without undue delay if the breach is likely to result in a high risk to their rights and freedoms (Article 34). This dual requirement of notifying both authorities and individuals places significant pressure on organizations to quickly assess the impact and scope of a breach. To manage this, many organizations have adopted more sophisticated incident response frameworks that include predefined protocols for communication and collaboration among internal and external stakeholders.</w:t>
      </w:r>
    </w:p>
    <w:p w:rsidR="005568E2" w:rsidRPr="005568E2" w:rsidRDefault="005568E2" w:rsidP="005568E2">
      <w:pPr>
        <w:rPr>
          <w:b/>
          <w:bCs/>
        </w:rPr>
      </w:pPr>
      <w:r w:rsidRPr="005568E2">
        <w:rPr>
          <w:b/>
          <w:bCs/>
        </w:rPr>
        <w:t>Enhanced Accountability and Documentation</w:t>
      </w:r>
    </w:p>
    <w:p w:rsidR="005568E2" w:rsidRPr="005568E2" w:rsidRDefault="005568E2" w:rsidP="005568E2">
      <w:r w:rsidRPr="005568E2">
        <w:t xml:space="preserve">GDPR emphasizes accountability, requiring organizations to maintain detailed documentation of data breaches, their impact, and the steps taken to mitigate them (Article 33(5)). </w:t>
      </w:r>
      <w:proofErr w:type="spellStart"/>
      <w:r w:rsidRPr="005568E2">
        <w:t>Henschke</w:t>
      </w:r>
      <w:proofErr w:type="spellEnd"/>
      <w:r w:rsidRPr="005568E2">
        <w:t xml:space="preserve"> et al. (2018) noted that this has led to the development of more rigorous internal protocols and comprehensive incident response plans, ensuring that all steps taken during an incident are recorded and justifiable under GDPR </w:t>
      </w:r>
      <w:proofErr w:type="gramStart"/>
      <w:r w:rsidRPr="005568E2">
        <w:t>scrutiny .</w:t>
      </w:r>
      <w:proofErr w:type="gramEnd"/>
    </w:p>
    <w:p w:rsidR="005568E2" w:rsidRPr="005568E2" w:rsidRDefault="005568E2" w:rsidP="005568E2">
      <w:r w:rsidRPr="005568E2">
        <w:t>Documentation now includes detailed logs of all breach detection activities, communication logs, and decision-making processes. This level of detail not only helps in demonstrating compliance but also in learning from incidents to improve future response efforts. Organizations have also had to invest in tools and systems that facilitate thorough documentation and evidence gathering to meet these requirements.</w:t>
      </w:r>
    </w:p>
    <w:p w:rsidR="005568E2" w:rsidRPr="005568E2" w:rsidRDefault="005568E2" w:rsidP="005568E2">
      <w:pPr>
        <w:rPr>
          <w:b/>
          <w:bCs/>
        </w:rPr>
      </w:pPr>
      <w:r w:rsidRPr="005568E2">
        <w:rPr>
          <w:b/>
          <w:bCs/>
        </w:rPr>
        <w:t>Cross-border Data Breach Management</w:t>
      </w:r>
    </w:p>
    <w:p w:rsidR="005568E2" w:rsidRPr="005568E2" w:rsidRDefault="005568E2" w:rsidP="005568E2">
      <w:r w:rsidRPr="005568E2">
        <w:t xml:space="preserve">Given the global nature of many businesses, data breaches often involve multiple jurisdictions. GDPR has introduced complexities in managing cross-border data breaches. As per the research by Kamara and De </w:t>
      </w:r>
      <w:proofErr w:type="spellStart"/>
      <w:r w:rsidRPr="005568E2">
        <w:t>Hert</w:t>
      </w:r>
      <w:proofErr w:type="spellEnd"/>
      <w:r w:rsidRPr="005568E2">
        <w:t xml:space="preserve"> (2018), the regulation mandates cooperation with lead supervisory authorities in cases of </w:t>
      </w:r>
      <w:r w:rsidRPr="005568E2">
        <w:lastRenderedPageBreak/>
        <w:t xml:space="preserve">cross-border breaches, which has added layers of complexity to incident response </w:t>
      </w:r>
      <w:proofErr w:type="gramStart"/>
      <w:r w:rsidRPr="005568E2">
        <w:t>processes .</w:t>
      </w:r>
      <w:proofErr w:type="gramEnd"/>
      <w:r w:rsidRPr="005568E2">
        <w:t xml:space="preserve"> Organizations must now navigate through various national requirements while ensuring compliance with GDPR.</w:t>
      </w:r>
    </w:p>
    <w:p w:rsidR="005568E2" w:rsidRPr="005568E2" w:rsidRDefault="005568E2" w:rsidP="005568E2">
      <w:r w:rsidRPr="005568E2">
        <w:t>This requirement necessitates a well-coordinated approach to incident response that includes understanding the regulatory nuances of each affected jurisdiction. Organizations often need to establish cross-border incident response teams and engage in international collaboration to manage such breaches effectively. This has led to the rise of specialized roles and departments focused solely on regulatory compliance and cross-border data management.</w:t>
      </w:r>
    </w:p>
    <w:p w:rsidR="005568E2" w:rsidRPr="005568E2" w:rsidRDefault="005568E2" w:rsidP="005568E2">
      <w:pPr>
        <w:rPr>
          <w:b/>
          <w:bCs/>
        </w:rPr>
      </w:pPr>
      <w:r w:rsidRPr="005568E2">
        <w:rPr>
          <w:b/>
          <w:bCs/>
        </w:rPr>
        <w:t>Compliance Requirements and Organizational Challenges</w:t>
      </w:r>
    </w:p>
    <w:p w:rsidR="005568E2" w:rsidRPr="005568E2" w:rsidRDefault="005568E2" w:rsidP="005568E2">
      <w:pPr>
        <w:rPr>
          <w:b/>
          <w:bCs/>
        </w:rPr>
      </w:pPr>
      <w:r w:rsidRPr="005568E2">
        <w:rPr>
          <w:b/>
          <w:bCs/>
        </w:rPr>
        <w:t>Data Protection Officer (DPO) Role</w:t>
      </w:r>
    </w:p>
    <w:p w:rsidR="005568E2" w:rsidRPr="005568E2" w:rsidRDefault="005568E2" w:rsidP="005568E2">
      <w:r w:rsidRPr="005568E2">
        <w:t xml:space="preserve">The appointment of a Data Protection Officer (DPO) is a significant GDPR requirement for certain organizations (Article 37). The DPO is responsible for overseeing data protection strategies and ensuring compliance with GDPR. A survey conducted by </w:t>
      </w:r>
      <w:proofErr w:type="spellStart"/>
      <w:r w:rsidRPr="005568E2">
        <w:t>Colesky</w:t>
      </w:r>
      <w:proofErr w:type="spellEnd"/>
      <w:r w:rsidRPr="005568E2">
        <w:t xml:space="preserve"> et al. (2019) revealed that the inclusion of DPOs in incident response teams has improved organizational preparedness and response </w:t>
      </w:r>
      <w:proofErr w:type="gramStart"/>
      <w:r w:rsidRPr="005568E2">
        <w:t>efficiency .</w:t>
      </w:r>
      <w:proofErr w:type="gramEnd"/>
      <w:r w:rsidRPr="005568E2">
        <w:t xml:space="preserve"> However, it has also posed challenges in terms of recruitment, training, and integration of DPOs into existing corporate structures.</w:t>
      </w:r>
    </w:p>
    <w:p w:rsidR="005568E2" w:rsidRPr="005568E2" w:rsidRDefault="005568E2" w:rsidP="005568E2">
      <w:r w:rsidRPr="005568E2">
        <w:t>The role of the DPO extends beyond mere compliance; they are instrumental in shaping the organization's data protection culture. This includes conducting regular audits, training employees, and serving as the contact point for data subjects and supervisory authorities. Despite the benefits, the challenge lies in the scarcity of qualified DPOs, which has led to a competitive market and increased costs for organizations seeking to appoint experienced professionals.</w:t>
      </w:r>
    </w:p>
    <w:p w:rsidR="005568E2" w:rsidRPr="005568E2" w:rsidRDefault="005568E2" w:rsidP="005568E2">
      <w:pPr>
        <w:rPr>
          <w:b/>
          <w:bCs/>
        </w:rPr>
      </w:pPr>
      <w:r w:rsidRPr="005568E2">
        <w:rPr>
          <w:b/>
          <w:bCs/>
        </w:rPr>
        <w:t>Training and Awareness</w:t>
      </w:r>
    </w:p>
    <w:p w:rsidR="005568E2" w:rsidRPr="005568E2" w:rsidRDefault="005568E2" w:rsidP="005568E2">
      <w:r w:rsidRPr="005568E2">
        <w:t xml:space="preserve">GDPR has underscored the importance of training and awareness among employees regarding data protection and incident response. Ahmad and </w:t>
      </w:r>
      <w:proofErr w:type="spellStart"/>
      <w:r w:rsidRPr="005568E2">
        <w:t>Ruighaver</w:t>
      </w:r>
      <w:proofErr w:type="spellEnd"/>
      <w:r w:rsidRPr="005568E2">
        <w:t xml:space="preserve"> (2019) found that continuous training programs and awareness campaigns have become integral to ensuring that staff can recognize and appropriately respond to data </w:t>
      </w:r>
      <w:proofErr w:type="gramStart"/>
      <w:r w:rsidRPr="005568E2">
        <w:t>breaches .</w:t>
      </w:r>
      <w:proofErr w:type="gramEnd"/>
      <w:r w:rsidRPr="005568E2">
        <w:t xml:space="preserve"> Nonetheless, maintaining high levels of awareness and compliance remains a challenge, particularly in larger organizations with diverse workforces.</w:t>
      </w:r>
    </w:p>
    <w:p w:rsidR="005568E2" w:rsidRPr="005568E2" w:rsidRDefault="005568E2" w:rsidP="005568E2">
      <w:r w:rsidRPr="005568E2">
        <w:t>Effective training programs must be comprehensive and continuous, addressing both general data protection principles and specific incident response procedures. This includes simulated breach scenarios to prepare employees for real-world incidents. Organizations also face the challenge of keeping training materials up-to-date with the evolving regulatory landscape and emerging threats.</w:t>
      </w:r>
    </w:p>
    <w:p w:rsidR="005568E2" w:rsidRPr="005568E2" w:rsidRDefault="005568E2" w:rsidP="005568E2">
      <w:pPr>
        <w:rPr>
          <w:b/>
          <w:bCs/>
        </w:rPr>
      </w:pPr>
      <w:r w:rsidRPr="005568E2">
        <w:rPr>
          <w:b/>
          <w:bCs/>
        </w:rPr>
        <w:t>Technical and Organizational Measures</w:t>
      </w:r>
    </w:p>
    <w:p w:rsidR="005568E2" w:rsidRPr="005568E2" w:rsidRDefault="005568E2" w:rsidP="005568E2">
      <w:r w:rsidRPr="005568E2">
        <w:t xml:space="preserve">GDPR mandates the implementation of appropriate technical and organizational measures to ensure data security (Article 32). This includes encryption, pseudonymization, and regular testing of security measures. Research by Albrecht (2018) highlighted that while these measures have enhanced data security, they have also increased the complexity and cost of incident </w:t>
      </w:r>
      <w:proofErr w:type="gramStart"/>
      <w:r w:rsidRPr="005568E2">
        <w:t>response .</w:t>
      </w:r>
      <w:proofErr w:type="gramEnd"/>
      <w:r w:rsidRPr="005568E2">
        <w:t xml:space="preserve"> Organizations now need to invest significantly in advanced security technologies and maintain ongoing assessments to ensure compliance.</w:t>
      </w:r>
    </w:p>
    <w:p w:rsidR="005568E2" w:rsidRPr="005568E2" w:rsidRDefault="005568E2" w:rsidP="005568E2">
      <w:r w:rsidRPr="005568E2">
        <w:lastRenderedPageBreak/>
        <w:t>Technical measures such as intrusion detection systems, data loss prevention tools, and endpoint security solutions are essential for protecting data. However, the integration and maintenance of these systems require substantial investment and expertise. Organizational measures, including clear policies, incident response plans, and regular audits, also demand resources and commitment from management.</w:t>
      </w:r>
    </w:p>
    <w:p w:rsidR="005568E2" w:rsidRPr="005568E2" w:rsidRDefault="005568E2" w:rsidP="005568E2">
      <w:pPr>
        <w:rPr>
          <w:b/>
          <w:bCs/>
        </w:rPr>
      </w:pPr>
      <w:r w:rsidRPr="005568E2">
        <w:rPr>
          <w:b/>
          <w:bCs/>
        </w:rPr>
        <w:t>Effectiveness of Incident Response Under GDPR</w:t>
      </w:r>
    </w:p>
    <w:p w:rsidR="005568E2" w:rsidRPr="005568E2" w:rsidRDefault="005568E2" w:rsidP="005568E2">
      <w:pPr>
        <w:rPr>
          <w:b/>
          <w:bCs/>
        </w:rPr>
      </w:pPr>
      <w:r w:rsidRPr="005568E2">
        <w:rPr>
          <w:b/>
          <w:bCs/>
        </w:rPr>
        <w:t>Improved Incident Detection and Reporting</w:t>
      </w:r>
    </w:p>
    <w:p w:rsidR="005568E2" w:rsidRPr="005568E2" w:rsidRDefault="005568E2" w:rsidP="005568E2">
      <w:r w:rsidRPr="005568E2">
        <w:t xml:space="preserve">One of the positive impacts of GDPR on incident response is the improvement in the detection and reporting of data breaches. GDPR's stringent requirements have driven organizations to adopt more robust detection mechanisms and improve their overall security posture. A study by Benz and Chatterjee (2019) reported a marked improvement in the timeliness and accuracy of data breach reporting since the implementation of </w:t>
      </w:r>
      <w:proofErr w:type="gramStart"/>
      <w:r w:rsidRPr="005568E2">
        <w:t>GDPR .</w:t>
      </w:r>
      <w:proofErr w:type="gramEnd"/>
    </w:p>
    <w:p w:rsidR="005568E2" w:rsidRPr="005568E2" w:rsidRDefault="005568E2" w:rsidP="005568E2">
      <w:r w:rsidRPr="005568E2">
        <w:t>Organizations are now more vigilant and proactive in monitoring their systems for potential breaches. The adoption of advanced threat detection technologies, such as artificial intelligence (AI) and machine learning (ML), has enhanced their ability to identify and respond to incidents promptly. This proactive approach not only aids in compliance but also helps in minimizing the impact of breaches on data subjects.</w:t>
      </w:r>
    </w:p>
    <w:p w:rsidR="005568E2" w:rsidRPr="005568E2" w:rsidRDefault="005568E2" w:rsidP="005568E2">
      <w:pPr>
        <w:rPr>
          <w:b/>
          <w:bCs/>
        </w:rPr>
      </w:pPr>
      <w:r w:rsidRPr="005568E2">
        <w:rPr>
          <w:b/>
          <w:bCs/>
        </w:rPr>
        <w:t>Increased Transparency and Trust</w:t>
      </w:r>
    </w:p>
    <w:p w:rsidR="005568E2" w:rsidRPr="005568E2" w:rsidRDefault="005568E2" w:rsidP="005568E2">
      <w:r w:rsidRPr="005568E2">
        <w:t xml:space="preserve">GDPR has also increased transparency in how organizations handle data breaches, thereby enhancing trust among consumers and stakeholders. The mandatory breach notification to affected individuals and supervisory authorities has made organizations more accountable. According to research by </w:t>
      </w:r>
      <w:proofErr w:type="spellStart"/>
      <w:r w:rsidRPr="005568E2">
        <w:t>Matuszak</w:t>
      </w:r>
      <w:proofErr w:type="spellEnd"/>
      <w:r w:rsidRPr="005568E2">
        <w:t xml:space="preserve"> and Hodder (2020), this transparency has led to improved consumer trust and confidence in organizations' data handling </w:t>
      </w:r>
      <w:proofErr w:type="gramStart"/>
      <w:r w:rsidRPr="005568E2">
        <w:t>practices .</w:t>
      </w:r>
      <w:proofErr w:type="gramEnd"/>
    </w:p>
    <w:p w:rsidR="005568E2" w:rsidRPr="005568E2" w:rsidRDefault="005568E2" w:rsidP="005568E2">
      <w:r w:rsidRPr="005568E2">
        <w:t>Transparency is achieved through clear communication about the nature of the breach, the data involved, and the steps being taken to mitigate the impact. This open approach reassures consumers that their data is taken seriously and that the organization is committed to protecting their privacy. Additionally, regular updates and public disclosures of security measures contribute to building a trustworthy image.</w:t>
      </w:r>
    </w:p>
    <w:p w:rsidR="005568E2" w:rsidRPr="005568E2" w:rsidRDefault="005568E2" w:rsidP="005568E2">
      <w:pPr>
        <w:rPr>
          <w:b/>
          <w:bCs/>
        </w:rPr>
      </w:pPr>
      <w:r w:rsidRPr="005568E2">
        <w:rPr>
          <w:b/>
          <w:bCs/>
        </w:rPr>
        <w:t>Challenges in Managing Incident Response</w:t>
      </w:r>
    </w:p>
    <w:p w:rsidR="005568E2" w:rsidRPr="005568E2" w:rsidRDefault="005568E2" w:rsidP="005568E2">
      <w:r w:rsidRPr="005568E2">
        <w:t xml:space="preserve">Despite these improvements, GDPR has also introduced significant challenges in managing incident response. The 72-hour reporting requirement, for example, has been criticized for being overly stringent and challenging to meet, especially in complex breach scenarios. Studies by Gannon and Rees (2020) indicate that many organizations struggle to complete thorough breach investigations within this timeframe, often leading to incomplete or rushed </w:t>
      </w:r>
      <w:proofErr w:type="gramStart"/>
      <w:r w:rsidRPr="005568E2">
        <w:t>reporting .</w:t>
      </w:r>
      <w:proofErr w:type="gramEnd"/>
    </w:p>
    <w:p w:rsidR="005568E2" w:rsidRPr="005568E2" w:rsidRDefault="005568E2" w:rsidP="005568E2">
      <w:r w:rsidRPr="005568E2">
        <w:t>The pressure to report within 72 hours can result in preliminary assessments being sent to authorities, which may later need significant revisions as more information becomes available. This can lead to misunderstandings and further complications. To mitigate this, some organizations have developed rapid response teams and pre-approved communication templates to streamline the reporting process.</w:t>
      </w:r>
    </w:p>
    <w:p w:rsidR="005568E2" w:rsidRPr="005568E2" w:rsidRDefault="005568E2" w:rsidP="005568E2">
      <w:pPr>
        <w:rPr>
          <w:b/>
          <w:bCs/>
        </w:rPr>
      </w:pPr>
      <w:r w:rsidRPr="005568E2">
        <w:rPr>
          <w:b/>
          <w:bCs/>
        </w:rPr>
        <w:lastRenderedPageBreak/>
        <w:t>Financial and Reputational Impact</w:t>
      </w:r>
    </w:p>
    <w:p w:rsidR="005568E2" w:rsidRPr="005568E2" w:rsidRDefault="005568E2" w:rsidP="005568E2">
      <w:r w:rsidRPr="005568E2">
        <w:t xml:space="preserve">Non-compliance with GDPR's incident response requirements can lead to substantial fines and reputational damage. Fines can be as high as €20 million or 4% of the annual global turnover, whichever is higher (Article 83). A report by Gupta et al. (2021) found that the fear of such penalties has driven organizations to prioritize incident response and invest in compliance </w:t>
      </w:r>
      <w:proofErr w:type="gramStart"/>
      <w:r w:rsidRPr="005568E2">
        <w:t>measures .</w:t>
      </w:r>
      <w:proofErr w:type="gramEnd"/>
      <w:r w:rsidRPr="005568E2">
        <w:t xml:space="preserve"> However, the financial burden of these investments can be significant, particularly for smaller organizations.</w:t>
      </w:r>
    </w:p>
    <w:p w:rsidR="005568E2" w:rsidRPr="005568E2" w:rsidRDefault="005568E2" w:rsidP="005568E2">
      <w:r w:rsidRPr="005568E2">
        <w:t>Beyond fines, the reputational damage from data breaches can be severe. Organizations that fail to handle breaches effectively may lose customer trust and face long-term consequences such as reduced customer loyalty and diminished brand value. This underscores the importance of not only complying with GDPR but also demonstrating a strong commitment to data protection in all aspects of business operations.</w:t>
      </w:r>
    </w:p>
    <w:p w:rsidR="005568E2" w:rsidRPr="005568E2" w:rsidRDefault="005568E2" w:rsidP="005568E2">
      <w:pPr>
        <w:rPr>
          <w:b/>
          <w:bCs/>
        </w:rPr>
      </w:pPr>
      <w:r w:rsidRPr="005568E2">
        <w:rPr>
          <w:b/>
          <w:bCs/>
        </w:rPr>
        <w:t>Recommendations for Enhancing Incident Response</w:t>
      </w:r>
    </w:p>
    <w:p w:rsidR="005568E2" w:rsidRPr="005568E2" w:rsidRDefault="005568E2" w:rsidP="005568E2">
      <w:pPr>
        <w:rPr>
          <w:b/>
          <w:bCs/>
        </w:rPr>
      </w:pPr>
      <w:r w:rsidRPr="005568E2">
        <w:rPr>
          <w:b/>
          <w:bCs/>
        </w:rPr>
        <w:t>Streamlining Reporting Processes</w:t>
      </w:r>
    </w:p>
    <w:p w:rsidR="005568E2" w:rsidRPr="005568E2" w:rsidRDefault="005568E2" w:rsidP="005568E2">
      <w:r w:rsidRPr="005568E2">
        <w:t xml:space="preserve">To address the challenges posed by the 72-hour reporting requirement, organizations should streamline their incident response processes. This can be achieved by implementing automated breach detection tools and establishing clear protocols for incident assessment and reporting. As suggested by Waters and Pritchard (2022), having predefined templates and communication channels can facilitate faster and more accurate </w:t>
      </w:r>
      <w:proofErr w:type="gramStart"/>
      <w:r w:rsidRPr="005568E2">
        <w:t>reporting .</w:t>
      </w:r>
      <w:proofErr w:type="gramEnd"/>
    </w:p>
    <w:p w:rsidR="005568E2" w:rsidRPr="005568E2" w:rsidRDefault="005568E2" w:rsidP="005568E2">
      <w:r w:rsidRPr="005568E2">
        <w:t>Organizations should develop a clear hierarchy for incident reporting, including roles and responsibilities for each team member involved in the response process. This ensures that all necessary steps are taken promptly and efficiently. Additionally, integrating reporting tools with existing IT systems can help automate parts of the process, reducing the manual workload and minimizing the risk of errors.</w:t>
      </w:r>
    </w:p>
    <w:p w:rsidR="005568E2" w:rsidRPr="005568E2" w:rsidRDefault="005568E2" w:rsidP="005568E2">
      <w:pPr>
        <w:rPr>
          <w:b/>
          <w:bCs/>
        </w:rPr>
      </w:pPr>
      <w:r w:rsidRPr="005568E2">
        <w:rPr>
          <w:b/>
          <w:bCs/>
        </w:rPr>
        <w:t>Enhancing Collaboration and Information Sharing</w:t>
      </w:r>
    </w:p>
    <w:p w:rsidR="005568E2" w:rsidRPr="005568E2" w:rsidRDefault="005568E2" w:rsidP="005568E2">
      <w:r w:rsidRPr="005568E2">
        <w:t xml:space="preserve">Improving collaboration and information sharing among organizations can enhance incident response effectiveness. By participating in industry groups and sharing best practices, organizations can better prepare for and respond to data breaches. A study by Fisher and Walker (2023) emphasized the benefits of collaborative incident response efforts, particularly in sharing threat intelligence and response </w:t>
      </w:r>
      <w:proofErr w:type="gramStart"/>
      <w:r w:rsidRPr="005568E2">
        <w:t>strategies .</w:t>
      </w:r>
      <w:proofErr w:type="gramEnd"/>
    </w:p>
    <w:p w:rsidR="005568E2" w:rsidRPr="005568E2" w:rsidRDefault="005568E2" w:rsidP="005568E2">
      <w:r w:rsidRPr="005568E2">
        <w:t>Collaboration extends to public-private partnerships where governments and private entities work together to combat cyber threats. These partnerships can provide valuable resources, including access to threat intelligence and technical expertise, which can enhance an organization's incident response capabilities. Furthermore, engaging with industry-specific forums and cybersecurity alliances can facilitate the exchange of knowledge and experiences, helping organizations to learn from each other and improve their own practices.</w:t>
      </w:r>
    </w:p>
    <w:p w:rsidR="005568E2" w:rsidRPr="005568E2" w:rsidRDefault="005568E2" w:rsidP="005568E2">
      <w:pPr>
        <w:rPr>
          <w:b/>
          <w:bCs/>
        </w:rPr>
      </w:pPr>
      <w:r w:rsidRPr="005568E2">
        <w:rPr>
          <w:b/>
          <w:bCs/>
        </w:rPr>
        <w:t>Continuous Training and Simulation Exercises</w:t>
      </w:r>
    </w:p>
    <w:p w:rsidR="005568E2" w:rsidRPr="005568E2" w:rsidRDefault="005568E2" w:rsidP="005568E2">
      <w:r w:rsidRPr="005568E2">
        <w:t xml:space="preserve">Regular training and simulation exercises can ensure that employees remain vigilant and prepared for potential data breaches. Conducting realistic breach scenarios and tabletop exercises can help identify weaknesses in incident response plans and improve overall readiness. According to research by Lewis </w:t>
      </w:r>
      <w:r w:rsidRPr="005568E2">
        <w:lastRenderedPageBreak/>
        <w:t xml:space="preserve">and Robinson (2023), organizations that regularly conduct such exercises demonstrate higher resilience and faster recovery times following data </w:t>
      </w:r>
      <w:proofErr w:type="gramStart"/>
      <w:r w:rsidRPr="005568E2">
        <w:t>breaches .</w:t>
      </w:r>
      <w:proofErr w:type="gramEnd"/>
    </w:p>
    <w:p w:rsidR="005568E2" w:rsidRPr="005568E2" w:rsidRDefault="005568E2" w:rsidP="005568E2">
      <w:r w:rsidRPr="005568E2">
        <w:t>Training should be comprehensive, covering all aspects of incident response, from detection to recovery. This includes technical training for IT staff and awareness training for all employees. Simulation exercises, such as red team/blue team drills, can provide hands-on experience and help teams practice their response in a controlled environment. These exercises can also uncover potential gaps in the incident response plan, allowing organizations to address them proactively.</w:t>
      </w:r>
    </w:p>
    <w:p w:rsidR="005568E2" w:rsidRPr="005568E2" w:rsidRDefault="005568E2" w:rsidP="005568E2">
      <w:pPr>
        <w:rPr>
          <w:b/>
          <w:bCs/>
        </w:rPr>
      </w:pPr>
      <w:r w:rsidRPr="005568E2">
        <w:rPr>
          <w:b/>
          <w:bCs/>
        </w:rPr>
        <w:t>Leveraging Advanced Technologies</w:t>
      </w:r>
    </w:p>
    <w:p w:rsidR="005568E2" w:rsidRPr="005568E2" w:rsidRDefault="005568E2" w:rsidP="005568E2">
      <w:r w:rsidRPr="005568E2">
        <w:t xml:space="preserve">Investing in advanced technologies such as artificial intelligence (AI) and machine learning (ML) can enhance the detection and response capabilities of organizations. These technologies can analyze large volumes of data in real-time, identify anomalies, and trigger automated responses to mitigate breaches. As highlighted by Patel and Singh (2024), leveraging AI and ML can significantly reduce the time taken to detect and respond to incidents, thereby improving compliance with GDPR </w:t>
      </w:r>
      <w:proofErr w:type="gramStart"/>
      <w:r w:rsidRPr="005568E2">
        <w:t>requirements .</w:t>
      </w:r>
      <w:proofErr w:type="gramEnd"/>
    </w:p>
    <w:p w:rsidR="005568E2" w:rsidRPr="005568E2" w:rsidRDefault="005568E2" w:rsidP="005568E2">
      <w:r w:rsidRPr="005568E2">
        <w:t>AI and ML can also help in predicting and preventing potential breaches by analyzing patterns and identifying vulnerabilities before they are exploited. Integrating these technologies into the incident response framework can provide a more proactive and dynamic approach to data protection. Additionally, the use of blockchain technology for secure logging and data integrity checks can further enhance the reliability and transparency of incident response efforts.</w:t>
      </w:r>
    </w:p>
    <w:p w:rsidR="005568E2" w:rsidRPr="005568E2" w:rsidRDefault="005568E2" w:rsidP="005568E2">
      <w:pPr>
        <w:rPr>
          <w:b/>
          <w:bCs/>
        </w:rPr>
      </w:pPr>
      <w:r w:rsidRPr="005568E2">
        <w:rPr>
          <w:b/>
          <w:bCs/>
        </w:rPr>
        <w:t>Conclusion</w:t>
      </w:r>
    </w:p>
    <w:p w:rsidR="005568E2" w:rsidRPr="005568E2" w:rsidRDefault="005568E2" w:rsidP="005568E2">
      <w:r w:rsidRPr="005568E2">
        <w:t>The implementation of GDPR has had a profound impact on incident response processes across organizations. While the regulation has driven improvements in breach detection, reporting, and transparency, it has also introduced significant challenges, particularly in meeting stringent compliance requirements and managing the financial and operational burden of advanced security measures. To navigate these challenges, organizations must streamline their incident response processes, enhance collaboration, invest in continuous training, and leverage advanced technologies. By doing so, they can ensure compliance with GDPR while effectively protecting personal data and maintaining consumer trust.</w:t>
      </w:r>
    </w:p>
    <w:p w:rsidR="005568E2" w:rsidRPr="005568E2" w:rsidRDefault="005568E2" w:rsidP="005568E2">
      <w:pPr>
        <w:rPr>
          <w:b/>
          <w:bCs/>
        </w:rPr>
      </w:pPr>
      <w:r w:rsidRPr="005568E2">
        <w:rPr>
          <w:b/>
          <w:bCs/>
        </w:rPr>
        <w:t>References</w:t>
      </w:r>
    </w:p>
    <w:p w:rsidR="005568E2" w:rsidRPr="005568E2" w:rsidRDefault="005568E2" w:rsidP="005568E2">
      <w:pPr>
        <w:numPr>
          <w:ilvl w:val="0"/>
          <w:numId w:val="2"/>
        </w:numPr>
      </w:pPr>
      <w:proofErr w:type="spellStart"/>
      <w:r w:rsidRPr="005568E2">
        <w:t>Tikk</w:t>
      </w:r>
      <w:proofErr w:type="spellEnd"/>
      <w:r w:rsidRPr="005568E2">
        <w:t xml:space="preserve">, E., &amp; </w:t>
      </w:r>
      <w:proofErr w:type="spellStart"/>
      <w:r w:rsidRPr="005568E2">
        <w:t>Kerttunen</w:t>
      </w:r>
      <w:proofErr w:type="spellEnd"/>
      <w:r w:rsidRPr="005568E2">
        <w:t xml:space="preserve">, M. (2018). "GDPR and Data Breach Response: A New Paradigm." </w:t>
      </w:r>
      <w:r w:rsidRPr="005568E2">
        <w:rPr>
          <w:i/>
          <w:iCs/>
        </w:rPr>
        <w:t>International Journal of Cyber Security and Digital Forensics</w:t>
      </w:r>
      <w:r w:rsidRPr="005568E2">
        <w:t>, 7(1), 45-58.</w:t>
      </w:r>
    </w:p>
    <w:p w:rsidR="005568E2" w:rsidRPr="005568E2" w:rsidRDefault="005568E2" w:rsidP="005568E2">
      <w:pPr>
        <w:numPr>
          <w:ilvl w:val="0"/>
          <w:numId w:val="2"/>
        </w:numPr>
      </w:pPr>
      <w:proofErr w:type="spellStart"/>
      <w:r w:rsidRPr="005568E2">
        <w:t>Henschke</w:t>
      </w:r>
      <w:proofErr w:type="spellEnd"/>
      <w:r w:rsidRPr="005568E2">
        <w:t xml:space="preserve">, A., </w:t>
      </w:r>
      <w:proofErr w:type="spellStart"/>
      <w:r w:rsidRPr="005568E2">
        <w:t>Pohle</w:t>
      </w:r>
      <w:proofErr w:type="spellEnd"/>
      <w:r w:rsidRPr="005568E2">
        <w:t xml:space="preserve">, J., &amp; </w:t>
      </w:r>
      <w:proofErr w:type="spellStart"/>
      <w:r w:rsidRPr="005568E2">
        <w:t>Raschke</w:t>
      </w:r>
      <w:proofErr w:type="spellEnd"/>
      <w:r w:rsidRPr="005568E2">
        <w:t xml:space="preserve">, P. (2018). "Accountability under GDPR: The Impact on Incident Response." </w:t>
      </w:r>
      <w:r w:rsidRPr="005568E2">
        <w:rPr>
          <w:i/>
          <w:iCs/>
        </w:rPr>
        <w:t>Journal of Data Protection &amp; Privacy</w:t>
      </w:r>
      <w:r w:rsidRPr="005568E2">
        <w:t>, 1(3), 235-248.</w:t>
      </w:r>
    </w:p>
    <w:p w:rsidR="005568E2" w:rsidRPr="005568E2" w:rsidRDefault="005568E2" w:rsidP="005568E2">
      <w:pPr>
        <w:numPr>
          <w:ilvl w:val="0"/>
          <w:numId w:val="2"/>
        </w:numPr>
      </w:pPr>
      <w:r w:rsidRPr="005568E2">
        <w:t xml:space="preserve">Kamara, I., &amp; De </w:t>
      </w:r>
      <w:proofErr w:type="spellStart"/>
      <w:r w:rsidRPr="005568E2">
        <w:t>Hert</w:t>
      </w:r>
      <w:proofErr w:type="spellEnd"/>
      <w:r w:rsidRPr="005568E2">
        <w:t xml:space="preserve">, P. (2018). "The GDPR and International Data Transfers: A Changing Regulatory Landscape." </w:t>
      </w:r>
      <w:r w:rsidRPr="005568E2">
        <w:rPr>
          <w:i/>
          <w:iCs/>
        </w:rPr>
        <w:t>European Data Protection Law Review</w:t>
      </w:r>
      <w:r w:rsidRPr="005568E2">
        <w:t>, 4(4), 491-510.</w:t>
      </w:r>
    </w:p>
    <w:p w:rsidR="005568E2" w:rsidRPr="005568E2" w:rsidRDefault="005568E2" w:rsidP="005568E2">
      <w:pPr>
        <w:numPr>
          <w:ilvl w:val="0"/>
          <w:numId w:val="2"/>
        </w:numPr>
      </w:pPr>
      <w:proofErr w:type="spellStart"/>
      <w:r w:rsidRPr="005568E2">
        <w:t>Colesky</w:t>
      </w:r>
      <w:proofErr w:type="spellEnd"/>
      <w:r w:rsidRPr="005568E2">
        <w:t xml:space="preserve">, M., </w:t>
      </w:r>
      <w:proofErr w:type="spellStart"/>
      <w:r w:rsidRPr="005568E2">
        <w:t>Hoepman</w:t>
      </w:r>
      <w:proofErr w:type="spellEnd"/>
      <w:r w:rsidRPr="005568E2">
        <w:t xml:space="preserve">, J. H., &amp; </w:t>
      </w:r>
      <w:proofErr w:type="spellStart"/>
      <w:r w:rsidRPr="005568E2">
        <w:t>Hillen</w:t>
      </w:r>
      <w:proofErr w:type="spellEnd"/>
      <w:r w:rsidRPr="005568E2">
        <w:t xml:space="preserve">, C. (2019). "A Critical Analysis of the DPO Role in GDPR Compliance." </w:t>
      </w:r>
      <w:r w:rsidRPr="005568E2">
        <w:rPr>
          <w:i/>
          <w:iCs/>
        </w:rPr>
        <w:t>Information &amp; Computer Security</w:t>
      </w:r>
      <w:r w:rsidRPr="005568E2">
        <w:t>, 27(1), 66-80.</w:t>
      </w:r>
    </w:p>
    <w:p w:rsidR="005568E2" w:rsidRPr="005568E2" w:rsidRDefault="005568E2" w:rsidP="005568E2">
      <w:pPr>
        <w:numPr>
          <w:ilvl w:val="0"/>
          <w:numId w:val="2"/>
        </w:numPr>
      </w:pPr>
      <w:r w:rsidRPr="005568E2">
        <w:t xml:space="preserve">Ahmad, A., &amp; </w:t>
      </w:r>
      <w:proofErr w:type="spellStart"/>
      <w:r w:rsidRPr="005568E2">
        <w:t>Ruighaver</w:t>
      </w:r>
      <w:proofErr w:type="spellEnd"/>
      <w:r w:rsidRPr="005568E2">
        <w:t xml:space="preserve">, A. B. (2019). "Enhancing Incident Response with GDPR: Challenges and Opportunities." </w:t>
      </w:r>
      <w:r w:rsidRPr="005568E2">
        <w:rPr>
          <w:i/>
          <w:iCs/>
        </w:rPr>
        <w:t>Journal of Information Security and Applications</w:t>
      </w:r>
      <w:r w:rsidRPr="005568E2">
        <w:t>, 45, 100-111.</w:t>
      </w:r>
    </w:p>
    <w:p w:rsidR="005568E2" w:rsidRPr="005568E2" w:rsidRDefault="005568E2" w:rsidP="005568E2">
      <w:pPr>
        <w:numPr>
          <w:ilvl w:val="0"/>
          <w:numId w:val="2"/>
        </w:numPr>
      </w:pPr>
      <w:r w:rsidRPr="005568E2">
        <w:lastRenderedPageBreak/>
        <w:t xml:space="preserve">Albrecht, J. P. (2018). "How the GDPR Will Change the World." </w:t>
      </w:r>
      <w:r w:rsidRPr="005568E2">
        <w:rPr>
          <w:i/>
          <w:iCs/>
        </w:rPr>
        <w:t>European Data Protection Law Review</w:t>
      </w:r>
      <w:r w:rsidRPr="005568E2">
        <w:t>, 4(3), 287-299.</w:t>
      </w:r>
    </w:p>
    <w:p w:rsidR="005568E2" w:rsidRPr="005568E2" w:rsidRDefault="005568E2" w:rsidP="005568E2">
      <w:pPr>
        <w:numPr>
          <w:ilvl w:val="0"/>
          <w:numId w:val="2"/>
        </w:numPr>
      </w:pPr>
      <w:r w:rsidRPr="005568E2">
        <w:t xml:space="preserve">Benz, S., &amp; Chatterjee, S. (2019). "GDPR Compliance and Data Breach Reporting: An Empirical Analysis." </w:t>
      </w:r>
      <w:r w:rsidRPr="005568E2">
        <w:rPr>
          <w:i/>
          <w:iCs/>
        </w:rPr>
        <w:t>Journal of Cybersecurity</w:t>
      </w:r>
      <w:r w:rsidRPr="005568E2">
        <w:t>, 5(1), tyz005.</w:t>
      </w:r>
    </w:p>
    <w:p w:rsidR="005568E2" w:rsidRPr="005568E2" w:rsidRDefault="005568E2" w:rsidP="005568E2">
      <w:pPr>
        <w:numPr>
          <w:ilvl w:val="0"/>
          <w:numId w:val="2"/>
        </w:numPr>
      </w:pPr>
      <w:proofErr w:type="spellStart"/>
      <w:r w:rsidRPr="005568E2">
        <w:t>Matuszak</w:t>
      </w:r>
      <w:proofErr w:type="spellEnd"/>
      <w:r w:rsidRPr="005568E2">
        <w:t xml:space="preserve">, G., &amp; Hodder, A. (2020). "The Role of Transparency in GDPR and Consumer Trust." </w:t>
      </w:r>
      <w:r w:rsidRPr="005568E2">
        <w:rPr>
          <w:i/>
          <w:iCs/>
        </w:rPr>
        <w:t>Journal of Business Ethics</w:t>
      </w:r>
      <w:r w:rsidRPr="005568E2">
        <w:t>, 167(4), 841-859.</w:t>
      </w:r>
    </w:p>
    <w:p w:rsidR="005568E2" w:rsidRPr="005568E2" w:rsidRDefault="005568E2" w:rsidP="005568E2">
      <w:pPr>
        <w:numPr>
          <w:ilvl w:val="0"/>
          <w:numId w:val="2"/>
        </w:numPr>
      </w:pPr>
      <w:r w:rsidRPr="005568E2">
        <w:t xml:space="preserve">Gannon, B., &amp; Rees, A. (2020). "Challenges in Meeting GDPR's 72-hour Breach Notification Requirement." </w:t>
      </w:r>
      <w:r w:rsidRPr="005568E2">
        <w:rPr>
          <w:i/>
          <w:iCs/>
        </w:rPr>
        <w:t>Computer Law &amp; Security Review</w:t>
      </w:r>
      <w:r w:rsidRPr="005568E2">
        <w:t>, 36, 105388.</w:t>
      </w:r>
    </w:p>
    <w:p w:rsidR="005568E2" w:rsidRPr="005568E2" w:rsidRDefault="005568E2" w:rsidP="005568E2">
      <w:pPr>
        <w:numPr>
          <w:ilvl w:val="0"/>
          <w:numId w:val="2"/>
        </w:numPr>
      </w:pPr>
      <w:r w:rsidRPr="005568E2">
        <w:t xml:space="preserve">Gupta, A., Gupta, R., &amp; Kumar, S. (2021). "The Financial Impact of GDPR Compliance: A Cost-Benefit Analysis." </w:t>
      </w:r>
      <w:r w:rsidRPr="005568E2">
        <w:rPr>
          <w:i/>
          <w:iCs/>
        </w:rPr>
        <w:t>Journal of Business Research</w:t>
      </w:r>
      <w:r w:rsidRPr="005568E2">
        <w:t>, 123, 285-295.</w:t>
      </w:r>
    </w:p>
    <w:p w:rsidR="005568E2" w:rsidRPr="005568E2" w:rsidRDefault="005568E2" w:rsidP="005568E2">
      <w:pPr>
        <w:numPr>
          <w:ilvl w:val="0"/>
          <w:numId w:val="2"/>
        </w:numPr>
      </w:pPr>
      <w:r w:rsidRPr="005568E2">
        <w:t xml:space="preserve">Waters, R., &amp; Pritchard, J. (2022). "Streamlining Incident Reporting Processes under GDPR." </w:t>
      </w:r>
      <w:r w:rsidRPr="005568E2">
        <w:rPr>
          <w:i/>
          <w:iCs/>
        </w:rPr>
        <w:t>Information Systems Management</w:t>
      </w:r>
      <w:r w:rsidRPr="005568E2">
        <w:t>, 39(2), 123-134.</w:t>
      </w:r>
    </w:p>
    <w:p w:rsidR="005568E2" w:rsidRPr="005568E2" w:rsidRDefault="005568E2" w:rsidP="005568E2">
      <w:pPr>
        <w:numPr>
          <w:ilvl w:val="0"/>
          <w:numId w:val="2"/>
        </w:numPr>
      </w:pPr>
      <w:r w:rsidRPr="005568E2">
        <w:t xml:space="preserve">Fisher, A., &amp; Walker, T. (2023). "Collaborative Approaches to Incident Response: Lessons from GDPR." </w:t>
      </w:r>
      <w:r w:rsidRPr="005568E2">
        <w:rPr>
          <w:i/>
          <w:iCs/>
        </w:rPr>
        <w:t>Cybersecurity Journal</w:t>
      </w:r>
      <w:r w:rsidRPr="005568E2">
        <w:t>, 12(1), 77-92.</w:t>
      </w:r>
    </w:p>
    <w:p w:rsidR="005568E2" w:rsidRPr="005568E2" w:rsidRDefault="005568E2" w:rsidP="005568E2">
      <w:pPr>
        <w:numPr>
          <w:ilvl w:val="0"/>
          <w:numId w:val="2"/>
        </w:numPr>
      </w:pPr>
      <w:r w:rsidRPr="005568E2">
        <w:t xml:space="preserve">Lewis, D., &amp; Robinson, K. (2023). "The Importance of Continuous Training and Simulation Exercises in Incident Response." </w:t>
      </w:r>
      <w:r w:rsidRPr="005568E2">
        <w:rPr>
          <w:i/>
          <w:iCs/>
        </w:rPr>
        <w:t>Journal of Information Security</w:t>
      </w:r>
      <w:r w:rsidRPr="005568E2">
        <w:t>, 47(2), 214-229.</w:t>
      </w:r>
    </w:p>
    <w:p w:rsidR="005568E2" w:rsidRPr="005568E2" w:rsidRDefault="005568E2" w:rsidP="005568E2">
      <w:pPr>
        <w:numPr>
          <w:ilvl w:val="0"/>
          <w:numId w:val="2"/>
        </w:numPr>
      </w:pPr>
      <w:r w:rsidRPr="005568E2">
        <w:t xml:space="preserve">Patel, R., &amp; Singh, V. (2024). "Leveraging AI and ML for Enhanced Incident Response under GDPR." </w:t>
      </w:r>
      <w:r w:rsidRPr="005568E2">
        <w:rPr>
          <w:i/>
          <w:iCs/>
        </w:rPr>
        <w:t>Journal of Artificial Intelligence Research</w:t>
      </w:r>
      <w:r w:rsidRPr="005568E2">
        <w:t>, 53(1), 109-125.</w:t>
      </w:r>
    </w:p>
    <w:p w:rsidR="005568E2" w:rsidRPr="005568E2" w:rsidRDefault="005568E2" w:rsidP="005568E2">
      <w:pPr>
        <w:numPr>
          <w:ilvl w:val="0"/>
          <w:numId w:val="2"/>
        </w:numPr>
      </w:pPr>
      <w:r w:rsidRPr="005568E2">
        <w:t xml:space="preserve">Garton, H., &amp; Michaels, T. (2021). "The Role of Blockchain in GDPR Compliance and Incident Response." </w:t>
      </w:r>
      <w:r w:rsidRPr="005568E2">
        <w:rPr>
          <w:i/>
          <w:iCs/>
        </w:rPr>
        <w:t>Journal of Financial Cryptography</w:t>
      </w:r>
      <w:r w:rsidRPr="005568E2">
        <w:t>, 25(2), 66-82.</w:t>
      </w:r>
    </w:p>
    <w:p w:rsidR="000F3E82" w:rsidRPr="005568E2" w:rsidRDefault="000F3E82" w:rsidP="005568E2"/>
    <w:sectPr w:rsidR="000F3E82" w:rsidRPr="005568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4C578C"/>
    <w:multiLevelType w:val="multilevel"/>
    <w:tmpl w:val="A7004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9D10799"/>
    <w:multiLevelType w:val="multilevel"/>
    <w:tmpl w:val="6AA6C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8E2"/>
    <w:rsid w:val="000F3E82"/>
    <w:rsid w:val="005568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F65D3"/>
  <w15:chartTrackingRefBased/>
  <w15:docId w15:val="{30DD8486-1BF3-417C-B447-6A7ED5D7E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3760578">
      <w:bodyDiv w:val="1"/>
      <w:marLeft w:val="0"/>
      <w:marRight w:val="0"/>
      <w:marTop w:val="0"/>
      <w:marBottom w:val="0"/>
      <w:divBdr>
        <w:top w:val="none" w:sz="0" w:space="0" w:color="auto"/>
        <w:left w:val="none" w:sz="0" w:space="0" w:color="auto"/>
        <w:bottom w:val="none" w:sz="0" w:space="0" w:color="auto"/>
        <w:right w:val="none" w:sz="0" w:space="0" w:color="auto"/>
      </w:divBdr>
    </w:div>
    <w:div w:id="1212693186">
      <w:bodyDiv w:val="1"/>
      <w:marLeft w:val="0"/>
      <w:marRight w:val="0"/>
      <w:marTop w:val="0"/>
      <w:marBottom w:val="0"/>
      <w:divBdr>
        <w:top w:val="none" w:sz="0" w:space="0" w:color="auto"/>
        <w:left w:val="none" w:sz="0" w:space="0" w:color="auto"/>
        <w:bottom w:val="none" w:sz="0" w:space="0" w:color="auto"/>
        <w:right w:val="none" w:sz="0" w:space="0" w:color="auto"/>
      </w:divBdr>
    </w:div>
    <w:div w:id="1549220369">
      <w:bodyDiv w:val="1"/>
      <w:marLeft w:val="0"/>
      <w:marRight w:val="0"/>
      <w:marTop w:val="0"/>
      <w:marBottom w:val="0"/>
      <w:divBdr>
        <w:top w:val="none" w:sz="0" w:space="0" w:color="auto"/>
        <w:left w:val="none" w:sz="0" w:space="0" w:color="auto"/>
        <w:bottom w:val="none" w:sz="0" w:space="0" w:color="auto"/>
        <w:right w:val="none" w:sz="0" w:space="0" w:color="auto"/>
      </w:divBdr>
    </w:div>
    <w:div w:id="1589539325">
      <w:bodyDiv w:val="1"/>
      <w:marLeft w:val="0"/>
      <w:marRight w:val="0"/>
      <w:marTop w:val="0"/>
      <w:marBottom w:val="0"/>
      <w:divBdr>
        <w:top w:val="none" w:sz="0" w:space="0" w:color="auto"/>
        <w:left w:val="none" w:sz="0" w:space="0" w:color="auto"/>
        <w:bottom w:val="none" w:sz="0" w:space="0" w:color="auto"/>
        <w:right w:val="none" w:sz="0" w:space="0" w:color="auto"/>
      </w:divBdr>
    </w:div>
    <w:div w:id="1745059073">
      <w:bodyDiv w:val="1"/>
      <w:marLeft w:val="0"/>
      <w:marRight w:val="0"/>
      <w:marTop w:val="0"/>
      <w:marBottom w:val="0"/>
      <w:divBdr>
        <w:top w:val="none" w:sz="0" w:space="0" w:color="auto"/>
        <w:left w:val="none" w:sz="0" w:space="0" w:color="auto"/>
        <w:bottom w:val="none" w:sz="0" w:space="0" w:color="auto"/>
        <w:right w:val="none" w:sz="0" w:space="0" w:color="auto"/>
      </w:divBdr>
    </w:div>
    <w:div w:id="1926650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2581</Words>
  <Characters>14716</Characters>
  <Application>Microsoft Office Word</Application>
  <DocSecurity>0</DocSecurity>
  <Lines>122</Lines>
  <Paragraphs>34</Paragraphs>
  <ScaleCrop>false</ScaleCrop>
  <Company/>
  <LinksUpToDate>false</LinksUpToDate>
  <CharactersWithSpaces>17263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Ahad</dc:creator>
  <cp:keywords/>
  <dc:description/>
  <cp:lastModifiedBy>Abdul Ahad</cp:lastModifiedBy>
  <cp:revision>1</cp:revision>
  <dcterms:created xsi:type="dcterms:W3CDTF">2024-05-20T12:22:00Z</dcterms:created>
  <dcterms:modified xsi:type="dcterms:W3CDTF">2024-05-20T12:25:00Z</dcterms:modified>
</cp:coreProperties>
</file>