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BDFB7" w14:textId="766B1B99" w:rsidR="00C74471" w:rsidRPr="00C74471" w:rsidRDefault="00C74471" w:rsidP="00C74471">
      <w:pPr>
        <w:rPr>
          <w:rFonts w:ascii="Arial" w:hAnsi="Arial" w:cs="Arial"/>
        </w:rPr>
      </w:pPr>
      <w:r w:rsidRPr="00C74471">
        <w:rPr>
          <w:rFonts w:ascii="Arial" w:hAnsi="Arial" w:cs="Arial"/>
          <w:b/>
          <w:bCs/>
        </w:rPr>
        <w:t xml:space="preserve">Placement Data </w:t>
      </w:r>
      <w:r w:rsidR="000977B9">
        <w:rPr>
          <w:rFonts w:ascii="Arial" w:hAnsi="Arial" w:cs="Arial"/>
          <w:b/>
          <w:bCs/>
        </w:rPr>
        <w:t xml:space="preserve">– Percentile </w:t>
      </w:r>
      <w:r w:rsidRPr="00C74471">
        <w:rPr>
          <w:rFonts w:ascii="Arial" w:hAnsi="Arial" w:cs="Arial"/>
          <w:b/>
          <w:bCs/>
        </w:rPr>
        <w:t>Analysis Report</w:t>
      </w:r>
    </w:p>
    <w:p w14:paraId="15B23923" w14:textId="77777777" w:rsidR="00C74471" w:rsidRPr="00587E49" w:rsidRDefault="00C74471" w:rsidP="00C74471">
      <w:pPr>
        <w:rPr>
          <w:rFonts w:ascii="Arial" w:hAnsi="Arial" w:cs="Arial"/>
        </w:rPr>
      </w:pPr>
      <w:r w:rsidRPr="00C74471">
        <w:rPr>
          <w:rFonts w:ascii="Arial" w:hAnsi="Arial" w:cs="Arial"/>
        </w:rPr>
        <w:t>This report provides a statistical overview of placement outcomes for 215 students, analyzing academic performance from high school through postgraduate education and its correlation with placement salaries. The dataset includes scores from the Secondary School Certificate (SSC), Higher Secondary Certificate (HSC), Degree, Entrance Test (</w:t>
      </w:r>
      <w:proofErr w:type="spellStart"/>
      <w:r w:rsidRPr="00C74471">
        <w:rPr>
          <w:rFonts w:ascii="Arial" w:hAnsi="Arial" w:cs="Arial"/>
        </w:rPr>
        <w:t>Etest</w:t>
      </w:r>
      <w:proofErr w:type="spellEnd"/>
      <w:r w:rsidRPr="00C74471">
        <w:rPr>
          <w:rFonts w:ascii="Arial" w:hAnsi="Arial" w:cs="Arial"/>
        </w:rPr>
        <w:t>), MBA, and the offered salaries.</w:t>
      </w:r>
    </w:p>
    <w:p w14:paraId="3E6594EB" w14:textId="77777777" w:rsidR="00255655" w:rsidRDefault="00255655" w:rsidP="00C74471">
      <w:pPr>
        <w:rPr>
          <w:rFonts w:ascii="Arial" w:hAnsi="Arial" w:cs="Arial"/>
        </w:rPr>
      </w:pPr>
    </w:p>
    <w:tbl>
      <w:tblPr>
        <w:tblW w:w="9600" w:type="dxa"/>
        <w:tblLook w:val="04A0" w:firstRow="1" w:lastRow="0" w:firstColumn="1" w:lastColumn="0" w:noHBand="0" w:noVBand="1"/>
      </w:tblPr>
      <w:tblGrid>
        <w:gridCol w:w="1415"/>
        <w:gridCol w:w="977"/>
        <w:gridCol w:w="1098"/>
        <w:gridCol w:w="1098"/>
        <w:gridCol w:w="1476"/>
        <w:gridCol w:w="1219"/>
        <w:gridCol w:w="1143"/>
        <w:gridCol w:w="1174"/>
      </w:tblGrid>
      <w:tr w:rsidR="00524A12" w:rsidRPr="00524A12" w14:paraId="5B2E6004" w14:textId="77777777" w:rsidTr="00524A12">
        <w:trPr>
          <w:trHeight w:val="333"/>
        </w:trPr>
        <w:tc>
          <w:tcPr>
            <w:tcW w:w="141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114DD1"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 </w:t>
            </w:r>
          </w:p>
        </w:tc>
        <w:tc>
          <w:tcPr>
            <w:tcW w:w="977" w:type="dxa"/>
            <w:tcBorders>
              <w:top w:val="single" w:sz="4" w:space="0" w:color="auto"/>
              <w:left w:val="nil"/>
              <w:bottom w:val="single" w:sz="4" w:space="0" w:color="auto"/>
              <w:right w:val="single" w:sz="4" w:space="0" w:color="auto"/>
            </w:tcBorders>
            <w:shd w:val="clear" w:color="000000" w:fill="FFFFFF"/>
            <w:vAlign w:val="center"/>
            <w:hideMark/>
          </w:tcPr>
          <w:p w14:paraId="4DE31C86"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proofErr w:type="spellStart"/>
            <w:r w:rsidRPr="00524A12">
              <w:rPr>
                <w:rFonts w:ascii="Arial" w:eastAsia="Times New Roman" w:hAnsi="Arial" w:cs="Arial"/>
                <w:b/>
                <w:bCs/>
                <w:color w:val="000000"/>
                <w:kern w:val="0"/>
                <w:sz w:val="22"/>
                <w:szCs w:val="22"/>
                <w14:ligatures w14:val="none"/>
              </w:rPr>
              <w:t>sl_no</w:t>
            </w:r>
            <w:proofErr w:type="spellEnd"/>
          </w:p>
        </w:tc>
        <w:tc>
          <w:tcPr>
            <w:tcW w:w="1098" w:type="dxa"/>
            <w:tcBorders>
              <w:top w:val="single" w:sz="4" w:space="0" w:color="auto"/>
              <w:left w:val="nil"/>
              <w:bottom w:val="single" w:sz="4" w:space="0" w:color="auto"/>
              <w:right w:val="single" w:sz="4" w:space="0" w:color="auto"/>
            </w:tcBorders>
            <w:shd w:val="clear" w:color="000000" w:fill="FFFFFF"/>
            <w:vAlign w:val="center"/>
            <w:hideMark/>
          </w:tcPr>
          <w:p w14:paraId="1CCA131A"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proofErr w:type="spellStart"/>
            <w:r w:rsidRPr="00524A12">
              <w:rPr>
                <w:rFonts w:ascii="Arial" w:eastAsia="Times New Roman" w:hAnsi="Arial" w:cs="Arial"/>
                <w:b/>
                <w:bCs/>
                <w:color w:val="000000"/>
                <w:kern w:val="0"/>
                <w:sz w:val="22"/>
                <w:szCs w:val="22"/>
                <w14:ligatures w14:val="none"/>
              </w:rPr>
              <w:t>ssc_p</w:t>
            </w:r>
            <w:proofErr w:type="spellEnd"/>
          </w:p>
        </w:tc>
        <w:tc>
          <w:tcPr>
            <w:tcW w:w="1098" w:type="dxa"/>
            <w:tcBorders>
              <w:top w:val="single" w:sz="4" w:space="0" w:color="auto"/>
              <w:left w:val="nil"/>
              <w:bottom w:val="single" w:sz="4" w:space="0" w:color="auto"/>
              <w:right w:val="single" w:sz="4" w:space="0" w:color="auto"/>
            </w:tcBorders>
            <w:shd w:val="clear" w:color="000000" w:fill="FFFFFF"/>
            <w:vAlign w:val="center"/>
            <w:hideMark/>
          </w:tcPr>
          <w:p w14:paraId="0F4B9ECB"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proofErr w:type="spellStart"/>
            <w:r w:rsidRPr="00524A12">
              <w:rPr>
                <w:rFonts w:ascii="Arial" w:eastAsia="Times New Roman" w:hAnsi="Arial" w:cs="Arial"/>
                <w:b/>
                <w:bCs/>
                <w:color w:val="000000"/>
                <w:kern w:val="0"/>
                <w:sz w:val="22"/>
                <w:szCs w:val="22"/>
                <w14:ligatures w14:val="none"/>
              </w:rPr>
              <w:t>hsc_p</w:t>
            </w:r>
            <w:proofErr w:type="spellEnd"/>
          </w:p>
        </w:tc>
        <w:tc>
          <w:tcPr>
            <w:tcW w:w="1476" w:type="dxa"/>
            <w:tcBorders>
              <w:top w:val="single" w:sz="4" w:space="0" w:color="auto"/>
              <w:left w:val="nil"/>
              <w:bottom w:val="single" w:sz="4" w:space="0" w:color="auto"/>
              <w:right w:val="single" w:sz="4" w:space="0" w:color="auto"/>
            </w:tcBorders>
            <w:shd w:val="clear" w:color="000000" w:fill="FFFFFF"/>
            <w:vAlign w:val="center"/>
            <w:hideMark/>
          </w:tcPr>
          <w:p w14:paraId="63179D1F"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proofErr w:type="spellStart"/>
            <w:r w:rsidRPr="00524A12">
              <w:rPr>
                <w:rFonts w:ascii="Arial" w:eastAsia="Times New Roman" w:hAnsi="Arial" w:cs="Arial"/>
                <w:b/>
                <w:bCs/>
                <w:color w:val="000000"/>
                <w:kern w:val="0"/>
                <w:sz w:val="22"/>
                <w:szCs w:val="22"/>
                <w14:ligatures w14:val="none"/>
              </w:rPr>
              <w:t>degree_p</w:t>
            </w:r>
            <w:proofErr w:type="spellEnd"/>
          </w:p>
        </w:tc>
        <w:tc>
          <w:tcPr>
            <w:tcW w:w="1219" w:type="dxa"/>
            <w:tcBorders>
              <w:top w:val="single" w:sz="4" w:space="0" w:color="auto"/>
              <w:left w:val="nil"/>
              <w:bottom w:val="single" w:sz="4" w:space="0" w:color="auto"/>
              <w:right w:val="single" w:sz="4" w:space="0" w:color="auto"/>
            </w:tcBorders>
            <w:shd w:val="clear" w:color="000000" w:fill="FFFFFF"/>
            <w:vAlign w:val="center"/>
            <w:hideMark/>
          </w:tcPr>
          <w:p w14:paraId="1BF3A420"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proofErr w:type="spellStart"/>
            <w:r w:rsidRPr="00524A12">
              <w:rPr>
                <w:rFonts w:ascii="Arial" w:eastAsia="Times New Roman" w:hAnsi="Arial" w:cs="Arial"/>
                <w:b/>
                <w:bCs/>
                <w:color w:val="000000"/>
                <w:kern w:val="0"/>
                <w:sz w:val="22"/>
                <w:szCs w:val="22"/>
                <w14:ligatures w14:val="none"/>
              </w:rPr>
              <w:t>etest_p</w:t>
            </w:r>
            <w:proofErr w:type="spellEnd"/>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6CEC2EBF"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proofErr w:type="spellStart"/>
            <w:r w:rsidRPr="00524A12">
              <w:rPr>
                <w:rFonts w:ascii="Arial" w:eastAsia="Times New Roman" w:hAnsi="Arial" w:cs="Arial"/>
                <w:b/>
                <w:bCs/>
                <w:color w:val="000000"/>
                <w:kern w:val="0"/>
                <w:sz w:val="22"/>
                <w:szCs w:val="22"/>
                <w14:ligatures w14:val="none"/>
              </w:rPr>
              <w:t>mba_p</w:t>
            </w:r>
            <w:proofErr w:type="spellEnd"/>
          </w:p>
        </w:tc>
        <w:tc>
          <w:tcPr>
            <w:tcW w:w="1174" w:type="dxa"/>
            <w:tcBorders>
              <w:top w:val="single" w:sz="4" w:space="0" w:color="auto"/>
              <w:left w:val="nil"/>
              <w:bottom w:val="single" w:sz="4" w:space="0" w:color="auto"/>
              <w:right w:val="single" w:sz="4" w:space="0" w:color="auto"/>
            </w:tcBorders>
            <w:shd w:val="clear" w:color="000000" w:fill="FFFFFF"/>
            <w:vAlign w:val="center"/>
            <w:hideMark/>
          </w:tcPr>
          <w:p w14:paraId="3BCA4E66"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salary</w:t>
            </w:r>
          </w:p>
        </w:tc>
      </w:tr>
      <w:tr w:rsidR="00524A12" w:rsidRPr="00524A12" w14:paraId="25213246" w14:textId="77777777" w:rsidTr="00524A12">
        <w:trPr>
          <w:trHeight w:val="333"/>
        </w:trPr>
        <w:tc>
          <w:tcPr>
            <w:tcW w:w="1415" w:type="dxa"/>
            <w:tcBorders>
              <w:top w:val="nil"/>
              <w:left w:val="single" w:sz="4" w:space="0" w:color="auto"/>
              <w:bottom w:val="single" w:sz="4" w:space="0" w:color="auto"/>
              <w:right w:val="single" w:sz="4" w:space="0" w:color="auto"/>
            </w:tcBorders>
            <w:shd w:val="clear" w:color="000000" w:fill="FFFFFF"/>
            <w:vAlign w:val="center"/>
            <w:hideMark/>
          </w:tcPr>
          <w:p w14:paraId="1D2665CD"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Mean</w:t>
            </w:r>
          </w:p>
        </w:tc>
        <w:tc>
          <w:tcPr>
            <w:tcW w:w="977" w:type="dxa"/>
            <w:tcBorders>
              <w:top w:val="nil"/>
              <w:left w:val="nil"/>
              <w:bottom w:val="single" w:sz="4" w:space="0" w:color="auto"/>
              <w:right w:val="single" w:sz="4" w:space="0" w:color="auto"/>
            </w:tcBorders>
            <w:shd w:val="clear" w:color="000000" w:fill="FFFFFF"/>
            <w:vAlign w:val="center"/>
            <w:hideMark/>
          </w:tcPr>
          <w:p w14:paraId="651C35F9"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108</w:t>
            </w:r>
          </w:p>
        </w:tc>
        <w:tc>
          <w:tcPr>
            <w:tcW w:w="1098" w:type="dxa"/>
            <w:tcBorders>
              <w:top w:val="nil"/>
              <w:left w:val="nil"/>
              <w:bottom w:val="single" w:sz="4" w:space="0" w:color="auto"/>
              <w:right w:val="single" w:sz="4" w:space="0" w:color="auto"/>
            </w:tcBorders>
            <w:shd w:val="clear" w:color="000000" w:fill="FFFFFF"/>
            <w:vAlign w:val="center"/>
            <w:hideMark/>
          </w:tcPr>
          <w:p w14:paraId="064F7CC2"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67.303</w:t>
            </w:r>
          </w:p>
        </w:tc>
        <w:tc>
          <w:tcPr>
            <w:tcW w:w="1098" w:type="dxa"/>
            <w:tcBorders>
              <w:top w:val="nil"/>
              <w:left w:val="nil"/>
              <w:bottom w:val="single" w:sz="4" w:space="0" w:color="auto"/>
              <w:right w:val="single" w:sz="4" w:space="0" w:color="auto"/>
            </w:tcBorders>
            <w:shd w:val="clear" w:color="000000" w:fill="FFFFFF"/>
            <w:vAlign w:val="center"/>
            <w:hideMark/>
          </w:tcPr>
          <w:p w14:paraId="3271D626"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66.333</w:t>
            </w:r>
          </w:p>
        </w:tc>
        <w:tc>
          <w:tcPr>
            <w:tcW w:w="1476" w:type="dxa"/>
            <w:tcBorders>
              <w:top w:val="nil"/>
              <w:left w:val="nil"/>
              <w:bottom w:val="single" w:sz="4" w:space="0" w:color="auto"/>
              <w:right w:val="single" w:sz="4" w:space="0" w:color="auto"/>
            </w:tcBorders>
            <w:shd w:val="clear" w:color="000000" w:fill="FFFFFF"/>
            <w:vAlign w:val="center"/>
            <w:hideMark/>
          </w:tcPr>
          <w:p w14:paraId="54314812"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66.3702</w:t>
            </w:r>
          </w:p>
        </w:tc>
        <w:tc>
          <w:tcPr>
            <w:tcW w:w="1219" w:type="dxa"/>
            <w:tcBorders>
              <w:top w:val="nil"/>
              <w:left w:val="nil"/>
              <w:bottom w:val="single" w:sz="4" w:space="0" w:color="auto"/>
              <w:right w:val="single" w:sz="4" w:space="0" w:color="auto"/>
            </w:tcBorders>
            <w:shd w:val="clear" w:color="000000" w:fill="FFFFFF"/>
            <w:vAlign w:val="center"/>
            <w:hideMark/>
          </w:tcPr>
          <w:p w14:paraId="01A6B355"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72.101</w:t>
            </w:r>
          </w:p>
        </w:tc>
        <w:tc>
          <w:tcPr>
            <w:tcW w:w="1143" w:type="dxa"/>
            <w:tcBorders>
              <w:top w:val="nil"/>
              <w:left w:val="nil"/>
              <w:bottom w:val="single" w:sz="4" w:space="0" w:color="auto"/>
              <w:right w:val="single" w:sz="4" w:space="0" w:color="auto"/>
            </w:tcBorders>
            <w:shd w:val="clear" w:color="000000" w:fill="FFFFFF"/>
            <w:vAlign w:val="center"/>
            <w:hideMark/>
          </w:tcPr>
          <w:p w14:paraId="733A80B8"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62.278</w:t>
            </w:r>
          </w:p>
        </w:tc>
        <w:tc>
          <w:tcPr>
            <w:tcW w:w="1174" w:type="dxa"/>
            <w:tcBorders>
              <w:top w:val="nil"/>
              <w:left w:val="nil"/>
              <w:bottom w:val="single" w:sz="4" w:space="0" w:color="auto"/>
              <w:right w:val="single" w:sz="4" w:space="0" w:color="auto"/>
            </w:tcBorders>
            <w:shd w:val="clear" w:color="000000" w:fill="FFFFFF"/>
            <w:vAlign w:val="center"/>
            <w:hideMark/>
          </w:tcPr>
          <w:p w14:paraId="2668FF91"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288655</w:t>
            </w:r>
          </w:p>
        </w:tc>
      </w:tr>
      <w:tr w:rsidR="00524A12" w:rsidRPr="00524A12" w14:paraId="23DEE6DA" w14:textId="77777777" w:rsidTr="00524A12">
        <w:trPr>
          <w:trHeight w:val="333"/>
        </w:trPr>
        <w:tc>
          <w:tcPr>
            <w:tcW w:w="1415" w:type="dxa"/>
            <w:tcBorders>
              <w:top w:val="nil"/>
              <w:left w:val="single" w:sz="4" w:space="0" w:color="auto"/>
              <w:bottom w:val="single" w:sz="4" w:space="0" w:color="auto"/>
              <w:right w:val="single" w:sz="4" w:space="0" w:color="auto"/>
            </w:tcBorders>
            <w:shd w:val="clear" w:color="000000" w:fill="FFFFFF"/>
            <w:vAlign w:val="center"/>
            <w:hideMark/>
          </w:tcPr>
          <w:p w14:paraId="05925DAF"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Median</w:t>
            </w:r>
          </w:p>
        </w:tc>
        <w:tc>
          <w:tcPr>
            <w:tcW w:w="977" w:type="dxa"/>
            <w:tcBorders>
              <w:top w:val="nil"/>
              <w:left w:val="nil"/>
              <w:bottom w:val="single" w:sz="4" w:space="0" w:color="auto"/>
              <w:right w:val="single" w:sz="4" w:space="0" w:color="auto"/>
            </w:tcBorders>
            <w:shd w:val="clear" w:color="000000" w:fill="FFFFFF"/>
            <w:vAlign w:val="center"/>
            <w:hideMark/>
          </w:tcPr>
          <w:p w14:paraId="5B20A32B"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108</w:t>
            </w:r>
          </w:p>
        </w:tc>
        <w:tc>
          <w:tcPr>
            <w:tcW w:w="1098" w:type="dxa"/>
            <w:tcBorders>
              <w:top w:val="nil"/>
              <w:left w:val="nil"/>
              <w:bottom w:val="single" w:sz="4" w:space="0" w:color="auto"/>
              <w:right w:val="single" w:sz="4" w:space="0" w:color="auto"/>
            </w:tcBorders>
            <w:shd w:val="clear" w:color="000000" w:fill="FFFFFF"/>
            <w:vAlign w:val="center"/>
            <w:hideMark/>
          </w:tcPr>
          <w:p w14:paraId="0E2082FD"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67</w:t>
            </w:r>
          </w:p>
        </w:tc>
        <w:tc>
          <w:tcPr>
            <w:tcW w:w="1098" w:type="dxa"/>
            <w:tcBorders>
              <w:top w:val="nil"/>
              <w:left w:val="nil"/>
              <w:bottom w:val="single" w:sz="4" w:space="0" w:color="auto"/>
              <w:right w:val="single" w:sz="4" w:space="0" w:color="auto"/>
            </w:tcBorders>
            <w:shd w:val="clear" w:color="000000" w:fill="FFFFFF"/>
            <w:vAlign w:val="center"/>
            <w:hideMark/>
          </w:tcPr>
          <w:p w14:paraId="104DD9A3"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65</w:t>
            </w:r>
          </w:p>
        </w:tc>
        <w:tc>
          <w:tcPr>
            <w:tcW w:w="1476" w:type="dxa"/>
            <w:tcBorders>
              <w:top w:val="nil"/>
              <w:left w:val="nil"/>
              <w:bottom w:val="single" w:sz="4" w:space="0" w:color="auto"/>
              <w:right w:val="single" w:sz="4" w:space="0" w:color="auto"/>
            </w:tcBorders>
            <w:shd w:val="clear" w:color="000000" w:fill="FFFFFF"/>
            <w:vAlign w:val="center"/>
            <w:hideMark/>
          </w:tcPr>
          <w:p w14:paraId="15A2FEC3"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66</w:t>
            </w:r>
          </w:p>
        </w:tc>
        <w:tc>
          <w:tcPr>
            <w:tcW w:w="1219" w:type="dxa"/>
            <w:tcBorders>
              <w:top w:val="nil"/>
              <w:left w:val="nil"/>
              <w:bottom w:val="single" w:sz="4" w:space="0" w:color="auto"/>
              <w:right w:val="single" w:sz="4" w:space="0" w:color="auto"/>
            </w:tcBorders>
            <w:shd w:val="clear" w:color="000000" w:fill="FFFFFF"/>
            <w:vAlign w:val="center"/>
            <w:hideMark/>
          </w:tcPr>
          <w:p w14:paraId="29142953"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71</w:t>
            </w:r>
          </w:p>
        </w:tc>
        <w:tc>
          <w:tcPr>
            <w:tcW w:w="1143" w:type="dxa"/>
            <w:tcBorders>
              <w:top w:val="nil"/>
              <w:left w:val="nil"/>
              <w:bottom w:val="single" w:sz="4" w:space="0" w:color="auto"/>
              <w:right w:val="single" w:sz="4" w:space="0" w:color="auto"/>
            </w:tcBorders>
            <w:shd w:val="clear" w:color="000000" w:fill="FFFFFF"/>
            <w:vAlign w:val="center"/>
            <w:hideMark/>
          </w:tcPr>
          <w:p w14:paraId="05822E9F"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62</w:t>
            </w:r>
          </w:p>
        </w:tc>
        <w:tc>
          <w:tcPr>
            <w:tcW w:w="1174" w:type="dxa"/>
            <w:tcBorders>
              <w:top w:val="nil"/>
              <w:left w:val="nil"/>
              <w:bottom w:val="single" w:sz="4" w:space="0" w:color="auto"/>
              <w:right w:val="single" w:sz="4" w:space="0" w:color="auto"/>
            </w:tcBorders>
            <w:shd w:val="clear" w:color="000000" w:fill="FFFFFF"/>
            <w:vAlign w:val="center"/>
            <w:hideMark/>
          </w:tcPr>
          <w:p w14:paraId="6E433897"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265000</w:t>
            </w:r>
          </w:p>
        </w:tc>
      </w:tr>
      <w:tr w:rsidR="00524A12" w:rsidRPr="00524A12" w14:paraId="6220C179" w14:textId="77777777" w:rsidTr="00524A12">
        <w:trPr>
          <w:trHeight w:val="333"/>
        </w:trPr>
        <w:tc>
          <w:tcPr>
            <w:tcW w:w="1415" w:type="dxa"/>
            <w:tcBorders>
              <w:top w:val="nil"/>
              <w:left w:val="single" w:sz="4" w:space="0" w:color="auto"/>
              <w:bottom w:val="single" w:sz="4" w:space="0" w:color="auto"/>
              <w:right w:val="single" w:sz="4" w:space="0" w:color="auto"/>
            </w:tcBorders>
            <w:shd w:val="clear" w:color="000000" w:fill="F5F5F5"/>
            <w:vAlign w:val="center"/>
            <w:hideMark/>
          </w:tcPr>
          <w:p w14:paraId="394B058C"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Mode</w:t>
            </w:r>
          </w:p>
        </w:tc>
        <w:tc>
          <w:tcPr>
            <w:tcW w:w="977" w:type="dxa"/>
            <w:tcBorders>
              <w:top w:val="nil"/>
              <w:left w:val="nil"/>
              <w:bottom w:val="single" w:sz="4" w:space="0" w:color="auto"/>
              <w:right w:val="single" w:sz="4" w:space="0" w:color="auto"/>
            </w:tcBorders>
            <w:shd w:val="clear" w:color="000000" w:fill="F5F5F5"/>
            <w:vAlign w:val="center"/>
            <w:hideMark/>
          </w:tcPr>
          <w:p w14:paraId="0E20A939"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1</w:t>
            </w:r>
          </w:p>
        </w:tc>
        <w:tc>
          <w:tcPr>
            <w:tcW w:w="1098" w:type="dxa"/>
            <w:tcBorders>
              <w:top w:val="nil"/>
              <w:left w:val="nil"/>
              <w:bottom w:val="single" w:sz="4" w:space="0" w:color="auto"/>
              <w:right w:val="single" w:sz="4" w:space="0" w:color="auto"/>
            </w:tcBorders>
            <w:shd w:val="clear" w:color="000000" w:fill="F5F5F5"/>
            <w:vAlign w:val="center"/>
            <w:hideMark/>
          </w:tcPr>
          <w:p w14:paraId="1608AFA0"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62</w:t>
            </w:r>
          </w:p>
        </w:tc>
        <w:tc>
          <w:tcPr>
            <w:tcW w:w="1098" w:type="dxa"/>
            <w:tcBorders>
              <w:top w:val="nil"/>
              <w:left w:val="nil"/>
              <w:bottom w:val="single" w:sz="4" w:space="0" w:color="auto"/>
              <w:right w:val="single" w:sz="4" w:space="0" w:color="auto"/>
            </w:tcBorders>
            <w:shd w:val="clear" w:color="000000" w:fill="F5F5F5"/>
            <w:vAlign w:val="center"/>
            <w:hideMark/>
          </w:tcPr>
          <w:p w14:paraId="66463E47"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63</w:t>
            </w:r>
          </w:p>
        </w:tc>
        <w:tc>
          <w:tcPr>
            <w:tcW w:w="1476" w:type="dxa"/>
            <w:tcBorders>
              <w:top w:val="nil"/>
              <w:left w:val="nil"/>
              <w:bottom w:val="single" w:sz="4" w:space="0" w:color="auto"/>
              <w:right w:val="single" w:sz="4" w:space="0" w:color="auto"/>
            </w:tcBorders>
            <w:shd w:val="clear" w:color="000000" w:fill="F5F5F5"/>
            <w:vAlign w:val="center"/>
            <w:hideMark/>
          </w:tcPr>
          <w:p w14:paraId="2FD009A1"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65</w:t>
            </w:r>
          </w:p>
        </w:tc>
        <w:tc>
          <w:tcPr>
            <w:tcW w:w="1219" w:type="dxa"/>
            <w:tcBorders>
              <w:top w:val="nil"/>
              <w:left w:val="nil"/>
              <w:bottom w:val="single" w:sz="4" w:space="0" w:color="auto"/>
              <w:right w:val="single" w:sz="4" w:space="0" w:color="auto"/>
            </w:tcBorders>
            <w:shd w:val="clear" w:color="000000" w:fill="F5F5F5"/>
            <w:vAlign w:val="center"/>
            <w:hideMark/>
          </w:tcPr>
          <w:p w14:paraId="5B0E252D"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60</w:t>
            </w:r>
          </w:p>
        </w:tc>
        <w:tc>
          <w:tcPr>
            <w:tcW w:w="1143" w:type="dxa"/>
            <w:tcBorders>
              <w:top w:val="nil"/>
              <w:left w:val="nil"/>
              <w:bottom w:val="single" w:sz="4" w:space="0" w:color="auto"/>
              <w:right w:val="single" w:sz="4" w:space="0" w:color="auto"/>
            </w:tcBorders>
            <w:shd w:val="clear" w:color="000000" w:fill="F5F5F5"/>
            <w:vAlign w:val="center"/>
            <w:hideMark/>
          </w:tcPr>
          <w:p w14:paraId="48B51852"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56.7</w:t>
            </w:r>
          </w:p>
        </w:tc>
        <w:tc>
          <w:tcPr>
            <w:tcW w:w="1174" w:type="dxa"/>
            <w:tcBorders>
              <w:top w:val="nil"/>
              <w:left w:val="nil"/>
              <w:bottom w:val="single" w:sz="4" w:space="0" w:color="auto"/>
              <w:right w:val="single" w:sz="4" w:space="0" w:color="auto"/>
            </w:tcBorders>
            <w:shd w:val="clear" w:color="000000" w:fill="F5F5F5"/>
            <w:vAlign w:val="center"/>
            <w:hideMark/>
          </w:tcPr>
          <w:p w14:paraId="6672EDFC"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300000</w:t>
            </w:r>
          </w:p>
        </w:tc>
      </w:tr>
      <w:tr w:rsidR="00524A12" w:rsidRPr="00524A12" w14:paraId="0A2DDFB6" w14:textId="77777777" w:rsidTr="00524A12">
        <w:trPr>
          <w:trHeight w:val="333"/>
        </w:trPr>
        <w:tc>
          <w:tcPr>
            <w:tcW w:w="1415" w:type="dxa"/>
            <w:tcBorders>
              <w:top w:val="nil"/>
              <w:left w:val="single" w:sz="4" w:space="0" w:color="auto"/>
              <w:bottom w:val="single" w:sz="4" w:space="0" w:color="auto"/>
              <w:right w:val="single" w:sz="4" w:space="0" w:color="auto"/>
            </w:tcBorders>
            <w:shd w:val="clear" w:color="000000" w:fill="FFFFFF"/>
            <w:vAlign w:val="center"/>
            <w:hideMark/>
          </w:tcPr>
          <w:p w14:paraId="1DAB3280"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Q1:25%</w:t>
            </w:r>
          </w:p>
        </w:tc>
        <w:tc>
          <w:tcPr>
            <w:tcW w:w="977" w:type="dxa"/>
            <w:tcBorders>
              <w:top w:val="nil"/>
              <w:left w:val="nil"/>
              <w:bottom w:val="single" w:sz="4" w:space="0" w:color="auto"/>
              <w:right w:val="single" w:sz="4" w:space="0" w:color="auto"/>
            </w:tcBorders>
            <w:shd w:val="clear" w:color="000000" w:fill="FFFFFF"/>
            <w:vAlign w:val="center"/>
            <w:hideMark/>
          </w:tcPr>
          <w:p w14:paraId="4BBD0F6C"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54.5</w:t>
            </w:r>
          </w:p>
        </w:tc>
        <w:tc>
          <w:tcPr>
            <w:tcW w:w="1098" w:type="dxa"/>
            <w:tcBorders>
              <w:top w:val="nil"/>
              <w:left w:val="nil"/>
              <w:bottom w:val="single" w:sz="4" w:space="0" w:color="auto"/>
              <w:right w:val="single" w:sz="4" w:space="0" w:color="auto"/>
            </w:tcBorders>
            <w:shd w:val="clear" w:color="000000" w:fill="FFFFFF"/>
            <w:vAlign w:val="center"/>
            <w:hideMark/>
          </w:tcPr>
          <w:p w14:paraId="2F05818B"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60.6</w:t>
            </w:r>
          </w:p>
        </w:tc>
        <w:tc>
          <w:tcPr>
            <w:tcW w:w="1098" w:type="dxa"/>
            <w:tcBorders>
              <w:top w:val="nil"/>
              <w:left w:val="nil"/>
              <w:bottom w:val="single" w:sz="4" w:space="0" w:color="auto"/>
              <w:right w:val="single" w:sz="4" w:space="0" w:color="auto"/>
            </w:tcBorders>
            <w:shd w:val="clear" w:color="000000" w:fill="FFFFFF"/>
            <w:vAlign w:val="center"/>
            <w:hideMark/>
          </w:tcPr>
          <w:p w14:paraId="01478D23"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60.9</w:t>
            </w:r>
          </w:p>
        </w:tc>
        <w:tc>
          <w:tcPr>
            <w:tcW w:w="1476" w:type="dxa"/>
            <w:tcBorders>
              <w:top w:val="nil"/>
              <w:left w:val="nil"/>
              <w:bottom w:val="single" w:sz="4" w:space="0" w:color="auto"/>
              <w:right w:val="single" w:sz="4" w:space="0" w:color="auto"/>
            </w:tcBorders>
            <w:shd w:val="clear" w:color="000000" w:fill="FFFFFF"/>
            <w:vAlign w:val="center"/>
            <w:hideMark/>
          </w:tcPr>
          <w:p w14:paraId="30FE30D0"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61</w:t>
            </w:r>
          </w:p>
        </w:tc>
        <w:tc>
          <w:tcPr>
            <w:tcW w:w="1219" w:type="dxa"/>
            <w:tcBorders>
              <w:top w:val="nil"/>
              <w:left w:val="nil"/>
              <w:bottom w:val="single" w:sz="4" w:space="0" w:color="auto"/>
              <w:right w:val="single" w:sz="4" w:space="0" w:color="auto"/>
            </w:tcBorders>
            <w:shd w:val="clear" w:color="000000" w:fill="FFFFFF"/>
            <w:vAlign w:val="center"/>
            <w:hideMark/>
          </w:tcPr>
          <w:p w14:paraId="22A35EC7"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60</w:t>
            </w:r>
          </w:p>
        </w:tc>
        <w:tc>
          <w:tcPr>
            <w:tcW w:w="1143" w:type="dxa"/>
            <w:tcBorders>
              <w:top w:val="nil"/>
              <w:left w:val="nil"/>
              <w:bottom w:val="single" w:sz="4" w:space="0" w:color="auto"/>
              <w:right w:val="single" w:sz="4" w:space="0" w:color="auto"/>
            </w:tcBorders>
            <w:shd w:val="clear" w:color="000000" w:fill="FFFFFF"/>
            <w:vAlign w:val="center"/>
            <w:hideMark/>
          </w:tcPr>
          <w:p w14:paraId="7077B4A5"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57.945</w:t>
            </w:r>
          </w:p>
        </w:tc>
        <w:tc>
          <w:tcPr>
            <w:tcW w:w="1174" w:type="dxa"/>
            <w:tcBorders>
              <w:top w:val="nil"/>
              <w:left w:val="nil"/>
              <w:bottom w:val="single" w:sz="4" w:space="0" w:color="auto"/>
              <w:right w:val="single" w:sz="4" w:space="0" w:color="auto"/>
            </w:tcBorders>
            <w:shd w:val="clear" w:color="000000" w:fill="FFFFFF"/>
            <w:vAlign w:val="center"/>
            <w:hideMark/>
          </w:tcPr>
          <w:p w14:paraId="3B5A16EA"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240000</w:t>
            </w:r>
          </w:p>
        </w:tc>
      </w:tr>
      <w:tr w:rsidR="00524A12" w:rsidRPr="00524A12" w14:paraId="4DBE4400" w14:textId="77777777" w:rsidTr="00524A12">
        <w:trPr>
          <w:trHeight w:val="333"/>
        </w:trPr>
        <w:tc>
          <w:tcPr>
            <w:tcW w:w="1415" w:type="dxa"/>
            <w:tcBorders>
              <w:top w:val="nil"/>
              <w:left w:val="single" w:sz="4" w:space="0" w:color="auto"/>
              <w:bottom w:val="single" w:sz="4" w:space="0" w:color="auto"/>
              <w:right w:val="single" w:sz="4" w:space="0" w:color="auto"/>
            </w:tcBorders>
            <w:shd w:val="clear" w:color="000000" w:fill="F5F5F5"/>
            <w:vAlign w:val="center"/>
            <w:hideMark/>
          </w:tcPr>
          <w:p w14:paraId="1CEBEE49"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Q2:50%</w:t>
            </w:r>
          </w:p>
        </w:tc>
        <w:tc>
          <w:tcPr>
            <w:tcW w:w="977" w:type="dxa"/>
            <w:tcBorders>
              <w:top w:val="nil"/>
              <w:left w:val="nil"/>
              <w:bottom w:val="single" w:sz="4" w:space="0" w:color="auto"/>
              <w:right w:val="single" w:sz="4" w:space="0" w:color="auto"/>
            </w:tcBorders>
            <w:shd w:val="clear" w:color="000000" w:fill="F5F5F5"/>
            <w:vAlign w:val="center"/>
            <w:hideMark/>
          </w:tcPr>
          <w:p w14:paraId="22211D98"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108</w:t>
            </w:r>
          </w:p>
        </w:tc>
        <w:tc>
          <w:tcPr>
            <w:tcW w:w="1098" w:type="dxa"/>
            <w:tcBorders>
              <w:top w:val="nil"/>
              <w:left w:val="nil"/>
              <w:bottom w:val="single" w:sz="4" w:space="0" w:color="auto"/>
              <w:right w:val="single" w:sz="4" w:space="0" w:color="auto"/>
            </w:tcBorders>
            <w:shd w:val="clear" w:color="000000" w:fill="F5F5F5"/>
            <w:vAlign w:val="center"/>
            <w:hideMark/>
          </w:tcPr>
          <w:p w14:paraId="6B791719"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67</w:t>
            </w:r>
          </w:p>
        </w:tc>
        <w:tc>
          <w:tcPr>
            <w:tcW w:w="1098" w:type="dxa"/>
            <w:tcBorders>
              <w:top w:val="nil"/>
              <w:left w:val="nil"/>
              <w:bottom w:val="single" w:sz="4" w:space="0" w:color="auto"/>
              <w:right w:val="single" w:sz="4" w:space="0" w:color="auto"/>
            </w:tcBorders>
            <w:shd w:val="clear" w:color="000000" w:fill="F5F5F5"/>
            <w:vAlign w:val="center"/>
            <w:hideMark/>
          </w:tcPr>
          <w:p w14:paraId="1F7813D8"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65</w:t>
            </w:r>
          </w:p>
        </w:tc>
        <w:tc>
          <w:tcPr>
            <w:tcW w:w="1476" w:type="dxa"/>
            <w:tcBorders>
              <w:top w:val="nil"/>
              <w:left w:val="nil"/>
              <w:bottom w:val="single" w:sz="4" w:space="0" w:color="auto"/>
              <w:right w:val="single" w:sz="4" w:space="0" w:color="auto"/>
            </w:tcBorders>
            <w:shd w:val="clear" w:color="000000" w:fill="F5F5F5"/>
            <w:vAlign w:val="center"/>
            <w:hideMark/>
          </w:tcPr>
          <w:p w14:paraId="5C9DFF63"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66</w:t>
            </w:r>
          </w:p>
        </w:tc>
        <w:tc>
          <w:tcPr>
            <w:tcW w:w="1219" w:type="dxa"/>
            <w:tcBorders>
              <w:top w:val="nil"/>
              <w:left w:val="nil"/>
              <w:bottom w:val="single" w:sz="4" w:space="0" w:color="auto"/>
              <w:right w:val="single" w:sz="4" w:space="0" w:color="auto"/>
            </w:tcBorders>
            <w:shd w:val="clear" w:color="000000" w:fill="F5F5F5"/>
            <w:vAlign w:val="center"/>
            <w:hideMark/>
          </w:tcPr>
          <w:p w14:paraId="345B6277"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71</w:t>
            </w:r>
          </w:p>
        </w:tc>
        <w:tc>
          <w:tcPr>
            <w:tcW w:w="1143" w:type="dxa"/>
            <w:tcBorders>
              <w:top w:val="nil"/>
              <w:left w:val="nil"/>
              <w:bottom w:val="single" w:sz="4" w:space="0" w:color="auto"/>
              <w:right w:val="single" w:sz="4" w:space="0" w:color="auto"/>
            </w:tcBorders>
            <w:shd w:val="clear" w:color="000000" w:fill="F5F5F5"/>
            <w:vAlign w:val="center"/>
            <w:hideMark/>
          </w:tcPr>
          <w:p w14:paraId="30DD3F7B"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62</w:t>
            </w:r>
          </w:p>
        </w:tc>
        <w:tc>
          <w:tcPr>
            <w:tcW w:w="1174" w:type="dxa"/>
            <w:tcBorders>
              <w:top w:val="nil"/>
              <w:left w:val="nil"/>
              <w:bottom w:val="single" w:sz="4" w:space="0" w:color="auto"/>
              <w:right w:val="single" w:sz="4" w:space="0" w:color="auto"/>
            </w:tcBorders>
            <w:shd w:val="clear" w:color="000000" w:fill="F5F5F5"/>
            <w:vAlign w:val="center"/>
            <w:hideMark/>
          </w:tcPr>
          <w:p w14:paraId="32D919C4"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265000</w:t>
            </w:r>
          </w:p>
        </w:tc>
      </w:tr>
      <w:tr w:rsidR="00524A12" w:rsidRPr="00524A12" w14:paraId="5243FE9F" w14:textId="77777777" w:rsidTr="00524A12">
        <w:trPr>
          <w:trHeight w:val="333"/>
        </w:trPr>
        <w:tc>
          <w:tcPr>
            <w:tcW w:w="1415" w:type="dxa"/>
            <w:tcBorders>
              <w:top w:val="nil"/>
              <w:left w:val="single" w:sz="4" w:space="0" w:color="auto"/>
              <w:bottom w:val="single" w:sz="4" w:space="0" w:color="auto"/>
              <w:right w:val="single" w:sz="4" w:space="0" w:color="auto"/>
            </w:tcBorders>
            <w:shd w:val="clear" w:color="000000" w:fill="FFFFFF"/>
            <w:vAlign w:val="center"/>
            <w:hideMark/>
          </w:tcPr>
          <w:p w14:paraId="17439F00"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Q3:75%</w:t>
            </w:r>
          </w:p>
        </w:tc>
        <w:tc>
          <w:tcPr>
            <w:tcW w:w="977" w:type="dxa"/>
            <w:tcBorders>
              <w:top w:val="nil"/>
              <w:left w:val="nil"/>
              <w:bottom w:val="single" w:sz="4" w:space="0" w:color="auto"/>
              <w:right w:val="single" w:sz="4" w:space="0" w:color="auto"/>
            </w:tcBorders>
            <w:shd w:val="clear" w:color="000000" w:fill="FFFFFF"/>
            <w:vAlign w:val="center"/>
            <w:hideMark/>
          </w:tcPr>
          <w:p w14:paraId="1837852A"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161.5</w:t>
            </w:r>
          </w:p>
        </w:tc>
        <w:tc>
          <w:tcPr>
            <w:tcW w:w="1098" w:type="dxa"/>
            <w:tcBorders>
              <w:top w:val="nil"/>
              <w:left w:val="nil"/>
              <w:bottom w:val="single" w:sz="4" w:space="0" w:color="auto"/>
              <w:right w:val="single" w:sz="4" w:space="0" w:color="auto"/>
            </w:tcBorders>
            <w:shd w:val="clear" w:color="000000" w:fill="FFFFFF"/>
            <w:vAlign w:val="center"/>
            <w:hideMark/>
          </w:tcPr>
          <w:p w14:paraId="24FC5EA5"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75.7</w:t>
            </w:r>
          </w:p>
        </w:tc>
        <w:tc>
          <w:tcPr>
            <w:tcW w:w="1098" w:type="dxa"/>
            <w:tcBorders>
              <w:top w:val="nil"/>
              <w:left w:val="nil"/>
              <w:bottom w:val="single" w:sz="4" w:space="0" w:color="auto"/>
              <w:right w:val="single" w:sz="4" w:space="0" w:color="auto"/>
            </w:tcBorders>
            <w:shd w:val="clear" w:color="000000" w:fill="FFFFFF"/>
            <w:vAlign w:val="center"/>
            <w:hideMark/>
          </w:tcPr>
          <w:p w14:paraId="00C7B73D"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73</w:t>
            </w:r>
          </w:p>
        </w:tc>
        <w:tc>
          <w:tcPr>
            <w:tcW w:w="1476" w:type="dxa"/>
            <w:tcBorders>
              <w:top w:val="nil"/>
              <w:left w:val="nil"/>
              <w:bottom w:val="single" w:sz="4" w:space="0" w:color="auto"/>
              <w:right w:val="single" w:sz="4" w:space="0" w:color="auto"/>
            </w:tcBorders>
            <w:shd w:val="clear" w:color="000000" w:fill="FFFFFF"/>
            <w:vAlign w:val="center"/>
            <w:hideMark/>
          </w:tcPr>
          <w:p w14:paraId="08CD43BB"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72</w:t>
            </w:r>
          </w:p>
        </w:tc>
        <w:tc>
          <w:tcPr>
            <w:tcW w:w="1219" w:type="dxa"/>
            <w:tcBorders>
              <w:top w:val="nil"/>
              <w:left w:val="nil"/>
              <w:bottom w:val="single" w:sz="4" w:space="0" w:color="auto"/>
              <w:right w:val="single" w:sz="4" w:space="0" w:color="auto"/>
            </w:tcBorders>
            <w:shd w:val="clear" w:color="000000" w:fill="FFFFFF"/>
            <w:vAlign w:val="center"/>
            <w:hideMark/>
          </w:tcPr>
          <w:p w14:paraId="45AC02A0"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83.5</w:t>
            </w:r>
          </w:p>
        </w:tc>
        <w:tc>
          <w:tcPr>
            <w:tcW w:w="1143" w:type="dxa"/>
            <w:tcBorders>
              <w:top w:val="nil"/>
              <w:left w:val="nil"/>
              <w:bottom w:val="single" w:sz="4" w:space="0" w:color="auto"/>
              <w:right w:val="single" w:sz="4" w:space="0" w:color="auto"/>
            </w:tcBorders>
            <w:shd w:val="clear" w:color="000000" w:fill="FFFFFF"/>
            <w:vAlign w:val="center"/>
            <w:hideMark/>
          </w:tcPr>
          <w:p w14:paraId="72ED811C"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66.255</w:t>
            </w:r>
          </w:p>
        </w:tc>
        <w:tc>
          <w:tcPr>
            <w:tcW w:w="1174" w:type="dxa"/>
            <w:tcBorders>
              <w:top w:val="nil"/>
              <w:left w:val="nil"/>
              <w:bottom w:val="single" w:sz="4" w:space="0" w:color="auto"/>
              <w:right w:val="single" w:sz="4" w:space="0" w:color="auto"/>
            </w:tcBorders>
            <w:shd w:val="clear" w:color="000000" w:fill="FFFFFF"/>
            <w:vAlign w:val="center"/>
            <w:hideMark/>
          </w:tcPr>
          <w:p w14:paraId="1C7F148C"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300000</w:t>
            </w:r>
          </w:p>
        </w:tc>
      </w:tr>
      <w:tr w:rsidR="00524A12" w:rsidRPr="00524A12" w14:paraId="7A2FB6A2" w14:textId="77777777" w:rsidTr="00524A12">
        <w:trPr>
          <w:trHeight w:val="333"/>
        </w:trPr>
        <w:tc>
          <w:tcPr>
            <w:tcW w:w="1415" w:type="dxa"/>
            <w:tcBorders>
              <w:top w:val="nil"/>
              <w:left w:val="single" w:sz="4" w:space="0" w:color="auto"/>
              <w:bottom w:val="single" w:sz="4" w:space="0" w:color="auto"/>
              <w:right w:val="single" w:sz="4" w:space="0" w:color="auto"/>
            </w:tcBorders>
            <w:shd w:val="clear" w:color="000000" w:fill="F5F5F5"/>
            <w:vAlign w:val="center"/>
            <w:hideMark/>
          </w:tcPr>
          <w:p w14:paraId="158C09B5"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99%</w:t>
            </w:r>
          </w:p>
        </w:tc>
        <w:tc>
          <w:tcPr>
            <w:tcW w:w="977" w:type="dxa"/>
            <w:tcBorders>
              <w:top w:val="nil"/>
              <w:left w:val="nil"/>
              <w:bottom w:val="single" w:sz="4" w:space="0" w:color="auto"/>
              <w:right w:val="single" w:sz="4" w:space="0" w:color="auto"/>
            </w:tcBorders>
            <w:shd w:val="clear" w:color="000000" w:fill="F5F5F5"/>
            <w:vAlign w:val="center"/>
            <w:hideMark/>
          </w:tcPr>
          <w:p w14:paraId="385D2678"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212.9</w:t>
            </w:r>
          </w:p>
        </w:tc>
        <w:tc>
          <w:tcPr>
            <w:tcW w:w="1098" w:type="dxa"/>
            <w:tcBorders>
              <w:top w:val="nil"/>
              <w:left w:val="nil"/>
              <w:bottom w:val="single" w:sz="4" w:space="0" w:color="auto"/>
              <w:right w:val="single" w:sz="4" w:space="0" w:color="auto"/>
            </w:tcBorders>
            <w:shd w:val="clear" w:color="000000" w:fill="F5F5F5"/>
            <w:vAlign w:val="center"/>
            <w:hideMark/>
          </w:tcPr>
          <w:p w14:paraId="68998888"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87</w:t>
            </w:r>
          </w:p>
        </w:tc>
        <w:tc>
          <w:tcPr>
            <w:tcW w:w="1098" w:type="dxa"/>
            <w:tcBorders>
              <w:top w:val="nil"/>
              <w:left w:val="nil"/>
              <w:bottom w:val="single" w:sz="4" w:space="0" w:color="auto"/>
              <w:right w:val="single" w:sz="4" w:space="0" w:color="auto"/>
            </w:tcBorders>
            <w:shd w:val="clear" w:color="000000" w:fill="F5F5F5"/>
            <w:vAlign w:val="center"/>
            <w:hideMark/>
          </w:tcPr>
          <w:p w14:paraId="6517B96C"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91.86</w:t>
            </w:r>
          </w:p>
        </w:tc>
        <w:tc>
          <w:tcPr>
            <w:tcW w:w="1476" w:type="dxa"/>
            <w:tcBorders>
              <w:top w:val="nil"/>
              <w:left w:val="nil"/>
              <w:bottom w:val="single" w:sz="4" w:space="0" w:color="auto"/>
              <w:right w:val="single" w:sz="4" w:space="0" w:color="auto"/>
            </w:tcBorders>
            <w:shd w:val="clear" w:color="000000" w:fill="F5F5F5"/>
            <w:vAlign w:val="center"/>
            <w:hideMark/>
          </w:tcPr>
          <w:p w14:paraId="5A315347"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83.86</w:t>
            </w:r>
          </w:p>
        </w:tc>
        <w:tc>
          <w:tcPr>
            <w:tcW w:w="1219" w:type="dxa"/>
            <w:tcBorders>
              <w:top w:val="nil"/>
              <w:left w:val="nil"/>
              <w:bottom w:val="single" w:sz="4" w:space="0" w:color="auto"/>
              <w:right w:val="single" w:sz="4" w:space="0" w:color="auto"/>
            </w:tcBorders>
            <w:shd w:val="clear" w:color="000000" w:fill="F5F5F5"/>
            <w:vAlign w:val="center"/>
            <w:hideMark/>
          </w:tcPr>
          <w:p w14:paraId="3154ABFA"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97</w:t>
            </w:r>
          </w:p>
        </w:tc>
        <w:tc>
          <w:tcPr>
            <w:tcW w:w="1143" w:type="dxa"/>
            <w:tcBorders>
              <w:top w:val="nil"/>
              <w:left w:val="nil"/>
              <w:bottom w:val="single" w:sz="4" w:space="0" w:color="auto"/>
              <w:right w:val="single" w:sz="4" w:space="0" w:color="auto"/>
            </w:tcBorders>
            <w:shd w:val="clear" w:color="000000" w:fill="F5F5F5"/>
            <w:vAlign w:val="center"/>
            <w:hideMark/>
          </w:tcPr>
          <w:p w14:paraId="18565FDA"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76.114</w:t>
            </w:r>
          </w:p>
        </w:tc>
        <w:tc>
          <w:tcPr>
            <w:tcW w:w="1174" w:type="dxa"/>
            <w:tcBorders>
              <w:top w:val="nil"/>
              <w:left w:val="nil"/>
              <w:bottom w:val="single" w:sz="4" w:space="0" w:color="auto"/>
              <w:right w:val="single" w:sz="4" w:space="0" w:color="auto"/>
            </w:tcBorders>
            <w:shd w:val="clear" w:color="000000" w:fill="F5F5F5"/>
            <w:vAlign w:val="center"/>
            <w:hideMark/>
          </w:tcPr>
          <w:p w14:paraId="44A7F35B"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proofErr w:type="spellStart"/>
            <w:r w:rsidRPr="00524A12">
              <w:rPr>
                <w:rFonts w:ascii="Arial" w:eastAsia="Times New Roman" w:hAnsi="Arial" w:cs="Arial"/>
                <w:color w:val="000000"/>
                <w:kern w:val="0"/>
                <w:sz w:val="22"/>
                <w:szCs w:val="22"/>
                <w14:ligatures w14:val="none"/>
              </w:rPr>
              <w:t>NaN</w:t>
            </w:r>
            <w:proofErr w:type="spellEnd"/>
          </w:p>
        </w:tc>
      </w:tr>
      <w:tr w:rsidR="00524A12" w:rsidRPr="00524A12" w14:paraId="3D2317FC" w14:textId="77777777" w:rsidTr="00524A12">
        <w:trPr>
          <w:trHeight w:val="604"/>
        </w:trPr>
        <w:tc>
          <w:tcPr>
            <w:tcW w:w="1415" w:type="dxa"/>
            <w:tcBorders>
              <w:top w:val="nil"/>
              <w:left w:val="single" w:sz="4" w:space="0" w:color="auto"/>
              <w:bottom w:val="single" w:sz="4" w:space="0" w:color="auto"/>
              <w:right w:val="single" w:sz="4" w:space="0" w:color="auto"/>
            </w:tcBorders>
            <w:shd w:val="clear" w:color="000000" w:fill="FFFFFF"/>
            <w:vAlign w:val="center"/>
            <w:hideMark/>
          </w:tcPr>
          <w:p w14:paraId="137E571F" w14:textId="77777777" w:rsidR="00524A12" w:rsidRPr="00524A12" w:rsidRDefault="00524A12" w:rsidP="00524A12">
            <w:pPr>
              <w:spacing w:after="0" w:line="240" w:lineRule="auto"/>
              <w:jc w:val="right"/>
              <w:rPr>
                <w:rFonts w:ascii="Arial" w:eastAsia="Times New Roman" w:hAnsi="Arial" w:cs="Arial"/>
                <w:b/>
                <w:bCs/>
                <w:color w:val="000000"/>
                <w:kern w:val="0"/>
                <w:sz w:val="22"/>
                <w:szCs w:val="22"/>
                <w14:ligatures w14:val="none"/>
              </w:rPr>
            </w:pPr>
            <w:r w:rsidRPr="00524A12">
              <w:rPr>
                <w:rFonts w:ascii="Arial" w:eastAsia="Times New Roman" w:hAnsi="Arial" w:cs="Arial"/>
                <w:b/>
                <w:bCs/>
                <w:color w:val="000000"/>
                <w:kern w:val="0"/>
                <w:sz w:val="22"/>
                <w:szCs w:val="22"/>
                <w14:ligatures w14:val="none"/>
              </w:rPr>
              <w:t>Q4:100%</w:t>
            </w:r>
          </w:p>
        </w:tc>
        <w:tc>
          <w:tcPr>
            <w:tcW w:w="977" w:type="dxa"/>
            <w:tcBorders>
              <w:top w:val="nil"/>
              <w:left w:val="nil"/>
              <w:bottom w:val="single" w:sz="4" w:space="0" w:color="auto"/>
              <w:right w:val="single" w:sz="4" w:space="0" w:color="auto"/>
            </w:tcBorders>
            <w:shd w:val="clear" w:color="000000" w:fill="FFFFFF"/>
            <w:vAlign w:val="center"/>
            <w:hideMark/>
          </w:tcPr>
          <w:p w14:paraId="70E0F3E2"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215</w:t>
            </w:r>
          </w:p>
        </w:tc>
        <w:tc>
          <w:tcPr>
            <w:tcW w:w="1098" w:type="dxa"/>
            <w:tcBorders>
              <w:top w:val="nil"/>
              <w:left w:val="nil"/>
              <w:bottom w:val="single" w:sz="4" w:space="0" w:color="auto"/>
              <w:right w:val="single" w:sz="4" w:space="0" w:color="auto"/>
            </w:tcBorders>
            <w:shd w:val="clear" w:color="000000" w:fill="FFFFFF"/>
            <w:vAlign w:val="center"/>
            <w:hideMark/>
          </w:tcPr>
          <w:p w14:paraId="00F92B14"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89.4</w:t>
            </w:r>
          </w:p>
        </w:tc>
        <w:tc>
          <w:tcPr>
            <w:tcW w:w="1098" w:type="dxa"/>
            <w:tcBorders>
              <w:top w:val="nil"/>
              <w:left w:val="nil"/>
              <w:bottom w:val="single" w:sz="4" w:space="0" w:color="auto"/>
              <w:right w:val="single" w:sz="4" w:space="0" w:color="auto"/>
            </w:tcBorders>
            <w:shd w:val="clear" w:color="000000" w:fill="FFFFFF"/>
            <w:vAlign w:val="center"/>
            <w:hideMark/>
          </w:tcPr>
          <w:p w14:paraId="71F6490C"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97.7</w:t>
            </w:r>
          </w:p>
        </w:tc>
        <w:tc>
          <w:tcPr>
            <w:tcW w:w="1476" w:type="dxa"/>
            <w:tcBorders>
              <w:top w:val="nil"/>
              <w:left w:val="nil"/>
              <w:bottom w:val="single" w:sz="4" w:space="0" w:color="auto"/>
              <w:right w:val="single" w:sz="4" w:space="0" w:color="auto"/>
            </w:tcBorders>
            <w:shd w:val="clear" w:color="000000" w:fill="FFFFFF"/>
            <w:vAlign w:val="center"/>
            <w:hideMark/>
          </w:tcPr>
          <w:p w14:paraId="105D46B4"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91</w:t>
            </w:r>
          </w:p>
        </w:tc>
        <w:tc>
          <w:tcPr>
            <w:tcW w:w="1219" w:type="dxa"/>
            <w:tcBorders>
              <w:top w:val="nil"/>
              <w:left w:val="nil"/>
              <w:bottom w:val="single" w:sz="4" w:space="0" w:color="auto"/>
              <w:right w:val="single" w:sz="4" w:space="0" w:color="auto"/>
            </w:tcBorders>
            <w:shd w:val="clear" w:color="000000" w:fill="FFFFFF"/>
            <w:vAlign w:val="center"/>
            <w:hideMark/>
          </w:tcPr>
          <w:p w14:paraId="656E1146"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98</w:t>
            </w:r>
          </w:p>
        </w:tc>
        <w:tc>
          <w:tcPr>
            <w:tcW w:w="1143" w:type="dxa"/>
            <w:tcBorders>
              <w:top w:val="nil"/>
              <w:left w:val="nil"/>
              <w:bottom w:val="single" w:sz="4" w:space="0" w:color="auto"/>
              <w:right w:val="single" w:sz="4" w:space="0" w:color="auto"/>
            </w:tcBorders>
            <w:shd w:val="clear" w:color="000000" w:fill="FFFFFF"/>
            <w:vAlign w:val="center"/>
            <w:hideMark/>
          </w:tcPr>
          <w:p w14:paraId="4A9998E0"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77.89</w:t>
            </w:r>
          </w:p>
        </w:tc>
        <w:tc>
          <w:tcPr>
            <w:tcW w:w="1174" w:type="dxa"/>
            <w:tcBorders>
              <w:top w:val="nil"/>
              <w:left w:val="nil"/>
              <w:bottom w:val="single" w:sz="4" w:space="0" w:color="auto"/>
              <w:right w:val="single" w:sz="4" w:space="0" w:color="auto"/>
            </w:tcBorders>
            <w:shd w:val="clear" w:color="000000" w:fill="FFFFFF"/>
            <w:vAlign w:val="center"/>
            <w:hideMark/>
          </w:tcPr>
          <w:p w14:paraId="018A992E" w14:textId="77777777" w:rsidR="00524A12" w:rsidRPr="00524A12" w:rsidRDefault="00524A12" w:rsidP="00524A12">
            <w:pPr>
              <w:spacing w:after="0" w:line="240" w:lineRule="auto"/>
              <w:jc w:val="right"/>
              <w:rPr>
                <w:rFonts w:ascii="Arial" w:eastAsia="Times New Roman" w:hAnsi="Arial" w:cs="Arial"/>
                <w:color w:val="000000"/>
                <w:kern w:val="0"/>
                <w:sz w:val="22"/>
                <w:szCs w:val="22"/>
                <w14:ligatures w14:val="none"/>
              </w:rPr>
            </w:pPr>
            <w:r w:rsidRPr="00524A12">
              <w:rPr>
                <w:rFonts w:ascii="Arial" w:eastAsia="Times New Roman" w:hAnsi="Arial" w:cs="Arial"/>
                <w:color w:val="000000"/>
                <w:kern w:val="0"/>
                <w:sz w:val="22"/>
                <w:szCs w:val="22"/>
                <w14:ligatures w14:val="none"/>
              </w:rPr>
              <w:t>940000</w:t>
            </w:r>
          </w:p>
        </w:tc>
      </w:tr>
    </w:tbl>
    <w:p w14:paraId="15B1948B" w14:textId="77777777" w:rsidR="00524A12" w:rsidRDefault="00524A12" w:rsidP="00C74471">
      <w:pPr>
        <w:rPr>
          <w:rFonts w:ascii="Arial" w:hAnsi="Arial" w:cs="Arial"/>
        </w:rPr>
      </w:pPr>
    </w:p>
    <w:p w14:paraId="4A7A12D6" w14:textId="77777777" w:rsidR="00E66458" w:rsidRDefault="00E66458">
      <w:pPr>
        <w:rPr>
          <w:rFonts w:ascii="Arial" w:hAnsi="Arial" w:cs="Arial"/>
        </w:rPr>
      </w:pPr>
    </w:p>
    <w:p w14:paraId="38E5C598" w14:textId="1FE16550" w:rsidR="00DD0480" w:rsidRPr="0092357D" w:rsidRDefault="0092357D">
      <w:pPr>
        <w:rPr>
          <w:rFonts w:ascii="Arial" w:hAnsi="Arial" w:cs="Arial"/>
          <w:b/>
          <w:bCs/>
        </w:rPr>
      </w:pPr>
      <w:r w:rsidRPr="0092357D">
        <w:rPr>
          <w:rFonts w:ascii="Arial" w:hAnsi="Arial" w:cs="Arial"/>
          <w:b/>
          <w:bCs/>
        </w:rPr>
        <w:t>Key Summary</w:t>
      </w:r>
    </w:p>
    <w:p w14:paraId="59E55A61" w14:textId="3B676F96" w:rsidR="00473CE0" w:rsidRPr="00473CE0" w:rsidRDefault="00473CE0" w:rsidP="0092357D">
      <w:pPr>
        <w:numPr>
          <w:ilvl w:val="0"/>
          <w:numId w:val="1"/>
        </w:numPr>
        <w:tabs>
          <w:tab w:val="clear" w:pos="360"/>
          <w:tab w:val="num" w:pos="720"/>
        </w:tabs>
        <w:rPr>
          <w:rFonts w:ascii="Arial" w:hAnsi="Arial" w:cs="Arial"/>
        </w:rPr>
      </w:pPr>
      <w:r w:rsidRPr="00473CE0">
        <w:rPr>
          <w:rFonts w:ascii="Arial" w:hAnsi="Arial" w:cs="Arial"/>
        </w:rPr>
        <w:t xml:space="preserve">Students in the top 25% (Q3) have significantly higher scores across all </w:t>
      </w:r>
      <w:r w:rsidR="0029054F">
        <w:rPr>
          <w:rFonts w:ascii="Arial" w:hAnsi="Arial" w:cs="Arial"/>
        </w:rPr>
        <w:t>subjects</w:t>
      </w:r>
      <w:r w:rsidRPr="00473CE0">
        <w:rPr>
          <w:rFonts w:ascii="Arial" w:hAnsi="Arial" w:cs="Arial"/>
        </w:rPr>
        <w:t xml:space="preserve"> particularly in the </w:t>
      </w:r>
      <w:proofErr w:type="spellStart"/>
      <w:r w:rsidRPr="005C4D31">
        <w:rPr>
          <w:rFonts w:ascii="Arial" w:hAnsi="Arial" w:cs="Arial"/>
        </w:rPr>
        <w:t>Etest</w:t>
      </w:r>
      <w:proofErr w:type="spellEnd"/>
      <w:r w:rsidRPr="005C4D31">
        <w:rPr>
          <w:rFonts w:ascii="Arial" w:hAnsi="Arial" w:cs="Arial"/>
        </w:rPr>
        <w:t xml:space="preserve"> (83.5%) and Degree (72%), indicating strong academic consistency amon</w:t>
      </w:r>
      <w:r w:rsidRPr="00473CE0">
        <w:rPr>
          <w:rFonts w:ascii="Arial" w:hAnsi="Arial" w:cs="Arial"/>
        </w:rPr>
        <w:t>g high performers.</w:t>
      </w:r>
    </w:p>
    <w:p w14:paraId="631742CF" w14:textId="77777777" w:rsidR="00DD0480" w:rsidRPr="00DD0480" w:rsidRDefault="00DD0480" w:rsidP="00DD0480">
      <w:pPr>
        <w:numPr>
          <w:ilvl w:val="0"/>
          <w:numId w:val="1"/>
        </w:numPr>
        <w:tabs>
          <w:tab w:val="clear" w:pos="360"/>
          <w:tab w:val="num" w:pos="720"/>
        </w:tabs>
        <w:rPr>
          <w:rFonts w:ascii="Arial" w:hAnsi="Arial" w:cs="Arial"/>
        </w:rPr>
      </w:pPr>
      <w:r w:rsidRPr="00DD0480">
        <w:rPr>
          <w:rFonts w:ascii="Arial" w:hAnsi="Arial" w:cs="Arial"/>
          <w:b/>
          <w:bCs/>
        </w:rPr>
        <w:t>Salary Distribution</w:t>
      </w:r>
      <w:r w:rsidRPr="00DD0480">
        <w:rPr>
          <w:rFonts w:ascii="Arial" w:hAnsi="Arial" w:cs="Arial"/>
        </w:rPr>
        <w:t>:</w:t>
      </w:r>
    </w:p>
    <w:p w14:paraId="2265FA7E" w14:textId="5DB1745E" w:rsidR="00A36E7B" w:rsidRPr="00A36E7B" w:rsidRDefault="00A36E7B" w:rsidP="00A36E7B">
      <w:pPr>
        <w:ind w:left="720"/>
        <w:rPr>
          <w:rFonts w:ascii="Arial" w:hAnsi="Arial" w:cs="Arial"/>
        </w:rPr>
      </w:pPr>
      <w:r w:rsidRPr="00A36E7B">
        <w:rPr>
          <w:rFonts w:ascii="Arial" w:hAnsi="Arial" w:cs="Arial"/>
        </w:rPr>
        <w:t xml:space="preserve">Median Salary (Q2) is </w:t>
      </w:r>
      <w:r w:rsidR="00FE4084">
        <w:rPr>
          <w:rFonts w:ascii="Arial" w:hAnsi="Arial" w:cs="Arial"/>
        </w:rPr>
        <w:t xml:space="preserve">Rs </w:t>
      </w:r>
      <w:r w:rsidRPr="00A36E7B">
        <w:rPr>
          <w:rFonts w:ascii="Arial" w:hAnsi="Arial" w:cs="Arial"/>
        </w:rPr>
        <w:t xml:space="preserve">265,000, while 75% of students received up to </w:t>
      </w:r>
      <w:r w:rsidR="00FE4084">
        <w:rPr>
          <w:rFonts w:ascii="Arial" w:hAnsi="Arial" w:cs="Arial"/>
        </w:rPr>
        <w:t>Rs</w:t>
      </w:r>
      <w:r w:rsidRPr="00A36E7B">
        <w:rPr>
          <w:rFonts w:ascii="Arial" w:hAnsi="Arial" w:cs="Arial"/>
        </w:rPr>
        <w:t>300,000, suggesting this is a common upper-range offer.</w:t>
      </w:r>
    </w:p>
    <w:p w14:paraId="3D477915" w14:textId="62601E26" w:rsidR="00A36E7B" w:rsidRPr="00A36E7B" w:rsidRDefault="00A36E7B" w:rsidP="00A36E7B">
      <w:pPr>
        <w:ind w:left="720"/>
        <w:rPr>
          <w:rFonts w:ascii="Arial" w:hAnsi="Arial" w:cs="Arial"/>
        </w:rPr>
      </w:pPr>
      <w:r w:rsidRPr="00A36E7B">
        <w:rPr>
          <w:rFonts w:ascii="Arial" w:hAnsi="Arial" w:cs="Arial"/>
        </w:rPr>
        <w:t xml:space="preserve">The maximum salary of </w:t>
      </w:r>
      <w:r w:rsidR="00FE4084">
        <w:rPr>
          <w:rFonts w:ascii="Arial" w:hAnsi="Arial" w:cs="Arial"/>
        </w:rPr>
        <w:t xml:space="preserve">Rs </w:t>
      </w:r>
      <w:r w:rsidRPr="00A36E7B">
        <w:rPr>
          <w:rFonts w:ascii="Arial" w:hAnsi="Arial" w:cs="Arial"/>
        </w:rPr>
        <w:t xml:space="preserve">940,000 is a clear outlier, far exceeding Q3 and likely impacting the mean salary of </w:t>
      </w:r>
      <w:r w:rsidR="00FE4084">
        <w:rPr>
          <w:rFonts w:ascii="Arial" w:hAnsi="Arial" w:cs="Arial"/>
        </w:rPr>
        <w:t xml:space="preserve">Rs </w:t>
      </w:r>
      <w:r w:rsidRPr="00A36E7B">
        <w:rPr>
          <w:rFonts w:ascii="Arial" w:hAnsi="Arial" w:cs="Arial"/>
        </w:rPr>
        <w:t>288,655, which is higher than the median.</w:t>
      </w:r>
    </w:p>
    <w:p w14:paraId="54150E42" w14:textId="77777777" w:rsidR="00A36E7B" w:rsidRPr="00DD0480" w:rsidRDefault="00A36E7B" w:rsidP="00DA00CE">
      <w:pPr>
        <w:ind w:left="720"/>
        <w:rPr>
          <w:rFonts w:ascii="Arial" w:hAnsi="Arial" w:cs="Arial"/>
        </w:rPr>
      </w:pPr>
    </w:p>
    <w:p w14:paraId="096C0A63" w14:textId="77777777" w:rsidR="00DD0480" w:rsidRPr="00587E49" w:rsidRDefault="00DD0480">
      <w:pPr>
        <w:rPr>
          <w:rFonts w:ascii="Arial" w:hAnsi="Arial" w:cs="Arial"/>
        </w:rPr>
      </w:pPr>
    </w:p>
    <w:sectPr w:rsidR="00DD0480" w:rsidRPr="0058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755EC"/>
    <w:multiLevelType w:val="multilevel"/>
    <w:tmpl w:val="20F80D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730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71"/>
    <w:rsid w:val="000977B9"/>
    <w:rsid w:val="00255655"/>
    <w:rsid w:val="0029054F"/>
    <w:rsid w:val="002F44E3"/>
    <w:rsid w:val="00473CE0"/>
    <w:rsid w:val="004C79F7"/>
    <w:rsid w:val="004D6F4F"/>
    <w:rsid w:val="004E4126"/>
    <w:rsid w:val="00524A12"/>
    <w:rsid w:val="00587E49"/>
    <w:rsid w:val="005C08D2"/>
    <w:rsid w:val="005C4D31"/>
    <w:rsid w:val="00640DFF"/>
    <w:rsid w:val="00787A2B"/>
    <w:rsid w:val="007B6F48"/>
    <w:rsid w:val="00837F05"/>
    <w:rsid w:val="00874EA4"/>
    <w:rsid w:val="0092357D"/>
    <w:rsid w:val="00A3182B"/>
    <w:rsid w:val="00A36E7B"/>
    <w:rsid w:val="00C63512"/>
    <w:rsid w:val="00C74471"/>
    <w:rsid w:val="00CB77A0"/>
    <w:rsid w:val="00D078AB"/>
    <w:rsid w:val="00D145C3"/>
    <w:rsid w:val="00DA00CE"/>
    <w:rsid w:val="00DD0480"/>
    <w:rsid w:val="00E30580"/>
    <w:rsid w:val="00E66458"/>
    <w:rsid w:val="00FE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855B"/>
  <w15:chartTrackingRefBased/>
  <w15:docId w15:val="{CE9F1F08-57A6-48B8-81F1-66AFEA77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471"/>
    <w:rPr>
      <w:rFonts w:eastAsiaTheme="majorEastAsia" w:cstheme="majorBidi"/>
      <w:color w:val="272727" w:themeColor="text1" w:themeTint="D8"/>
    </w:rPr>
  </w:style>
  <w:style w:type="paragraph" w:styleId="Title">
    <w:name w:val="Title"/>
    <w:basedOn w:val="Normal"/>
    <w:next w:val="Normal"/>
    <w:link w:val="TitleChar"/>
    <w:uiPriority w:val="10"/>
    <w:qFormat/>
    <w:rsid w:val="00C74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471"/>
    <w:pPr>
      <w:spacing w:before="160"/>
      <w:jc w:val="center"/>
    </w:pPr>
    <w:rPr>
      <w:i/>
      <w:iCs/>
      <w:color w:val="404040" w:themeColor="text1" w:themeTint="BF"/>
    </w:rPr>
  </w:style>
  <w:style w:type="character" w:customStyle="1" w:styleId="QuoteChar">
    <w:name w:val="Quote Char"/>
    <w:basedOn w:val="DefaultParagraphFont"/>
    <w:link w:val="Quote"/>
    <w:uiPriority w:val="29"/>
    <w:rsid w:val="00C74471"/>
    <w:rPr>
      <w:i/>
      <w:iCs/>
      <w:color w:val="404040" w:themeColor="text1" w:themeTint="BF"/>
    </w:rPr>
  </w:style>
  <w:style w:type="paragraph" w:styleId="ListParagraph">
    <w:name w:val="List Paragraph"/>
    <w:basedOn w:val="Normal"/>
    <w:uiPriority w:val="34"/>
    <w:qFormat/>
    <w:rsid w:val="00C74471"/>
    <w:pPr>
      <w:ind w:left="720"/>
      <w:contextualSpacing/>
    </w:pPr>
  </w:style>
  <w:style w:type="character" w:styleId="IntenseEmphasis">
    <w:name w:val="Intense Emphasis"/>
    <w:basedOn w:val="DefaultParagraphFont"/>
    <w:uiPriority w:val="21"/>
    <w:qFormat/>
    <w:rsid w:val="00C74471"/>
    <w:rPr>
      <w:i/>
      <w:iCs/>
      <w:color w:val="0F4761" w:themeColor="accent1" w:themeShade="BF"/>
    </w:rPr>
  </w:style>
  <w:style w:type="paragraph" w:styleId="IntenseQuote">
    <w:name w:val="Intense Quote"/>
    <w:basedOn w:val="Normal"/>
    <w:next w:val="Normal"/>
    <w:link w:val="IntenseQuoteChar"/>
    <w:uiPriority w:val="30"/>
    <w:qFormat/>
    <w:rsid w:val="00C74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471"/>
    <w:rPr>
      <w:i/>
      <w:iCs/>
      <w:color w:val="0F4761" w:themeColor="accent1" w:themeShade="BF"/>
    </w:rPr>
  </w:style>
  <w:style w:type="character" w:styleId="IntenseReference">
    <w:name w:val="Intense Reference"/>
    <w:basedOn w:val="DefaultParagraphFont"/>
    <w:uiPriority w:val="32"/>
    <w:qFormat/>
    <w:rsid w:val="00C744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12396">
      <w:bodyDiv w:val="1"/>
      <w:marLeft w:val="0"/>
      <w:marRight w:val="0"/>
      <w:marTop w:val="0"/>
      <w:marBottom w:val="0"/>
      <w:divBdr>
        <w:top w:val="none" w:sz="0" w:space="0" w:color="auto"/>
        <w:left w:val="none" w:sz="0" w:space="0" w:color="auto"/>
        <w:bottom w:val="none" w:sz="0" w:space="0" w:color="auto"/>
        <w:right w:val="none" w:sz="0" w:space="0" w:color="auto"/>
      </w:divBdr>
    </w:div>
    <w:div w:id="309335421">
      <w:bodyDiv w:val="1"/>
      <w:marLeft w:val="0"/>
      <w:marRight w:val="0"/>
      <w:marTop w:val="0"/>
      <w:marBottom w:val="0"/>
      <w:divBdr>
        <w:top w:val="none" w:sz="0" w:space="0" w:color="auto"/>
        <w:left w:val="none" w:sz="0" w:space="0" w:color="auto"/>
        <w:bottom w:val="none" w:sz="0" w:space="0" w:color="auto"/>
        <w:right w:val="none" w:sz="0" w:space="0" w:color="auto"/>
      </w:divBdr>
    </w:div>
    <w:div w:id="609626389">
      <w:bodyDiv w:val="1"/>
      <w:marLeft w:val="0"/>
      <w:marRight w:val="0"/>
      <w:marTop w:val="0"/>
      <w:marBottom w:val="0"/>
      <w:divBdr>
        <w:top w:val="none" w:sz="0" w:space="0" w:color="auto"/>
        <w:left w:val="none" w:sz="0" w:space="0" w:color="auto"/>
        <w:bottom w:val="none" w:sz="0" w:space="0" w:color="auto"/>
        <w:right w:val="none" w:sz="0" w:space="0" w:color="auto"/>
      </w:divBdr>
    </w:div>
    <w:div w:id="894968954">
      <w:bodyDiv w:val="1"/>
      <w:marLeft w:val="0"/>
      <w:marRight w:val="0"/>
      <w:marTop w:val="0"/>
      <w:marBottom w:val="0"/>
      <w:divBdr>
        <w:top w:val="none" w:sz="0" w:space="0" w:color="auto"/>
        <w:left w:val="none" w:sz="0" w:space="0" w:color="auto"/>
        <w:bottom w:val="none" w:sz="0" w:space="0" w:color="auto"/>
        <w:right w:val="none" w:sz="0" w:space="0" w:color="auto"/>
      </w:divBdr>
    </w:div>
    <w:div w:id="908080993">
      <w:bodyDiv w:val="1"/>
      <w:marLeft w:val="0"/>
      <w:marRight w:val="0"/>
      <w:marTop w:val="0"/>
      <w:marBottom w:val="0"/>
      <w:divBdr>
        <w:top w:val="none" w:sz="0" w:space="0" w:color="auto"/>
        <w:left w:val="none" w:sz="0" w:space="0" w:color="auto"/>
        <w:bottom w:val="none" w:sz="0" w:space="0" w:color="auto"/>
        <w:right w:val="none" w:sz="0" w:space="0" w:color="auto"/>
      </w:divBdr>
    </w:div>
    <w:div w:id="1135829449">
      <w:bodyDiv w:val="1"/>
      <w:marLeft w:val="0"/>
      <w:marRight w:val="0"/>
      <w:marTop w:val="0"/>
      <w:marBottom w:val="0"/>
      <w:divBdr>
        <w:top w:val="none" w:sz="0" w:space="0" w:color="auto"/>
        <w:left w:val="none" w:sz="0" w:space="0" w:color="auto"/>
        <w:bottom w:val="none" w:sz="0" w:space="0" w:color="auto"/>
        <w:right w:val="none" w:sz="0" w:space="0" w:color="auto"/>
      </w:divBdr>
    </w:div>
    <w:div w:id="1277905669">
      <w:bodyDiv w:val="1"/>
      <w:marLeft w:val="0"/>
      <w:marRight w:val="0"/>
      <w:marTop w:val="0"/>
      <w:marBottom w:val="0"/>
      <w:divBdr>
        <w:top w:val="none" w:sz="0" w:space="0" w:color="auto"/>
        <w:left w:val="none" w:sz="0" w:space="0" w:color="auto"/>
        <w:bottom w:val="none" w:sz="0" w:space="0" w:color="auto"/>
        <w:right w:val="none" w:sz="0" w:space="0" w:color="auto"/>
      </w:divBdr>
    </w:div>
    <w:div w:id="1547911319">
      <w:bodyDiv w:val="1"/>
      <w:marLeft w:val="0"/>
      <w:marRight w:val="0"/>
      <w:marTop w:val="0"/>
      <w:marBottom w:val="0"/>
      <w:divBdr>
        <w:top w:val="none" w:sz="0" w:space="0" w:color="auto"/>
        <w:left w:val="none" w:sz="0" w:space="0" w:color="auto"/>
        <w:bottom w:val="none" w:sz="0" w:space="0" w:color="auto"/>
        <w:right w:val="none" w:sz="0" w:space="0" w:color="auto"/>
      </w:divBdr>
    </w:div>
    <w:div w:id="1815878385">
      <w:bodyDiv w:val="1"/>
      <w:marLeft w:val="0"/>
      <w:marRight w:val="0"/>
      <w:marTop w:val="0"/>
      <w:marBottom w:val="0"/>
      <w:divBdr>
        <w:top w:val="none" w:sz="0" w:space="0" w:color="auto"/>
        <w:left w:val="none" w:sz="0" w:space="0" w:color="auto"/>
        <w:bottom w:val="none" w:sz="0" w:space="0" w:color="auto"/>
        <w:right w:val="none" w:sz="0" w:space="0" w:color="auto"/>
      </w:divBdr>
    </w:div>
    <w:div w:id="209519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13</cp:revision>
  <dcterms:created xsi:type="dcterms:W3CDTF">2025-05-04T05:28:00Z</dcterms:created>
  <dcterms:modified xsi:type="dcterms:W3CDTF">2025-05-04T05:43:00Z</dcterms:modified>
</cp:coreProperties>
</file>