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D6DE09B" w14:textId="57DD70E2" w:rsidR="28C1B626" w:rsidRDefault="28C1B626" w:rsidP="28C1B626">
      <w:pPr>
        <w:spacing w:line="480" w:lineRule="auto"/>
        <w:rPr>
          <w:rFonts w:ascii="Times New Roman" w:eastAsia="Times New Roman" w:hAnsi="Times New Roman" w:cs="Times New Roman"/>
        </w:rPr>
      </w:pPr>
    </w:p>
    <w:p w14:paraId="7BBD2FD8" w14:textId="5BE1068A" w:rsidR="3C49F491" w:rsidRDefault="6B591443"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Equity Return Forecasting on Tail</w:t>
      </w:r>
      <w:r w:rsidR="734E68BF"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Risk</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Aware Portfolio Optimization on the Nigerian Exchange Group (NGX)</w:t>
      </w:r>
    </w:p>
    <w:p w14:paraId="6C0D4015" w14:textId="4FA17AF8"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BY</w:t>
      </w:r>
    </w:p>
    <w:p w14:paraId="50555D0E" w14:textId="30869131"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SANNI ABDUL</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AMEEN OLUWADARASIMI</w:t>
      </w:r>
    </w:p>
    <w:p w14:paraId="32CDFF16" w14:textId="538D90EA"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ECN/2021/158</w:t>
      </w:r>
    </w:p>
    <w:p w14:paraId="1ABCD030" w14:textId="385567A3" w:rsidR="28C1B626" w:rsidRDefault="28C1B626" w:rsidP="47575B0A">
      <w:pPr>
        <w:spacing w:after="200" w:line="480" w:lineRule="auto"/>
        <w:rPr>
          <w:rFonts w:ascii="Times New Roman" w:eastAsia="Times New Roman" w:hAnsi="Times New Roman" w:cs="Times New Roman"/>
          <w:b/>
          <w:bCs/>
          <w:color w:val="000000" w:themeColor="text1"/>
        </w:rPr>
      </w:pPr>
    </w:p>
    <w:p w14:paraId="6150B642" w14:textId="1A6340F0" w:rsidR="28C1B626" w:rsidRDefault="28C1B626" w:rsidP="47575B0A">
      <w:pPr>
        <w:spacing w:after="200" w:line="480" w:lineRule="auto"/>
        <w:rPr>
          <w:rFonts w:ascii="Times New Roman" w:eastAsia="Times New Roman" w:hAnsi="Times New Roman" w:cs="Times New Roman"/>
          <w:b/>
          <w:bCs/>
          <w:color w:val="000000" w:themeColor="text1"/>
        </w:rPr>
      </w:pPr>
    </w:p>
    <w:p w14:paraId="120A09B0" w14:textId="7B445B5B" w:rsidR="28C1B626" w:rsidRDefault="28C1B626" w:rsidP="47575B0A">
      <w:pPr>
        <w:spacing w:after="200" w:line="480" w:lineRule="auto"/>
        <w:rPr>
          <w:rFonts w:ascii="Times New Roman" w:eastAsia="Times New Roman" w:hAnsi="Times New Roman" w:cs="Times New Roman"/>
          <w:b/>
          <w:bCs/>
          <w:color w:val="000000" w:themeColor="text1"/>
        </w:rPr>
      </w:pPr>
    </w:p>
    <w:p w14:paraId="373E3A3D" w14:textId="18A58DBB" w:rsidR="28C1B626" w:rsidRDefault="28C1B626" w:rsidP="47575B0A">
      <w:pPr>
        <w:spacing w:after="200" w:line="480" w:lineRule="auto"/>
        <w:rPr>
          <w:rFonts w:ascii="Times New Roman" w:eastAsia="Times New Roman" w:hAnsi="Times New Roman" w:cs="Times New Roman"/>
          <w:b/>
          <w:bCs/>
          <w:color w:val="000000" w:themeColor="text1"/>
        </w:rPr>
      </w:pPr>
    </w:p>
    <w:p w14:paraId="59CC243D" w14:textId="157E9069" w:rsidR="28C1B626" w:rsidRDefault="28C1B626" w:rsidP="47575B0A">
      <w:pPr>
        <w:spacing w:after="200" w:line="480" w:lineRule="auto"/>
        <w:rPr>
          <w:rFonts w:ascii="Times New Roman" w:eastAsia="Times New Roman" w:hAnsi="Times New Roman" w:cs="Times New Roman"/>
          <w:b/>
          <w:bCs/>
          <w:color w:val="000000" w:themeColor="text1"/>
        </w:rPr>
      </w:pPr>
    </w:p>
    <w:p w14:paraId="37CD8943" w14:textId="6B91A556" w:rsidR="28C1B626" w:rsidRDefault="28C1B626" w:rsidP="47575B0A">
      <w:pPr>
        <w:spacing w:after="200" w:line="480" w:lineRule="auto"/>
        <w:rPr>
          <w:rFonts w:ascii="Times New Roman" w:eastAsia="Times New Roman" w:hAnsi="Times New Roman" w:cs="Times New Roman"/>
          <w:b/>
          <w:bCs/>
          <w:color w:val="000000" w:themeColor="text1"/>
        </w:rPr>
      </w:pPr>
    </w:p>
    <w:p w14:paraId="7A1F5F2E" w14:textId="2D851C8B" w:rsidR="28C1B626" w:rsidRDefault="28C1B626" w:rsidP="47575B0A">
      <w:pPr>
        <w:spacing w:after="200" w:line="480" w:lineRule="auto"/>
        <w:rPr>
          <w:rFonts w:ascii="Times New Roman" w:eastAsia="Times New Roman" w:hAnsi="Times New Roman" w:cs="Times New Roman"/>
          <w:b/>
          <w:bCs/>
          <w:color w:val="000000" w:themeColor="text1"/>
        </w:rPr>
      </w:pPr>
    </w:p>
    <w:p w14:paraId="2505F970" w14:textId="2F852488" w:rsidR="28C1B626" w:rsidRDefault="28C1B626" w:rsidP="47575B0A">
      <w:pPr>
        <w:spacing w:after="200" w:line="480" w:lineRule="auto"/>
        <w:rPr>
          <w:rFonts w:ascii="Times New Roman" w:eastAsia="Times New Roman" w:hAnsi="Times New Roman" w:cs="Times New Roman"/>
          <w:b/>
          <w:bCs/>
          <w:color w:val="000000" w:themeColor="text1"/>
        </w:rPr>
      </w:pPr>
    </w:p>
    <w:p w14:paraId="1C136752" w14:textId="13F5372A" w:rsidR="28C1B626" w:rsidRDefault="28C1B626" w:rsidP="47575B0A">
      <w:pPr>
        <w:spacing w:after="200" w:line="480" w:lineRule="auto"/>
        <w:rPr>
          <w:rFonts w:ascii="Times New Roman" w:eastAsia="Times New Roman" w:hAnsi="Times New Roman" w:cs="Times New Roman"/>
          <w:b/>
          <w:bCs/>
          <w:color w:val="000000" w:themeColor="text1"/>
        </w:rPr>
      </w:pPr>
    </w:p>
    <w:p w14:paraId="02E0A667" w14:textId="3BFBA279" w:rsidR="28C1B626" w:rsidRDefault="28C1B626" w:rsidP="47575B0A">
      <w:pPr>
        <w:spacing w:after="200" w:line="480" w:lineRule="auto"/>
        <w:rPr>
          <w:rFonts w:ascii="Times New Roman" w:eastAsia="Times New Roman" w:hAnsi="Times New Roman" w:cs="Times New Roman"/>
          <w:b/>
          <w:bCs/>
          <w:color w:val="000000" w:themeColor="text1"/>
        </w:rPr>
      </w:pPr>
    </w:p>
    <w:p w14:paraId="5B130E3F" w14:textId="03C1839F" w:rsidR="28C1B626" w:rsidRDefault="28C1B626" w:rsidP="47575B0A">
      <w:pPr>
        <w:spacing w:after="200" w:line="480" w:lineRule="auto"/>
        <w:rPr>
          <w:rFonts w:ascii="Times New Roman" w:eastAsia="Times New Roman" w:hAnsi="Times New Roman" w:cs="Times New Roman"/>
          <w:b/>
          <w:bCs/>
          <w:color w:val="000000" w:themeColor="text1"/>
        </w:rPr>
      </w:pPr>
    </w:p>
    <w:p w14:paraId="42F8C932" w14:textId="055829A5"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Chapter 1</w:t>
      </w:r>
    </w:p>
    <w:p w14:paraId="008E774A" w14:textId="0839BF33"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1.1 Background to the Study</w:t>
      </w:r>
    </w:p>
    <w:p w14:paraId="2F5120AA" w14:textId="5169E72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Pr>
          <w:rFonts w:ascii="Times New Roman" w:eastAsia="Times New Roman" w:hAnsi="Times New Roman" w:cs="Times New Roman"/>
          <w:color w:val="000000" w:themeColor="text1"/>
        </w:rPr>
        <w:t>(</w:t>
      </w:r>
      <w:proofErr w:type="spellStart"/>
      <w:r w:rsidR="00600686">
        <w:rPr>
          <w:rFonts w:ascii="Times New Roman" w:eastAsia="Times New Roman" w:hAnsi="Times New Roman" w:cs="Times New Roman"/>
          <w:color w:val="000000" w:themeColor="text1"/>
        </w:rPr>
        <w:t>Sulaiman</w:t>
      </w:r>
      <w:proofErr w:type="spellEnd"/>
      <w:r w:rsidR="00600686">
        <w:rPr>
          <w:rFonts w:ascii="Times New Roman" w:eastAsia="Times New Roman" w:hAnsi="Times New Roman" w:cs="Times New Roman"/>
          <w:color w:val="000000" w:themeColor="text1"/>
        </w:rPr>
        <w:t>, 2023</w:t>
      </w:r>
      <w:r w:rsidRPr="47575B0A">
        <w:rPr>
          <w:rFonts w:ascii="Times New Roman" w:eastAsia="Times New Roman" w:hAnsi="Times New Roman" w:cs="Times New Roman"/>
          <w:color w:val="000000" w:themeColor="text1"/>
        </w:rPr>
        <w:t xml:space="preserve">). The stock market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47575B0A">
        <w:rPr>
          <w:rFonts w:ascii="Times New Roman" w:eastAsia="Times New Roman" w:hAnsi="Times New Roman" w:cs="Times New Roman"/>
          <w:color w:val="000000" w:themeColor="text1"/>
        </w:rPr>
        <w:t>Mahadevaswamy</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Shyamala</w:t>
      </w:r>
      <w:proofErr w:type="spellEnd"/>
      <w:r w:rsidRPr="47575B0A">
        <w:rPr>
          <w:rFonts w:ascii="Times New Roman" w:eastAsia="Times New Roman" w:hAnsi="Times New Roman" w:cs="Times New Roman"/>
          <w:color w:val="000000" w:themeColor="text1"/>
        </w:rPr>
        <w:t>, 2022), based on their level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aversion when they invest in securities. They share the same goals of diversifying all diversifiable risks and achieving the best possible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ratio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connotes the importance of diversification as a major means of sustainable capital appreciation.</w:t>
      </w:r>
    </w:p>
    <w:p w14:paraId="072AABFD" w14:textId="6E60ACF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Diversification is not an automatic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reduction mechanism as its effectiveness depends on the co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how to optimally allocate resources. For example, </w:t>
      </w:r>
      <w:r w:rsidR="4652B728" w:rsidRPr="47575B0A">
        <w:rPr>
          <w:rFonts w:ascii="Times New Roman" w:eastAsia="Times New Roman" w:hAnsi="Times New Roman" w:cs="Times New Roman"/>
          <w:color w:val="000000" w:themeColor="text1"/>
        </w:rPr>
        <w:t>international</w:t>
      </w:r>
      <w:r w:rsidRPr="47575B0A">
        <w:rPr>
          <w:rFonts w:ascii="Times New Roman" w:eastAsia="Times New Roman" w:hAnsi="Times New Roman" w:cs="Times New Roman"/>
          <w:color w:val="000000" w:themeColor="text1"/>
        </w:rPr>
        <w:t xml:space="preserve"> equity diversification was historically more reliable for U.S. investors prior to 2009, however, the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crisis period favored diversification through a portfolio of stocks and bonds involving equities, commodities, and government securities. As the correlation among markets increases </w:t>
      </w:r>
      <w:proofErr w:type="gramStart"/>
      <w:r w:rsidRPr="47575B0A">
        <w:rPr>
          <w:rFonts w:ascii="Times New Roman" w:eastAsia="Times New Roman" w:hAnsi="Times New Roman" w:cs="Times New Roman"/>
          <w:color w:val="000000" w:themeColor="text1"/>
        </w:rPr>
        <w:t>over  time</w:t>
      </w:r>
      <w:proofErr w:type="gramEnd"/>
      <w:r w:rsidRPr="47575B0A">
        <w:rPr>
          <w:rFonts w:ascii="Times New Roman" w:eastAsia="Times New Roman" w:hAnsi="Times New Roman" w:cs="Times New Roman"/>
          <w:color w:val="000000" w:themeColor="text1"/>
        </w:rPr>
        <w:t xml:space="preserve">, international portfolio diversification remains if investors continuously </w:t>
      </w:r>
      <w:r w:rsidRPr="47575B0A">
        <w:rPr>
          <w:rFonts w:ascii="Times New Roman" w:eastAsia="Times New Roman" w:hAnsi="Times New Roman" w:cs="Times New Roman"/>
          <w:color w:val="000000" w:themeColor="text1"/>
        </w:rPr>
        <w:lastRenderedPageBreak/>
        <w:t xml:space="preserve">measure correlation among these markets so as to create an optimal market combination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w:t>
      </w:r>
    </w:p>
    <w:p w14:paraId="56356AEA" w14:textId="63B8648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To deal with the problems that come with diversification, portfolio management has become a step</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markets keep evolving, portfolio management is essential for long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growth </w:t>
      </w:r>
      <w:r w:rsidR="79E2A240"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maximize returns (Yadav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The main goal of portfolio construction is to </w:t>
      </w:r>
      <w:r w:rsidR="28879BD1" w:rsidRPr="47575B0A">
        <w:rPr>
          <w:rFonts w:ascii="Times New Roman" w:eastAsia="Times New Roman" w:hAnsi="Times New Roman" w:cs="Times New Roman"/>
          <w:color w:val="000000" w:themeColor="text1"/>
        </w:rPr>
        <w:t>diversify</w:t>
      </w:r>
      <w:r w:rsidRPr="47575B0A">
        <w:rPr>
          <w:rFonts w:ascii="Times New Roman" w:eastAsia="Times New Roman" w:hAnsi="Times New Roman" w:cs="Times New Roman"/>
          <w:color w:val="000000" w:themeColor="text1"/>
        </w:rPr>
        <w:t xml:space="preserve"> unsystematic risk through a two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allocation plan. Firstly, investors balance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by splitting funds between the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free assets and the risky assets. After the division, diversification is realized by combining assets with low correlation thereby improving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w:t>
      </w:r>
    </w:p>
    <w:p w14:paraId="504CECFE" w14:textId="3690B62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w:t>
      </w:r>
      <w:r w:rsidR="6FE3A5EF" w:rsidRPr="47575B0A">
        <w:rPr>
          <w:rFonts w:ascii="Times New Roman" w:eastAsia="Times New Roman" w:hAnsi="Times New Roman" w:cs="Times New Roman"/>
          <w:color w:val="000000" w:themeColor="text1"/>
        </w:rPr>
        <w:t>optimization</w:t>
      </w:r>
      <w:r w:rsidRPr="47575B0A">
        <w:rPr>
          <w:rFonts w:ascii="Times New Roman" w:eastAsia="Times New Roman" w:hAnsi="Times New Roman" w:cs="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their returns on every unit of risk they take. Thus, the portfolio optimization process helps in guiding investors through the uncertainty, </w:t>
      </w:r>
      <w:r w:rsidR="20989F74" w:rsidRPr="47575B0A">
        <w:rPr>
          <w:rFonts w:ascii="Times New Roman" w:eastAsia="Times New Roman" w:hAnsi="Times New Roman" w:cs="Times New Roman"/>
          <w:color w:val="000000" w:themeColor="text1"/>
        </w:rPr>
        <w:t>volatility,</w:t>
      </w:r>
      <w:r w:rsidRPr="47575B0A">
        <w:rPr>
          <w:rFonts w:ascii="Times New Roman" w:eastAsia="Times New Roman" w:hAnsi="Times New Roman" w:cs="Times New Roman"/>
          <w:color w:val="000000" w:themeColor="text1"/>
        </w:rPr>
        <w:t xml:space="preserve"> and unpredictability of financial markets, and assists in meeting their unique financial goals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The market downturns that have occurred, including the global financial crisis of 2008 (Global Financial Crisis), were evidence of the inadequacy of traditional diversification methods. Consequently, there has been a greater demand for and usage of models that allow for a more sophisticated analysis of correlated risk (</w:t>
      </w:r>
      <w:proofErr w:type="spellStart"/>
      <w:r w:rsidRPr="47575B0A">
        <w:rPr>
          <w:rFonts w:ascii="Times New Roman" w:eastAsia="Times New Roman" w:hAnsi="Times New Roman" w:cs="Times New Roman"/>
          <w:color w:val="000000" w:themeColor="text1"/>
        </w:rPr>
        <w:t>Senescall</w:t>
      </w:r>
      <w:proofErr w:type="spellEnd"/>
      <w:r w:rsidRPr="47575B0A">
        <w:rPr>
          <w:rFonts w:ascii="Times New Roman" w:eastAsia="Times New Roman" w:hAnsi="Times New Roman" w:cs="Times New Roman"/>
          <w:color w:val="000000" w:themeColor="text1"/>
        </w:rPr>
        <w:t xml:space="preserve"> &amp; Low, 2024). Optimization models provide a structure for an investor's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and integrate multiple </w:t>
      </w:r>
      <w:r w:rsidRPr="47575B0A">
        <w:rPr>
          <w:rFonts w:ascii="Times New Roman" w:eastAsia="Times New Roman" w:hAnsi="Times New Roman" w:cs="Times New Roman"/>
          <w:color w:val="000000" w:themeColor="text1"/>
        </w:rPr>
        <w:lastRenderedPageBreak/>
        <w:t>dimensions of risk, including credit, market and liquidity risk, into a single process of making investment decisions rather than relying on traditional methods of diversification (</w:t>
      </w:r>
      <w:proofErr w:type="spellStart"/>
      <w:r w:rsidRPr="47575B0A">
        <w:rPr>
          <w:rFonts w:ascii="Times New Roman" w:eastAsia="Times New Roman" w:hAnsi="Times New Roman" w:cs="Times New Roman"/>
          <w:color w:val="000000" w:themeColor="text1"/>
        </w:rPr>
        <w:t>Tjiwidjaja</w:t>
      </w:r>
      <w:proofErr w:type="spellEnd"/>
      <w:r w:rsidRPr="47575B0A">
        <w:rPr>
          <w:rFonts w:ascii="Times New Roman" w:eastAsia="Times New Roman" w:hAnsi="Times New Roman" w:cs="Times New Roman"/>
          <w:color w:val="000000" w:themeColor="text1"/>
        </w:rPr>
        <w:t>, 2025).</w:t>
      </w:r>
    </w:p>
    <w:p w14:paraId="67C928FE" w14:textId="78898EA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introduced by Harry </w:t>
      </w:r>
      <w:r w:rsidR="046D6FE9" w:rsidRPr="47575B0A">
        <w:rPr>
          <w:rFonts w:ascii="Times New Roman" w:eastAsia="Times New Roman" w:hAnsi="Times New Roman" w:cs="Times New Roman"/>
          <w:color w:val="000000" w:themeColor="text1"/>
        </w:rPr>
        <w:t>Markowitz (</w:t>
      </w:r>
      <w:r w:rsidRPr="47575B0A">
        <w:rPr>
          <w:rFonts w:ascii="Times New Roman" w:eastAsia="Times New Roman" w:hAnsi="Times New Roman" w:cs="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His foundational contributions laid the foundations for the modern portfolio theory (</w:t>
      </w:r>
      <w:proofErr w:type="spellStart"/>
      <w:r w:rsidRPr="47575B0A">
        <w:rPr>
          <w:rFonts w:ascii="Times New Roman" w:eastAsia="Times New Roman" w:hAnsi="Times New Roman" w:cs="Times New Roman"/>
          <w:color w:val="000000" w:themeColor="text1"/>
        </w:rPr>
        <w:t>Mba</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2022). By introducing mathematical optimization techniques, the asset allocation problem was formalized into an optimization framework based on the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expectations, investors' decisions based solely on expected returns and variances, exhibiting rational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14:paraId="48C37B8C" w14:textId="1BB0959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Markowitz’s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This is because of variance which measures deviation from mean and this can result in huge losses for investors during extreme events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especially in emerging markets which are </w:t>
      </w:r>
      <w:r w:rsidRPr="47575B0A">
        <w:rPr>
          <w:rFonts w:ascii="Times New Roman" w:eastAsia="Times New Roman" w:hAnsi="Times New Roman" w:cs="Times New Roman"/>
          <w:color w:val="000000" w:themeColor="text1"/>
        </w:rPr>
        <w:lastRenderedPageBreak/>
        <w:t>marked by high volatility, low liquidity and asymmetric information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w:t>
      </w:r>
      <w:r w:rsidRPr="47575B0A">
        <w:rPr>
          <w:rFonts w:ascii="Times New Roman" w:eastAsia="Times New Roman" w:hAnsi="Times New Roman" w:cs="Times New Roman"/>
          <w:i/>
          <w:iCs/>
          <w:color w:val="000000" w:themeColor="text1"/>
        </w:rPr>
        <w:t>)</w:t>
      </w:r>
      <w:r w:rsidRPr="47575B0A">
        <w:rPr>
          <w:rFonts w:ascii="Times New Roman" w:eastAsia="Times New Roman" w:hAnsi="Times New Roman" w:cs="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shows that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doesn't truly perceive the </w:t>
      </w:r>
      <w:r w:rsidR="23513D7A"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perception of risk.</w:t>
      </w:r>
    </w:p>
    <w:p w14:paraId="4F8DF4E1" w14:textId="4B78CBB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Due to the limitations of the mean and variance approach, other risk measures like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emerged.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was particularly introduced since it focuses on assessing the risk based on the highest potential loss that can occur within a specific Confidence Interval (Wang et al., 2024).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w:t>
      </w:r>
    </w:p>
    <w:p w14:paraId="577E1F59" w14:textId="586EDA7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quickly gained acceptance as the standard approach for modeling market risk for several years because of its simplicity. Yet,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challenges that investors should be aware of. Findings from various studies have shown that during the occurrence of pandemics,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were not accurate at all as far as investors were concerned, even during crises, as noted by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(2022). Moreover,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not only give data concerning potential losses at a certain confidence level, but neglect losses of greater magnitude, as pointed out by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Moreover, it is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additive, meaning the sum of individual asset </w:t>
      </w:r>
      <w:proofErr w:type="spellStart"/>
      <w:r w:rsidRPr="47575B0A">
        <w:rPr>
          <w:rFonts w:ascii="Times New Roman" w:eastAsia="Times New Roman" w:hAnsi="Times New Roman" w:cs="Times New Roman"/>
          <w:color w:val="000000" w:themeColor="text1"/>
        </w:rPr>
        <w:t>VaRs</w:t>
      </w:r>
      <w:proofErr w:type="spellEnd"/>
      <w:r w:rsidRPr="47575B0A">
        <w:rPr>
          <w:rFonts w:ascii="Times New Roman" w:eastAsia="Times New Roman" w:hAnsi="Times New Roman" w:cs="Times New Roman"/>
          <w:color w:val="000000" w:themeColor="text1"/>
        </w:rPr>
        <w:t xml:space="preserve"> can underestimate total portfolio risk.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All of these </w:t>
      </w:r>
      <w:r w:rsidR="38A31958" w:rsidRPr="47575B0A">
        <w:rPr>
          <w:rFonts w:ascii="Times New Roman" w:eastAsia="Times New Roman" w:hAnsi="Times New Roman" w:cs="Times New Roman"/>
          <w:color w:val="000000" w:themeColor="text1"/>
        </w:rPr>
        <w:t>highlight</w:t>
      </w:r>
      <w:r w:rsidRPr="47575B0A">
        <w:rPr>
          <w:rFonts w:ascii="Times New Roman" w:eastAsia="Times New Roman" w:hAnsi="Times New Roman" w:cs="Times New Roman"/>
          <w:color w:val="000000" w:themeColor="text1"/>
        </w:rPr>
        <w:t xml:space="preserve"> the need for a risk measure to show severity of extreme losses thereby showing the need for a technique that goes beyond the traditional measures thereby aiding investors in the construction of a more robust portfolio (Fan, 2020).</w:t>
      </w:r>
    </w:p>
    <w:p w14:paraId="6B08B94E" w14:textId="0AE43C8A"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Consequently, portfolio optimization models based solely on historical data can misrepresent future risk, indicating the need for methods that incorporate predictive approaches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Empirical studies highlight the limitations of using historical data for predictive models such as unreliability during economic uncertainty or financial crises,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changing market conditions, over fitting and bias of data mining (Zhang, 2025), ineffective capturing of nonlinear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varying dynamics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Historical models have also been observed to do not sufficiently account for volatility features in emerging markets due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forecasting (</w:t>
      </w:r>
      <w:proofErr w:type="spellStart"/>
      <w:r w:rsidRPr="47575B0A">
        <w:rPr>
          <w:rFonts w:ascii="Times New Roman" w:eastAsia="Times New Roman" w:hAnsi="Times New Roman" w:cs="Times New Roman"/>
          <w:color w:val="000000" w:themeColor="text1"/>
        </w:rPr>
        <w:t>Sahiner</w:t>
      </w:r>
      <w:proofErr w:type="spellEnd"/>
      <w:r w:rsidRPr="47575B0A">
        <w:rPr>
          <w:rFonts w:ascii="Times New Roman" w:eastAsia="Times New Roman" w:hAnsi="Times New Roman" w:cs="Times New Roman"/>
          <w:color w:val="000000" w:themeColor="text1"/>
        </w:rPr>
        <w:t xml:space="preserve">, 2022;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2025).These limitations highlight the increasing difficulty of accurately forecasting risk and return in unstable and emerging markets, raising important questions about how future portfolio outcomes can be reliably anticipated.</w:t>
      </w:r>
    </w:p>
    <w:p w14:paraId="2E29AB3F" w14:textId="54E9E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Emerging markets assets returns and risk forecasts face distinct challenging conditions. Volatility in emerging market stocks is high, making it challenging to rely on conventional forecasting models (</w:t>
      </w:r>
      <w:proofErr w:type="spellStart"/>
      <w:r w:rsidRPr="47575B0A">
        <w:rPr>
          <w:rFonts w:ascii="Times New Roman" w:eastAsia="Times New Roman" w:hAnsi="Times New Roman" w:cs="Times New Roman"/>
          <w:color w:val="000000" w:themeColor="text1"/>
        </w:rPr>
        <w:t>Alfeus</w:t>
      </w:r>
      <w:proofErr w:type="spellEnd"/>
      <w:r w:rsidRPr="47575B0A">
        <w:rPr>
          <w:rFonts w:ascii="Times New Roman" w:eastAsia="Times New Roman" w:hAnsi="Times New Roman" w:cs="Times New Roman"/>
          <w:color w:val="000000" w:themeColor="text1"/>
        </w:rPr>
        <w:t xml:space="preserve"> et al., 2024). Conventional forecasting models cannot fit financial time series data because of the stability criteria used in the conventional model, as the financial time series data is prone to stability criteria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problems because of randomness and randomness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ingredients of the financial time series data, thereby emphasizing the demand for increased precision forecasting models like Machine Learning Models, which have attracted considerable attention and used elaborately in stock market predictions and forecasting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Various empirical research works indicate the efficiency and applicability of ML Models in understanding the complex patterns and dynamics present in financial time series data, leading to increased precision and profits in stock market investments (Fan, </w:t>
      </w:r>
      <w:r w:rsidR="7515CDAC" w:rsidRPr="47575B0A">
        <w:rPr>
          <w:rFonts w:ascii="Times New Roman" w:eastAsia="Times New Roman" w:hAnsi="Times New Roman" w:cs="Times New Roman"/>
          <w:color w:val="000000" w:themeColor="text1"/>
        </w:rPr>
        <w:t xml:space="preserve">2020; </w:t>
      </w:r>
      <w:proofErr w:type="spellStart"/>
      <w:r w:rsidR="7515CDAC"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w:t>
      </w:r>
      <w:r w:rsidR="1A77D2E2" w:rsidRPr="47575B0A">
        <w:rPr>
          <w:rFonts w:ascii="Times New Roman" w:eastAsia="Times New Roman" w:hAnsi="Times New Roman" w:cs="Times New Roman"/>
          <w:color w:val="000000" w:themeColor="text1"/>
        </w:rPr>
        <w:t>2025; Kevin</w:t>
      </w:r>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Hence, forecasting models not only assist in estimating predictable </w:t>
      </w:r>
      <w:r w:rsidRPr="47575B0A">
        <w:rPr>
          <w:rFonts w:ascii="Times New Roman" w:eastAsia="Times New Roman" w:hAnsi="Times New Roman" w:cs="Times New Roman"/>
          <w:color w:val="000000" w:themeColor="text1"/>
        </w:rPr>
        <w:lastRenderedPageBreak/>
        <w:t>risks and rewards but are also helpful in understanding the importance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techniques.</w:t>
      </w:r>
    </w:p>
    <w:p w14:paraId="0375FC4B" w14:textId="0E0AD2C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Moreover, due to the various benefits in using predictive models, the forecasts can be plugged into optimization techniques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 largely untapped potential to improve outcomes (Zhang, 2024). Machine learning models improve the quality of inputs estimates which helps investors in making better portfolio decisions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2024). In emerging markets marked by volatility, structural deficiencies and noisy data, ML models have been applied to stock prices forecasting, predicting market crashes, and capturing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relationships in financial time series data (</w:t>
      </w:r>
      <w:proofErr w:type="spellStart"/>
      <w:r w:rsidRPr="47575B0A">
        <w:rPr>
          <w:rFonts w:ascii="Times New Roman" w:eastAsia="Times New Roman" w:hAnsi="Times New Roman" w:cs="Times New Roman"/>
          <w:color w:val="000000" w:themeColor="text1"/>
        </w:rPr>
        <w:t>Naeem</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Integrating these forecasts into portfolio optimization frameworks can improve allocation decisions and better minimize portfolio risk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0CD273C8" w14:textId="6F99F3B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models are inefficient as they are unable to determine the extent or value of tail losses and demonstrate unsteady forecasts using actual historic data for volatile and developing markets (Job, 2022; Wang et al.,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The above factors illustrate and exemplify gaps and needs for improved portfolio optimization tools with accurate and consistent results and recommendations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intersection and fusion between predictive models such as machine learning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models for portfolio optimization, recommend and express a positive potential for improvement within portfolio and risk management decisions in volatile </w:t>
      </w:r>
      <w:r w:rsidRPr="47575B0A">
        <w:rPr>
          <w:rFonts w:ascii="Times New Roman" w:eastAsia="Times New Roman" w:hAnsi="Times New Roman" w:cs="Times New Roman"/>
          <w:color w:val="000000" w:themeColor="text1"/>
        </w:rPr>
        <w:lastRenderedPageBreak/>
        <w:t>markets and developing markets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Kevin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and accordingly underlay and serve as background for this research work and project. </w:t>
      </w:r>
    </w:p>
    <w:p w14:paraId="7567B385" w14:textId="643B9CC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1.2 Statement of the Research Problem</w:t>
      </w:r>
    </w:p>
    <w:p w14:paraId="0DC0875D" w14:textId="55B2DF86"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Portfolio optimization is a core mechanism in the markets for balancing risk and return. The popularity arose due to the increased size of the world economy providing investors with an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increasing variety of investment opportunities (</w:t>
      </w:r>
      <w:proofErr w:type="spellStart"/>
      <w:r w:rsidRPr="47575B0A">
        <w:rPr>
          <w:rFonts w:ascii="Times New Roman" w:eastAsia="Times New Roman" w:hAnsi="Times New Roman" w:cs="Times New Roman"/>
          <w:color w:val="000000" w:themeColor="text1"/>
        </w:rPr>
        <w:t>Lii</w:t>
      </w:r>
      <w:proofErr w:type="spellEnd"/>
      <w:r w:rsidRPr="47575B0A">
        <w:rPr>
          <w:rFonts w:ascii="Times New Roman" w:eastAsia="Times New Roman" w:hAnsi="Times New Roman" w:cs="Times New Roman"/>
          <w:color w:val="000000" w:themeColor="text1"/>
        </w:rPr>
        <w:t xml:space="preserve">, 2023). This is seen on Nigerian Exchange Group (NGX)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one of Africa's leading financial </w:t>
      </w:r>
      <w:r w:rsidR="62DFBB47" w:rsidRPr="47575B0A">
        <w:rPr>
          <w:rFonts w:ascii="Times New Roman" w:eastAsia="Times New Roman" w:hAnsi="Times New Roman" w:cs="Times New Roman"/>
          <w:color w:val="000000" w:themeColor="text1"/>
        </w:rPr>
        <w:t>hubs</w:t>
      </w:r>
      <w:r w:rsidRPr="47575B0A">
        <w:rPr>
          <w:rFonts w:ascii="Times New Roman" w:eastAsia="Times New Roman" w:hAnsi="Times New Roman" w:cs="Times New Roman"/>
          <w:color w:val="000000" w:themeColor="text1"/>
        </w:rPr>
        <w:t xml:space="preserve">, where the number of securities listed has increased from 19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at inception in 1961 to 393 listed securities among which 151 were listed companies as at September 2024 (NGX website). Portfolio optimization research remained a significant concern for researchers for efficient allocation of capital, which entails the allocation of capital based on market fluctuations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et al., 2024). The nature of financial markets, which entails market volatility, vagueness, and market shifts</w:t>
      </w:r>
      <w:r w:rsidR="33AA88AC"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hampers the predictability of market fluctuations, as seen on the NGX.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Nevertheless, in efforts to provide a suitable approach, there is a recent emphasis on the integration of predictive models in analytics for a better approach for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analysis, and market shifts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et al., 2025). Whether the current approach in portfolio optimization can provide a suitable approach for market risk remains a concern.</w:t>
      </w:r>
    </w:p>
    <w:p w14:paraId="47D83BB5" w14:textId="62CDBD9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is done by allocating capital across multiple assets, balancing correlations and individual assets risk </w:t>
      </w:r>
      <w:r w:rsidR="7D460ACF"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an efficient portfolio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combining uncorrelated assets, investors could diversify away all unsystematic risk potentially </w:t>
      </w:r>
      <w:r w:rsidRPr="47575B0A">
        <w:rPr>
          <w:rFonts w:ascii="Times New Roman" w:eastAsia="Times New Roman" w:hAnsi="Times New Roman" w:cs="Times New Roman"/>
          <w:color w:val="000000" w:themeColor="text1"/>
        </w:rPr>
        <w:lastRenderedPageBreak/>
        <w:t>improving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However, </w:t>
      </w:r>
      <w:proofErr w:type="spellStart"/>
      <w:r w:rsidRPr="47575B0A">
        <w:rPr>
          <w:rFonts w:ascii="Times New Roman" w:eastAsia="Times New Roman" w:hAnsi="Times New Roman" w:cs="Times New Roman"/>
          <w:color w:val="000000" w:themeColor="text1"/>
        </w:rPr>
        <w:t>misestimation</w:t>
      </w:r>
      <w:proofErr w:type="spellEnd"/>
      <w:r w:rsidRPr="47575B0A">
        <w:rPr>
          <w:rFonts w:ascii="Times New Roman" w:eastAsia="Times New Roman" w:hAnsi="Times New Roman" w:cs="Times New Roman"/>
          <w:color w:val="000000" w:themeColor="text1"/>
        </w:rPr>
        <w:t xml:space="preserve"> of these inputs can distort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return profile and investment outcomes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 This suggests that these advantages critically depend on how risk and returns are measured and anticipated.</w:t>
      </w:r>
    </w:p>
    <w:p w14:paraId="545AB6D5" w14:textId="3CFEC03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in periods of crises, extreme events and recessions such as </w:t>
      </w:r>
      <w:r w:rsidR="62B284CC" w:rsidRPr="47575B0A">
        <w:rPr>
          <w:rFonts w:ascii="Times New Roman" w:eastAsia="Times New Roman" w:hAnsi="Times New Roman" w:cs="Times New Roman"/>
          <w:color w:val="000000" w:themeColor="text1"/>
        </w:rPr>
        <w:t>the 2020</w:t>
      </w:r>
      <w:r w:rsidRPr="47575B0A">
        <w:rPr>
          <w:rFonts w:ascii="Times New Roman" w:eastAsia="Times New Roman" w:hAnsi="Times New Roman" w:cs="Times New Roman"/>
          <w:color w:val="000000" w:themeColor="text1"/>
        </w:rPr>
        <w:t xml:space="preserv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19 pandemic, 2008 financial crisis, the classical optimization models proved to be inefficient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2023). Empirical studies also show that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2009 diversification delivers less benefits as correlations among assets rise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Traditional measures underestimate extreme losses such as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has been criticized not to show the magnitude of extreme losses and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additive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In emerging markets, these issues are amplified due to structural issues, </w:t>
      </w:r>
      <w:r w:rsidR="2A433FA1" w:rsidRPr="47575B0A">
        <w:rPr>
          <w:rFonts w:ascii="Times New Roman" w:eastAsia="Times New Roman" w:hAnsi="Times New Roman" w:cs="Times New Roman"/>
          <w:color w:val="000000" w:themeColor="text1"/>
        </w:rPr>
        <w:t>illiquidity,</w:t>
      </w:r>
      <w:r w:rsidRPr="47575B0A">
        <w:rPr>
          <w:rFonts w:ascii="Times New Roman" w:eastAsia="Times New Roman" w:hAnsi="Times New Roman" w:cs="Times New Roman"/>
          <w:color w:val="000000" w:themeColor="text1"/>
        </w:rPr>
        <w:t xml:space="preserve"> and fat tail distributions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Nevertheless, the persistence of these challenges has driven research into alternative risk measures and adaptive optimization methods (Lorimer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Recent research has attempted to address these issues through alternative risk measures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series forecasting models such as Expected Shortfall (ES),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While these studies and recent research are informative, the issues don't stem from the optimization models </w:t>
      </w:r>
      <w:r w:rsidR="52C99048" w:rsidRPr="47575B0A">
        <w:rPr>
          <w:rFonts w:ascii="Times New Roman" w:eastAsia="Times New Roman" w:hAnsi="Times New Roman" w:cs="Times New Roman"/>
          <w:color w:val="000000" w:themeColor="text1"/>
        </w:rPr>
        <w:t>themselves,</w:t>
      </w:r>
      <w:r w:rsidRPr="47575B0A">
        <w:rPr>
          <w:rFonts w:ascii="Times New Roman" w:eastAsia="Times New Roman" w:hAnsi="Times New Roman" w:cs="Times New Roman"/>
          <w:color w:val="000000" w:themeColor="text1"/>
        </w:rPr>
        <w:t xml:space="preserve"> but how expected risks and returns are computed.</w:t>
      </w:r>
    </w:p>
    <w:p w14:paraId="0354711F" w14:textId="0524F7CF"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failures are primarily driven by poor estimation of risk and returns. Studies have </w:t>
      </w:r>
      <w:proofErr w:type="spellStart"/>
      <w:r w:rsidRPr="47575B0A">
        <w:rPr>
          <w:rFonts w:ascii="Times New Roman" w:eastAsia="Times New Roman" w:hAnsi="Times New Roman" w:cs="Times New Roman"/>
          <w:color w:val="000000" w:themeColor="text1"/>
        </w:rPr>
        <w:t>criticised</w:t>
      </w:r>
      <w:proofErr w:type="spellEnd"/>
      <w:r w:rsidRPr="47575B0A">
        <w:rPr>
          <w:rFonts w:ascii="Times New Roman" w:eastAsia="Times New Roman" w:hAnsi="Times New Roman" w:cs="Times New Roman"/>
          <w:color w:val="000000" w:themeColor="text1"/>
        </w:rPr>
        <w:t xml:space="preserve">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model for estimation errors in the expected return </w:t>
      </w:r>
      <w:r w:rsidRPr="47575B0A">
        <w:rPr>
          <w:rFonts w:ascii="Times New Roman" w:eastAsia="Times New Roman" w:hAnsi="Times New Roman" w:cs="Times New Roman"/>
          <w:color w:val="000000" w:themeColor="text1"/>
        </w:rPr>
        <w:lastRenderedPageBreak/>
        <w:t>vector and covariance matrix (Job, 2022) giving rise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w:t>
      </w:r>
      <w:proofErr w:type="spellStart"/>
      <w:r w:rsidRPr="47575B0A">
        <w:rPr>
          <w:rFonts w:ascii="Times New Roman" w:eastAsia="Times New Roman" w:hAnsi="Times New Roman" w:cs="Times New Roman"/>
          <w:color w:val="000000" w:themeColor="text1"/>
        </w:rPr>
        <w:t>Martínez</w:t>
      </w:r>
      <w:r w:rsidR="3C49F491">
        <w:noBreakHyphen/>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Although they have achieved significant progress, they are still insufficient as forecasts are made from historical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data performance, have stability assumptions, failure to capture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and time varying dynamics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2025;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This highlights the need for approaches that can better anticipate future market behavior rather than rely solely on past observations.</w:t>
      </w:r>
    </w:p>
    <w:p w14:paraId="675E5285" w14:textId="53916BB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empirical applications, portfolio allocations are generally quite sensitive to calculations for estimated risks and returns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w:t>
      </w:r>
      <w:proofErr w:type="spellStart"/>
      <w:r w:rsidRPr="47575B0A">
        <w:rPr>
          <w:rFonts w:ascii="Times New Roman" w:eastAsia="Times New Roman" w:hAnsi="Times New Roman" w:cs="Times New Roman"/>
          <w:color w:val="000000" w:themeColor="text1"/>
        </w:rPr>
        <w:t>Martíinez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As illustrated by relevant research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644D706B" w14:textId="02A1210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using classical frameworks </w:t>
      </w:r>
      <w:r w:rsidR="65CA31DB" w:rsidRPr="47575B0A">
        <w:rPr>
          <w:rFonts w:ascii="Times New Roman" w:eastAsia="Times New Roman" w:hAnsi="Times New Roman" w:cs="Times New Roman"/>
          <w:color w:val="000000" w:themeColor="text1"/>
        </w:rPr>
        <w:t>has</w:t>
      </w:r>
      <w:r w:rsidRPr="47575B0A">
        <w:rPr>
          <w:rFonts w:ascii="Times New Roman" w:eastAsia="Times New Roman" w:hAnsi="Times New Roman" w:cs="Times New Roman"/>
          <w:color w:val="000000" w:themeColor="text1"/>
        </w:rPr>
        <w:t xml:space="preserve"> been observed to be highly vulnerable during periods of market stress. This arises because commonly used measures focus on using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losses and do not sufficiently account for the magnitude of losses in the tail of the return distribution.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proposed by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47575B0A">
        <w:rPr>
          <w:rFonts w:ascii="Times New Roman" w:eastAsia="Times New Roman" w:hAnsi="Times New Roman" w:cs="Times New Roman"/>
          <w:color w:val="000000" w:themeColor="text1"/>
        </w:rPr>
        <w:t>With</w:t>
      </w:r>
      <w:r w:rsidRPr="47575B0A">
        <w:rPr>
          <w:rFonts w:ascii="Times New Roman" w:eastAsia="Times New Roman" w:hAnsi="Times New Roman" w:cs="Times New Roman"/>
          <w:color w:val="000000" w:themeColor="text1"/>
        </w:rPr>
        <w:t xml:space="preserve"> this measure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rather than variance, it has been shown to be more robust than before when </w:t>
      </w:r>
      <w:r w:rsidRPr="47575B0A">
        <w:rPr>
          <w:rFonts w:ascii="Times New Roman" w:eastAsia="Times New Roman" w:hAnsi="Times New Roman" w:cs="Times New Roman"/>
          <w:color w:val="000000" w:themeColor="text1"/>
        </w:rPr>
        <w:lastRenderedPageBreak/>
        <w:t xml:space="preserve">dealing with capital allocation with uncertainty. Later research has also confirmed that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performs better than previous models on portfolio returns and Sharpe Ratio (Lorimer et al., 2024). Nonetheless, how effective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essentially depends on how well </w:t>
      </w:r>
      <w:r w:rsidR="4CF19147" w:rsidRPr="47575B0A">
        <w:rPr>
          <w:rFonts w:ascii="Times New Roman" w:eastAsia="Times New Roman" w:hAnsi="Times New Roman" w:cs="Times New Roman"/>
          <w:color w:val="000000" w:themeColor="text1"/>
        </w:rPr>
        <w:t>input</w:t>
      </w:r>
      <w:r w:rsidRPr="47575B0A">
        <w:rPr>
          <w:rFonts w:ascii="Times New Roman" w:eastAsia="Times New Roman" w:hAnsi="Times New Roman" w:cs="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distributions. This indicates an important need for a hybrid combination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and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forecasting of risk and return values to enhance portfolio robustness and returns when dealing with such a challenging environment.</w:t>
      </w:r>
    </w:p>
    <w:p w14:paraId="3807856C" w14:textId="20D8690E"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1.3 Research Questions</w:t>
      </w:r>
    </w:p>
    <w:p w14:paraId="73197A15" w14:textId="5AB70C7E"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study aims to answer the following questions:</w:t>
      </w:r>
    </w:p>
    <w:p w14:paraId="18E052C2" w14:textId="49BBE8DA"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Can machine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learning models improve the accuracy of s</w:t>
      </w:r>
      <w:r w:rsidR="000113DD">
        <w:rPr>
          <w:rFonts w:ascii="Times New Roman" w:eastAsia="Times New Roman" w:hAnsi="Times New Roman" w:cs="Times New Roman"/>
          <w:color w:val="000000" w:themeColor="text1"/>
        </w:rPr>
        <w:t>tock return forecasts on the NGX</w:t>
      </w:r>
      <w:bookmarkStart w:id="0" w:name="_GoBack"/>
      <w:bookmarkEnd w:id="0"/>
      <w:r w:rsidRPr="47575B0A">
        <w:rPr>
          <w:rFonts w:ascii="Times New Roman" w:eastAsia="Times New Roman" w:hAnsi="Times New Roman" w:cs="Times New Roman"/>
          <w:color w:val="000000" w:themeColor="text1"/>
        </w:rPr>
        <w:t>?</w:t>
      </w:r>
    </w:p>
    <w:p w14:paraId="111DBA17" w14:textId="568C6B1E"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Does incorporating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return forecasts into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improve portfolio performance?</w:t>
      </w:r>
    </w:p>
    <w:p w14:paraId="06E9129A" w14:textId="717BF407"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 does the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 compare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portfolios?</w:t>
      </w:r>
    </w:p>
    <w:p w14:paraId="1EE3C4A4" w14:textId="3CAE0DB9"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1.4 Objectives of the Study</w:t>
      </w:r>
    </w:p>
    <w:p w14:paraId="3E703960" w14:textId="7F305DE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Following the research questions highlighted above, the broad objective of this study is to examine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optimization on the Nigerian Exchange Group (NGX) while the specific objectives are to:</w:t>
      </w:r>
    </w:p>
    <w:p w14:paraId="6ACE190A" w14:textId="58BCE5D1"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 ML models (Random Forest and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to forecast stock returns.</w:t>
      </w:r>
    </w:p>
    <w:p w14:paraId="0EF13F81" w14:textId="6F61BADC"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Integrate predicted returns into a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framework.</w:t>
      </w:r>
    </w:p>
    <w:p w14:paraId="5C503977" w14:textId="229D6B88"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Compare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portfolios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using metrics such as Sharpe ratio, Annualized returns, </w:t>
      </w:r>
      <w:proofErr w:type="spellStart"/>
      <w:r w:rsidRPr="47575B0A">
        <w:rPr>
          <w:rFonts w:ascii="Times New Roman" w:eastAsia="Times New Roman" w:hAnsi="Times New Roman" w:cs="Times New Roman"/>
          <w:color w:val="000000" w:themeColor="text1"/>
        </w:rPr>
        <w:t>Sortino</w:t>
      </w:r>
      <w:proofErr w:type="spellEnd"/>
      <w:r w:rsidRPr="47575B0A">
        <w:rPr>
          <w:rFonts w:ascii="Times New Roman" w:eastAsia="Times New Roman" w:hAnsi="Times New Roman" w:cs="Times New Roman"/>
          <w:color w:val="000000" w:themeColor="text1"/>
        </w:rPr>
        <w:t xml:space="preserve"> ratio, and maximum drawdown.</w:t>
      </w:r>
    </w:p>
    <w:p w14:paraId="6882AFFB" w14:textId="56F19A32"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Assess robustness of portfolios under extreme market conditions.</w:t>
      </w:r>
    </w:p>
    <w:p w14:paraId="03837A58" w14:textId="0468B87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1.5 Justification of the Study</w:t>
      </w:r>
    </w:p>
    <w:p w14:paraId="15A9287C" w14:textId="7AB104F5"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modern finance, portfolio optimization has evolved to be central investment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both in theory and practice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financial markets in emerging countries become more volatile, complex and uncertain, </w:t>
      </w:r>
      <w:proofErr w:type="spellStart"/>
      <w:r w:rsidRPr="47575B0A">
        <w:rPr>
          <w:rFonts w:ascii="Times New Roman" w:eastAsia="Times New Roman" w:hAnsi="Times New Roman" w:cs="Times New Roman"/>
          <w:color w:val="000000" w:themeColor="text1"/>
        </w:rPr>
        <w:t>traditonal</w:t>
      </w:r>
      <w:proofErr w:type="spellEnd"/>
      <w:r w:rsidRPr="47575B0A">
        <w:rPr>
          <w:rFonts w:ascii="Times New Roman" w:eastAsia="Times New Roman" w:hAnsi="Times New Roman" w:cs="Times New Roman"/>
          <w:color w:val="000000" w:themeColor="text1"/>
        </w:rPr>
        <w:t xml:space="preserve"> models have gotten more strained and inadequate to capture the true state of the market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especially during periods of stress. This is </w:t>
      </w:r>
      <w:r w:rsidR="6644CEBE" w:rsidRPr="47575B0A">
        <w:rPr>
          <w:rFonts w:ascii="Times New Roman" w:eastAsia="Times New Roman" w:hAnsi="Times New Roman" w:cs="Times New Roman"/>
          <w:color w:val="000000" w:themeColor="text1"/>
        </w:rPr>
        <w:t>the cause</w:t>
      </w:r>
      <w:r w:rsidRPr="47575B0A">
        <w:rPr>
          <w:rFonts w:ascii="Times New Roman" w:eastAsia="Times New Roman" w:hAnsi="Times New Roman" w:cs="Times New Roman"/>
          <w:color w:val="000000" w:themeColor="text1"/>
        </w:rPr>
        <w:t xml:space="preserve"> for alarm as poor portfolio optimization can lead to poor risk allocation which has real economic consequences including huge losses, </w:t>
      </w:r>
      <w:r w:rsidR="5ABCE8D7" w:rsidRPr="47575B0A">
        <w:rPr>
          <w:rFonts w:ascii="Times New Roman" w:eastAsia="Times New Roman" w:hAnsi="Times New Roman" w:cs="Times New Roman"/>
          <w:color w:val="000000" w:themeColor="text1"/>
        </w:rPr>
        <w:t>instability,</w:t>
      </w:r>
      <w:r w:rsidRPr="47575B0A">
        <w:rPr>
          <w:rFonts w:ascii="Times New Roman" w:eastAsia="Times New Roman" w:hAnsi="Times New Roman" w:cs="Times New Roman"/>
          <w:color w:val="000000" w:themeColor="text1"/>
        </w:rPr>
        <w:t xml:space="preserve"> and poor capital allocation. This has led </w:t>
      </w:r>
      <w:r w:rsidR="50B9A20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new areas of research including the increasing use of predictive and machine learning models </w:t>
      </w:r>
      <w:r w:rsidR="37913515"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address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linearity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varying dynamics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Chen, 2025). Despite these advances, forecasting and optimization are usually treated separately as limited integration frameworks exist (Zhang, 2024). All these suggest a need for the </w:t>
      </w:r>
      <w:proofErr w:type="spellStart"/>
      <w:r w:rsidRPr="47575B0A">
        <w:rPr>
          <w:rFonts w:ascii="Times New Roman" w:eastAsia="Times New Roman" w:hAnsi="Times New Roman" w:cs="Times New Roman"/>
          <w:color w:val="000000" w:themeColor="text1"/>
        </w:rPr>
        <w:t>reassment</w:t>
      </w:r>
      <w:proofErr w:type="spellEnd"/>
      <w:r w:rsidRPr="47575B0A">
        <w:rPr>
          <w:rFonts w:ascii="Times New Roman" w:eastAsia="Times New Roman" w:hAnsi="Times New Roman" w:cs="Times New Roman"/>
          <w:color w:val="000000" w:themeColor="text1"/>
        </w:rPr>
        <w:t xml:space="preserve"> of optimization frameworks and predictive models to better control risk under unstable conditions. Hence, this study will contribute to extant studies in the following ways:</w:t>
      </w:r>
    </w:p>
    <w:p w14:paraId="34BBB1FC" w14:textId="0A4DB93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One, classical optimization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and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are foundational and </w:t>
      </w:r>
      <w:r w:rsidR="623DE374" w:rsidRPr="47575B0A">
        <w:rPr>
          <w:rFonts w:ascii="Times New Roman" w:eastAsia="Times New Roman" w:hAnsi="Times New Roman" w:cs="Times New Roman"/>
          <w:color w:val="000000" w:themeColor="text1"/>
        </w:rPr>
        <w:t>important,</w:t>
      </w:r>
      <w:r w:rsidRPr="47575B0A">
        <w:rPr>
          <w:rFonts w:ascii="Times New Roman" w:eastAsia="Times New Roman" w:hAnsi="Times New Roman" w:cs="Times New Roman"/>
          <w:color w:val="000000" w:themeColor="text1"/>
        </w:rPr>
        <w:t xml:space="preserve"> but they do not sufficiently capture downside risk and estimation errors especially in emerging markets characterized by illiquidity and structural break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integrating ML models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measures into portfolio optimization particularly </w:t>
      </w:r>
      <w:r w:rsidRPr="47575B0A">
        <w:rPr>
          <w:rFonts w:ascii="Times New Roman" w:eastAsia="Times New Roman" w:hAnsi="Times New Roman" w:cs="Times New Roman"/>
          <w:color w:val="000000" w:themeColor="text1"/>
        </w:rPr>
        <w:lastRenderedPageBreak/>
        <w:t>in emerging markets, this may properly address these persistent limitations. Two,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measures do not sufficiently capture the magnitude of extreme losses leaving portfolios exposed during market crises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 xml:space="preserve">2020; Wahid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During events such as </w:t>
      </w:r>
      <w:r w:rsidR="13EEB440" w:rsidRPr="47575B0A">
        <w:rPr>
          <w:rFonts w:ascii="Times New Roman" w:eastAsia="Times New Roman" w:hAnsi="Times New Roman" w:cs="Times New Roman"/>
          <w:color w:val="000000" w:themeColor="text1"/>
        </w:rPr>
        <w:t>the 2008</w:t>
      </w:r>
      <w:r w:rsidRPr="47575B0A">
        <w:rPr>
          <w:rFonts w:ascii="Times New Roman" w:eastAsia="Times New Roman" w:hAnsi="Times New Roman" w:cs="Times New Roman"/>
          <w:color w:val="000000" w:themeColor="text1"/>
        </w:rPr>
        <w:t xml:space="preserve"> financial crisis and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crash, portfolios that were constructed with </w:t>
      </w:r>
      <w:r w:rsidR="55FC43E8" w:rsidRPr="47575B0A">
        <w:rPr>
          <w:rFonts w:ascii="Times New Roman" w:eastAsia="Times New Roman" w:hAnsi="Times New Roman" w:cs="Times New Roman"/>
          <w:color w:val="000000" w:themeColor="text1"/>
        </w:rPr>
        <w:t>variance</w:t>
      </w:r>
      <w:r w:rsidR="3CB00BA7" w:rsidRPr="47575B0A">
        <w:rPr>
          <w:rFonts w:ascii="Times New Roman" w:eastAsia="Times New Roman" w:hAnsi="Times New Roman" w:cs="Times New Roman"/>
          <w:color w:val="000000" w:themeColor="text1"/>
        </w:rPr>
        <w:t>-</w:t>
      </w:r>
      <w:r w:rsidR="55FC43E8" w:rsidRPr="47575B0A">
        <w:rPr>
          <w:rFonts w:ascii="Times New Roman" w:eastAsia="Times New Roman" w:hAnsi="Times New Roman" w:cs="Times New Roman"/>
          <w:color w:val="000000" w:themeColor="text1"/>
        </w:rPr>
        <w:t>based</w:t>
      </w:r>
      <w:r w:rsidRPr="47575B0A">
        <w:rPr>
          <w:rFonts w:ascii="Times New Roman" w:eastAsia="Times New Roman" w:hAnsi="Times New Roman" w:cs="Times New Roman"/>
          <w:color w:val="000000" w:themeColor="text1"/>
        </w:rPr>
        <w:t xml:space="preserve"> measures either greatly underperformed or made huge losses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 Due to these limitations, it justifies the use of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as a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measure which explicitly accounts for extreme losses past a certain threshold, which is particularly relevant on the NGX.</w:t>
      </w:r>
    </w:p>
    <w:p w14:paraId="6EC61D8A" w14:textId="3CE6685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Three, portfolio optimization frameworks based on historical averages do not sufficiently adequately capture the future behavior of expected returns and risks (Zhang, 2025). It has been observed that portfolios based on forecasted returns have consistently outperformed that based on historical averages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w:t>
      </w:r>
      <w:r w:rsidR="69689EFF"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w:t>
      </w:r>
      <w:r w:rsidR="31BE40A6"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reduce the possibility of increased risk and lower returns, there is a critical need for the integration of forecasted returns into optimization which is embedded in the study. Four, the traditional econometric forecasting models impose assumptions which are violated in the financial markets especially during structural changes, assumptions such as linearity and </w:t>
      </w:r>
      <w:r w:rsidR="7A2E36C3" w:rsidRPr="47575B0A">
        <w:rPr>
          <w:rFonts w:ascii="Times New Roman" w:eastAsia="Times New Roman" w:hAnsi="Times New Roman" w:cs="Times New Roman"/>
          <w:color w:val="000000" w:themeColor="text1"/>
        </w:rPr>
        <w:t>station</w:t>
      </w:r>
      <w:r w:rsidR="2885E949" w:rsidRPr="47575B0A">
        <w:rPr>
          <w:rFonts w:ascii="Times New Roman" w:eastAsia="Times New Roman" w:hAnsi="Times New Roman" w:cs="Times New Roman"/>
          <w:color w:val="000000" w:themeColor="text1"/>
        </w:rPr>
        <w:t>a</w:t>
      </w:r>
      <w:r w:rsidR="7A2E36C3" w:rsidRPr="47575B0A">
        <w:rPr>
          <w:rFonts w:ascii="Times New Roman" w:eastAsia="Times New Roman" w:hAnsi="Times New Roman" w:cs="Times New Roman"/>
          <w:color w:val="000000" w:themeColor="text1"/>
        </w:rPr>
        <w:t>r</w:t>
      </w:r>
      <w:r w:rsidR="259F462C" w:rsidRPr="47575B0A">
        <w:rPr>
          <w:rFonts w:ascii="Times New Roman" w:eastAsia="Times New Roman" w:hAnsi="Times New Roman" w:cs="Times New Roman"/>
          <w:color w:val="000000" w:themeColor="text1"/>
        </w:rPr>
        <w:t>it</w:t>
      </w:r>
      <w:r w:rsidR="7A2E36C3" w:rsidRPr="47575B0A">
        <w:rPr>
          <w:rFonts w:ascii="Times New Roman" w:eastAsia="Times New Roman" w:hAnsi="Times New Roman" w:cs="Times New Roman"/>
          <w:color w:val="000000" w:themeColor="text1"/>
        </w:rPr>
        <w:t>y</w:t>
      </w:r>
      <w:r w:rsidRPr="47575B0A">
        <w:rPr>
          <w:rFonts w:ascii="Times New Roman" w:eastAsia="Times New Roman" w:hAnsi="Times New Roman" w:cs="Times New Roman"/>
          <w:color w:val="000000" w:themeColor="text1"/>
        </w:rPr>
        <w:t xml:space="preserve">. This implies that the models won't be able to capture nonlinear </w:t>
      </w:r>
      <w:r w:rsidR="66996024" w:rsidRPr="47575B0A">
        <w:rPr>
          <w:rFonts w:ascii="Times New Roman" w:eastAsia="Times New Roman" w:hAnsi="Times New Roman" w:cs="Times New Roman"/>
          <w:color w:val="000000" w:themeColor="text1"/>
        </w:rPr>
        <w:t>relationships</w:t>
      </w:r>
      <w:r w:rsidRPr="47575B0A">
        <w:rPr>
          <w:rFonts w:ascii="Times New Roman" w:eastAsia="Times New Roman" w:hAnsi="Times New Roman" w:cs="Times New Roman"/>
          <w:color w:val="000000" w:themeColor="text1"/>
        </w:rPr>
        <w:t xml:space="preserve">, time </w:t>
      </w:r>
      <w:r w:rsidR="6F49E6E4" w:rsidRPr="47575B0A">
        <w:rPr>
          <w:rFonts w:ascii="Times New Roman" w:eastAsia="Times New Roman" w:hAnsi="Times New Roman" w:cs="Times New Roman"/>
          <w:color w:val="000000" w:themeColor="text1"/>
        </w:rPr>
        <w:t>varying,</w:t>
      </w:r>
      <w:r w:rsidRPr="47575B0A">
        <w:rPr>
          <w:rFonts w:ascii="Times New Roman" w:eastAsia="Times New Roman" w:hAnsi="Times New Roman" w:cs="Times New Roman"/>
          <w:color w:val="000000" w:themeColor="text1"/>
        </w:rPr>
        <w:t xml:space="preserve"> and complex market dynamics (</w:t>
      </w:r>
      <w:proofErr w:type="spellStart"/>
      <w:r w:rsidRPr="47575B0A">
        <w:rPr>
          <w:rFonts w:ascii="Times New Roman" w:eastAsia="Times New Roman" w:hAnsi="Times New Roman" w:cs="Times New Roman"/>
          <w:color w:val="000000" w:themeColor="text1"/>
        </w:rPr>
        <w:t>Lyu</w:t>
      </w:r>
      <w:proofErr w:type="spellEnd"/>
      <w:r w:rsidRPr="47575B0A">
        <w:rPr>
          <w:rFonts w:ascii="Times New Roman" w:eastAsia="Times New Roman" w:hAnsi="Times New Roman" w:cs="Times New Roman"/>
          <w:color w:val="000000" w:themeColor="text1"/>
        </w:rPr>
        <w:t>, 2024</w:t>
      </w:r>
      <w:r w:rsidR="2F288F03"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Machine learning models bypass these limitations by learning complex and nonlinear patterns directly from the data without restrictive assumptions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These improved forecasts directly </w:t>
      </w:r>
      <w:r w:rsidR="0A87E54C" w:rsidRPr="47575B0A">
        <w:rPr>
          <w:rFonts w:ascii="Times New Roman" w:eastAsia="Times New Roman" w:hAnsi="Times New Roman" w:cs="Times New Roman"/>
          <w:color w:val="000000" w:themeColor="text1"/>
        </w:rPr>
        <w:t>make</w:t>
      </w:r>
      <w:r w:rsidRPr="47575B0A">
        <w:rPr>
          <w:rFonts w:ascii="Times New Roman" w:eastAsia="Times New Roman" w:hAnsi="Times New Roman" w:cs="Times New Roman"/>
          <w:color w:val="000000" w:themeColor="text1"/>
        </w:rPr>
        <w:t xml:space="preserve"> for better portfolio allocation decisions, as optimization outputs are sensitive to return estimates (Zhang, 2025). Consequently, these advantages are pronounced in emerging markets where return distributions are unstable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However, to </w:t>
      </w:r>
      <w:r w:rsidRPr="47575B0A">
        <w:rPr>
          <w:rFonts w:ascii="Times New Roman" w:eastAsia="Times New Roman" w:hAnsi="Times New Roman" w:cs="Times New Roman"/>
          <w:color w:val="000000" w:themeColor="text1"/>
        </w:rPr>
        <w:lastRenderedPageBreak/>
        <w:t>achieve the full benefits of ML forecasts, it needs to be effectively integrated into portfolio optimization frameworks rather than used in isolation. Hence, this necessitates the study.</w:t>
      </w:r>
    </w:p>
    <w:p w14:paraId="295B606C" w14:textId="09456A4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Five, most research works predominantly treat forecasting and portfolio optimization as </w:t>
      </w:r>
      <w:r w:rsidR="2FD6CB34" w:rsidRPr="47575B0A">
        <w:rPr>
          <w:rFonts w:ascii="Times New Roman" w:eastAsia="Times New Roman" w:hAnsi="Times New Roman" w:cs="Times New Roman"/>
          <w:color w:val="000000" w:themeColor="text1"/>
        </w:rPr>
        <w:t>separate</w:t>
      </w:r>
      <w:r w:rsidRPr="47575B0A">
        <w:rPr>
          <w:rFonts w:ascii="Times New Roman" w:eastAsia="Times New Roman" w:hAnsi="Times New Roman" w:cs="Times New Roman"/>
          <w:color w:val="000000" w:themeColor="text1"/>
        </w:rPr>
        <w:t xml:space="preserve"> tasks. This separation leads to suboptimal portfolios as optimization depends directly on forecast quality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Although joint forecasting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optimization models have been observed to outperform traditional models and achieve better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performance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2025), these studies are few and limited and even fewer 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existent in emerging markets. This uniquely positions this study as a unified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framework to enhance robustness, </w:t>
      </w:r>
      <w:r w:rsidR="19D645E9" w:rsidRPr="47575B0A">
        <w:rPr>
          <w:rFonts w:ascii="Times New Roman" w:eastAsia="Times New Roman" w:hAnsi="Times New Roman" w:cs="Times New Roman"/>
          <w:color w:val="000000" w:themeColor="text1"/>
        </w:rPr>
        <w:t>coherence,</w:t>
      </w:r>
      <w:r w:rsidRPr="47575B0A">
        <w:rPr>
          <w:rFonts w:ascii="Times New Roman" w:eastAsia="Times New Roman" w:hAnsi="Times New Roman" w:cs="Times New Roman"/>
          <w:color w:val="000000" w:themeColor="text1"/>
        </w:rPr>
        <w:t xml:space="preserve"> and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relevance of portfolio decisions. Six, most portfolio optimization and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frameworks are developed and tested on data from developed markets thus limiting their applicability in emerging markets due to higher market friction, asymmetric information and higher volatility. All </w:t>
      </w:r>
      <w:r w:rsidR="352506B8" w:rsidRPr="47575B0A">
        <w:rPr>
          <w:rFonts w:ascii="Times New Roman" w:eastAsia="Times New Roman" w:hAnsi="Times New Roman" w:cs="Times New Roman"/>
          <w:color w:val="000000" w:themeColor="text1"/>
        </w:rPr>
        <w:t>these leads</w:t>
      </w:r>
      <w:r w:rsidRPr="47575B0A">
        <w:rPr>
          <w:rFonts w:ascii="Times New Roman" w:eastAsia="Times New Roman" w:hAnsi="Times New Roman" w:cs="Times New Roman"/>
          <w:color w:val="000000" w:themeColor="text1"/>
        </w:rPr>
        <w:t xml:space="preserve"> to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return distribution causing variance and traditional measures to underestimate extreme losses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Wang et al., 2024). This also makes conventional forecasting methods inadequate. Given these conditions and the need for portfolio resilience, there is a need to examine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forecasts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on the NGX.</w:t>
      </w:r>
    </w:p>
    <w:p w14:paraId="519AB58D" w14:textId="1A70122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Given the emerging market realities, better forecasting and risk modeling are essential due to the observed improvements over traditional measures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Together,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optimizers together form a promising avenue for more resilient portfolio outcomes. While these improved methods exist, their applications in emerging markets such as the Nigerian Exchange Group (NGX) </w:t>
      </w:r>
      <w:r w:rsidR="2F56BDA8" w:rsidRPr="47575B0A">
        <w:rPr>
          <w:rFonts w:ascii="Times New Roman" w:eastAsia="Times New Roman" w:hAnsi="Times New Roman" w:cs="Times New Roman"/>
          <w:color w:val="000000" w:themeColor="text1"/>
        </w:rPr>
        <w:t>remains</w:t>
      </w:r>
      <w:r w:rsidRPr="47575B0A">
        <w:rPr>
          <w:rFonts w:ascii="Times New Roman" w:eastAsia="Times New Roman" w:hAnsi="Times New Roman" w:cs="Times New Roman"/>
          <w:color w:val="000000" w:themeColor="text1"/>
        </w:rPr>
        <w:t xml:space="preserve"> under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explored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2025). This necessitates the study not only for academics and researchers but also for real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w:t>
      </w:r>
    </w:p>
    <w:p w14:paraId="1BDC2C71" w14:textId="140CE9A6"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1.6 Scope of the Study</w:t>
      </w:r>
    </w:p>
    <w:p w14:paraId="683B6AB4" w14:textId="4272B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study examines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optimization on the Nigerian Exchange Group (NGX). Weekly price data on </w:t>
      </w:r>
      <w:r w:rsidR="00A551E6">
        <w:rPr>
          <w:rFonts w:ascii="Times New Roman" w:eastAsia="Times New Roman" w:hAnsi="Times New Roman" w:cs="Times New Roman"/>
          <w:color w:val="000000" w:themeColor="text1"/>
        </w:rPr>
        <w:t>selected companies in the NGX Pension</w:t>
      </w:r>
      <w:r w:rsidRPr="47575B0A">
        <w:rPr>
          <w:rFonts w:ascii="Times New Roman" w:eastAsia="Times New Roman" w:hAnsi="Times New Roman" w:cs="Times New Roman"/>
          <w:color w:val="000000" w:themeColor="text1"/>
        </w:rPr>
        <w:t xml:space="preserve"> Index between the </w:t>
      </w:r>
      <w:proofErr w:type="gramStart"/>
      <w:r w:rsidRPr="47575B0A">
        <w:rPr>
          <w:rFonts w:ascii="Times New Roman" w:eastAsia="Times New Roman" w:hAnsi="Times New Roman" w:cs="Times New Roman"/>
          <w:color w:val="000000" w:themeColor="text1"/>
        </w:rPr>
        <w:t>period</w:t>
      </w:r>
      <w:proofErr w:type="gramEnd"/>
      <w:r w:rsidRPr="47575B0A">
        <w:rPr>
          <w:rFonts w:ascii="Times New Roman" w:eastAsia="Times New Roman" w:hAnsi="Times New Roman" w:cs="Times New Roman"/>
          <w:color w:val="000000" w:themeColor="text1"/>
        </w:rPr>
        <w:t xml:space="preserve"> of 2010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2025 will be </w:t>
      </w:r>
      <w:r w:rsidR="2C1846AE" w:rsidRPr="47575B0A">
        <w:rPr>
          <w:rFonts w:ascii="Times New Roman" w:eastAsia="Times New Roman" w:hAnsi="Times New Roman" w:cs="Times New Roman"/>
          <w:color w:val="000000" w:themeColor="text1"/>
        </w:rPr>
        <w:t>utilized</w:t>
      </w:r>
      <w:r w:rsidRPr="47575B0A">
        <w:rPr>
          <w:rFonts w:ascii="Times New Roman" w:eastAsia="Times New Roman" w:hAnsi="Times New Roman" w:cs="Times New Roman"/>
          <w:color w:val="000000" w:themeColor="text1"/>
        </w:rPr>
        <w:t xml:space="preserve"> for the study. This study could not </w:t>
      </w:r>
      <w:r w:rsidR="441465E5" w:rsidRPr="47575B0A">
        <w:rPr>
          <w:rFonts w:ascii="Times New Roman" w:eastAsia="Times New Roman" w:hAnsi="Times New Roman" w:cs="Times New Roman"/>
          <w:color w:val="000000" w:themeColor="text1"/>
        </w:rPr>
        <w:t>extend</w:t>
      </w:r>
      <w:r w:rsidRPr="47575B0A">
        <w:rPr>
          <w:rFonts w:ascii="Times New Roman" w:eastAsia="Times New Roman" w:hAnsi="Times New Roman" w:cs="Times New Roman"/>
          <w:color w:val="000000" w:themeColor="text1"/>
        </w:rPr>
        <w:t xml:space="preserve"> beyond the selected time frame due to unavailability of price data due to </w:t>
      </w:r>
      <w:r w:rsidR="31EA3651" w:rsidRPr="47575B0A">
        <w:rPr>
          <w:rFonts w:ascii="Times New Roman" w:eastAsia="Times New Roman" w:hAnsi="Times New Roman" w:cs="Times New Roman"/>
          <w:color w:val="000000" w:themeColor="text1"/>
        </w:rPr>
        <w:t>the date</w:t>
      </w:r>
      <w:r w:rsidRPr="47575B0A">
        <w:rPr>
          <w:rFonts w:ascii="Times New Roman" w:eastAsia="Times New Roman" w:hAnsi="Times New Roman" w:cs="Times New Roman"/>
          <w:color w:val="000000" w:themeColor="text1"/>
        </w:rPr>
        <w:t xml:space="preserve"> of companies' listings. Most available data on price data on publicly listed companies were sourced from ng.investing.com which was limited to the timeframe of the study.</w:t>
      </w:r>
    </w:p>
    <w:p w14:paraId="656490B3" w14:textId="4910F827"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1.7 Organization of the Study</w:t>
      </w:r>
    </w:p>
    <w:p w14:paraId="2EC9D89A" w14:textId="219468D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study is divided into five chapters. The first chapter of this study provides the background of the study, which will further prove the need for the study. Chapter two presents the theoretical and empirical review of relevant studies </w:t>
      </w:r>
      <w:r w:rsidR="32AB9943" w:rsidRPr="47575B0A">
        <w:rPr>
          <w:rFonts w:ascii="Times New Roman" w:eastAsia="Times New Roman" w:hAnsi="Times New Roman" w:cs="Times New Roman"/>
          <w:color w:val="000000" w:themeColor="text1"/>
        </w:rPr>
        <w:t>in</w:t>
      </w:r>
      <w:r w:rsidRPr="47575B0A">
        <w:rPr>
          <w:rFonts w:ascii="Times New Roman" w:eastAsia="Times New Roman" w:hAnsi="Times New Roman" w:cs="Times New Roman"/>
          <w:color w:val="000000" w:themeColor="text1"/>
        </w:rPr>
        <w:t xml:space="preserve"> the study's subject matter. The theoretical perspective in the second chapter will introduce the adopted models in chapter three. Data analysis and presentation will be carried out in chapter four, while the concluding comments that include summary, conclusion, </w:t>
      </w:r>
      <w:r w:rsidR="31595D14" w:rsidRPr="47575B0A">
        <w:rPr>
          <w:rFonts w:ascii="Times New Roman" w:eastAsia="Times New Roman" w:hAnsi="Times New Roman" w:cs="Times New Roman"/>
          <w:color w:val="000000" w:themeColor="text1"/>
        </w:rPr>
        <w:t>recommendations,</w:t>
      </w:r>
      <w:r w:rsidRPr="47575B0A">
        <w:rPr>
          <w:rFonts w:ascii="Times New Roman" w:eastAsia="Times New Roman" w:hAnsi="Times New Roman" w:cs="Times New Roman"/>
          <w:color w:val="000000" w:themeColor="text1"/>
        </w:rPr>
        <w:t xml:space="preserve"> and suggestions for further studies will be made in chapter five.</w:t>
      </w:r>
    </w:p>
    <w:p w14:paraId="218A7C76" w14:textId="5C567A29" w:rsidR="28C1B626" w:rsidRDefault="28C1B626" w:rsidP="00B61C71">
      <w:pPr>
        <w:spacing w:line="480" w:lineRule="auto"/>
        <w:jc w:val="both"/>
        <w:rPr>
          <w:rFonts w:ascii="Times New Roman" w:eastAsia="Times New Roman" w:hAnsi="Times New Roman" w:cs="Times New Roman"/>
        </w:rPr>
      </w:pPr>
    </w:p>
    <w:p w14:paraId="5F77440E" w14:textId="424660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CHAPTER TWO</w:t>
      </w:r>
    </w:p>
    <w:p w14:paraId="4CD111E1" w14:textId="7813667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LITERATURE REVIEW</w:t>
      </w:r>
    </w:p>
    <w:p w14:paraId="07D08F43" w14:textId="48933C9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research will examine the current literature regarding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14:paraId="244C8563" w14:textId="35107CE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2.1 Conceptual Framework</w:t>
      </w:r>
    </w:p>
    <w:p w14:paraId="5630063A" w14:textId="6A1E876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Understanding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optimization has become increasingly important in modern financial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due to rising market volatility and uncertainty. Forecasting improves the accuracy of return estimates while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enhances </w:t>
      </w:r>
      <w:r w:rsidR="7EA46923" w:rsidRPr="47575B0A">
        <w:rPr>
          <w:rFonts w:ascii="Times New Roman" w:eastAsia="Times New Roman" w:hAnsi="Times New Roman" w:cs="Times New Roman"/>
          <w:color w:val="000000" w:themeColor="text1"/>
        </w:rPr>
        <w:t>portfolio</w:t>
      </w:r>
      <w:r w:rsidRPr="47575B0A">
        <w:rPr>
          <w:rFonts w:ascii="Times New Roman" w:eastAsia="Times New Roman" w:hAnsi="Times New Roman" w:cs="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14:paraId="06E36F82" w14:textId="69C2F9D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2.1.1 Portfolio Optimization</w:t>
      </w:r>
    </w:p>
    <w:p w14:paraId="082C09CA" w14:textId="5BDCBA9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refers to the systematic process of determining the most efficient allocation of assets in an investment portfolio </w:t>
      </w:r>
      <w:r w:rsidR="0D05BA9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strike a balance between risk and return. The foundation of modern portfolio optimization was introduced by Markowitz (1952) through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which formalized the relationship between risk and return and laid the groundwork for subsequent portfolio management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w:t>
      </w:r>
    </w:p>
    <w:p w14:paraId="1B83E497" w14:textId="1EE113D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Building from portfolio optimization, </w:t>
      </w:r>
      <w:r w:rsidR="16C3BFA7" w:rsidRPr="47575B0A">
        <w:rPr>
          <w:rFonts w:ascii="Times New Roman" w:eastAsia="Times New Roman" w:hAnsi="Times New Roman" w:cs="Times New Roman"/>
          <w:color w:val="000000" w:themeColor="text1"/>
        </w:rPr>
        <w:t>an efficient</w:t>
      </w:r>
      <w:r w:rsidRPr="47575B0A">
        <w:rPr>
          <w:rFonts w:ascii="Times New Roman" w:eastAsia="Times New Roman" w:hAnsi="Times New Roman" w:cs="Times New Roman"/>
          <w:color w:val="000000" w:themeColor="text1"/>
        </w:rPr>
        <w:t xml:space="preserve"> allocation principle is necessary as it focuses on how resources should be distributed across assets to achieve the best possible balance between risk and return. Achieving efficiency involves strategies such as diversification, which reduces unsystematic risk by combining assets with low correlations, and careful assessment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offs, which helps investors decide how much risk they are willing to accept for potential gains. Importantly, the efficiency of a portfolio depends on accurate estimation of returns, variances,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making continuous monitoring and adjustment essential. By following </w:t>
      </w:r>
      <w:r w:rsidRPr="47575B0A">
        <w:rPr>
          <w:rFonts w:ascii="Times New Roman" w:eastAsia="Times New Roman" w:hAnsi="Times New Roman" w:cs="Times New Roman"/>
          <w:color w:val="000000" w:themeColor="text1"/>
        </w:rPr>
        <w:lastRenderedPageBreak/>
        <w:t xml:space="preserve">these principles, investors can construct portfolios that not only optimize performance but are also more resilient to market fluctuations (Zhang, 2024; Okafor and Robertson, 2022). </w:t>
      </w:r>
    </w:p>
    <w:p w14:paraId="37BAAAB9" w14:textId="129A23B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As a result of modern advances in technology and market complexities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increased market volatility, large datasets and emergence of new asset classes, portfolio optimization has significantly evolved from traditional optimization methods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black</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litterman</w:t>
      </w:r>
      <w:proofErr w:type="spellEnd"/>
      <w:r w:rsidRPr="47575B0A">
        <w:rPr>
          <w:rFonts w:ascii="Times New Roman" w:eastAsia="Times New Roman" w:hAnsi="Times New Roman" w:cs="Times New Roman"/>
          <w:color w:val="000000" w:themeColor="text1"/>
        </w:rPr>
        <w:t xml:space="preserve"> model and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(VAR) model to supplementation of traditional methods or them being replaced with more advanced analytics to better handle these challenges in real time (Hsiao, 2025).</w:t>
      </w:r>
    </w:p>
    <w:p w14:paraId="61FFAFF1" w14:textId="04F6E9D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2.1.2 Tail</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Risk</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Aware Portfolio Optimization</w:t>
      </w:r>
    </w:p>
    <w:p w14:paraId="0710F3A0" w14:textId="1403B53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2002;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47575B0A">
        <w:rPr>
          <w:rFonts w:ascii="Times New Roman" w:eastAsia="Times New Roman" w:hAnsi="Times New Roman" w:cs="Times New Roman"/>
          <w:color w:val="000000" w:themeColor="text1"/>
        </w:rPr>
        <w:t>Alim</w:t>
      </w:r>
      <w:proofErr w:type="spellEnd"/>
      <w:r w:rsidRPr="47575B0A">
        <w:rPr>
          <w:rFonts w:ascii="Times New Roman" w:eastAsia="Times New Roman" w:hAnsi="Times New Roman" w:cs="Times New Roman"/>
          <w:color w:val="000000" w:themeColor="text1"/>
        </w:rPr>
        <w:t xml:space="preserve"> et al., 2024; Bali et al., 2007). </w:t>
      </w:r>
    </w:p>
    <w:p w14:paraId="2C374CDE" w14:textId="7321EEE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understanding how crucial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is, traditional methods like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use variance which treats all deviations symmetrically, therefore ineffective in distinguishing between upside and downside risk, limiting their effectiveness in capturing extreme downside outcomes </w:t>
      </w:r>
      <w:proofErr w:type="spellStart"/>
      <w:r w:rsidRPr="47575B0A">
        <w:rPr>
          <w:rFonts w:ascii="Times New Roman" w:eastAsia="Times New Roman" w:hAnsi="Times New Roman" w:cs="Times New Roman"/>
          <w:color w:val="000000" w:themeColor="text1"/>
        </w:rPr>
        <w:t>i.e</w:t>
      </w:r>
      <w:proofErr w:type="spellEnd"/>
      <w:r w:rsidRPr="47575B0A">
        <w:rPr>
          <w:rFonts w:ascii="Times New Roman" w:eastAsia="Times New Roman" w:hAnsi="Times New Roman" w:cs="Times New Roman"/>
          <w:color w:val="000000" w:themeColor="text1"/>
        </w:rPr>
        <w:t xml:space="preserve"> a critical limitation of variance is that it penalizes positive deviations (gains) and negative deviations (losses) equally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xml:space="preserve">, 2023).This implies that upside volatility is treated as a risk to be minimized, which can lead to suboptimal outcomes for investors who view </w:t>
      </w:r>
      <w:r w:rsidRPr="47575B0A">
        <w:rPr>
          <w:rFonts w:ascii="Times New Roman" w:eastAsia="Times New Roman" w:hAnsi="Times New Roman" w:cs="Times New Roman"/>
          <w:color w:val="000000" w:themeColor="text1"/>
        </w:rPr>
        <w:lastRenderedPageBreak/>
        <w:t xml:space="preserve">returns above the mean as desirable rather than dangerous (Zapata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2025; Lorimer et al., 2024). In contrast, downside risk measures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are asymmetric metrics. They differentiate between "good" and "bad" volatility by focusing exclusively on returns that fall below a specific target or threshold (Ferrari et al., 2024;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 By isolating the negative portion of the return distribution, downside risk aligns more closely with the investor's intuitive perception of risk as the potential for financial loss rather than mere fluctuation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w:t>
      </w:r>
    </w:p>
    <w:p w14:paraId="39D41E25" w14:textId="61DB97A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management is necessary in volatile markets such as the Nigerian Exchange Group (NGX) due to the market's characteristic leptokurtosis and fat tails, which render symmetric measures like variance inadequate for capturing extreme downside potential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the NGX exhibits significant leverage effects where negative shocks amplify volatility disproportionately compared to positive news, necessitating the adoption of asymmetric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models such as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for robust risk assessment during periods of structural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2002).</w:t>
      </w:r>
    </w:p>
    <w:p w14:paraId="2C644350" w14:textId="29B1E3B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2.1.3 Equity Return Forecasting</w:t>
      </w:r>
    </w:p>
    <w:p w14:paraId="37649D16" w14:textId="70C0A2E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refers to the analytical process of estimating the future financial performance or price direction of stock assets to enhance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lastRenderedPageBreak/>
        <w:t>linear correlations, and volatility clustering that can be modeled to generate abnormal returns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55AB5B33" w14:textId="24D3E14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fundamentally transforms portfolio optimization by replacing static historical averages with dynamic,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estimates, thereby allowing optimization models to adapt to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stationary market conditions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Yu, 2024). By integrating advanced algorithms such as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Memory (LSTM) networks and machine learning techniques, investors can enhance asset selection and weight allocation, effectively </w:t>
      </w:r>
      <w:r w:rsidR="55DBCF69"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while </w:t>
      </w:r>
      <w:r w:rsidR="3EEA2A5D" w:rsidRPr="47575B0A">
        <w:rPr>
          <w:rFonts w:ascii="Times New Roman" w:eastAsia="Times New Roman" w:hAnsi="Times New Roman" w:cs="Times New Roman"/>
          <w:color w:val="000000" w:themeColor="text1"/>
        </w:rPr>
        <w:t>mitigate</w:t>
      </w:r>
      <w:r w:rsidRPr="47575B0A">
        <w:rPr>
          <w:rFonts w:ascii="Times New Roman" w:eastAsia="Times New Roman" w:hAnsi="Times New Roman" w:cs="Times New Roman"/>
          <w:color w:val="000000" w:themeColor="text1"/>
        </w:rPr>
        <w:t xml:space="preserve"> the estimation errors common in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Fan, 2025). This predictive integration facilitates active rebalancing and improves portfolio robustness during volatile periods, yielding performance that consistently surpasses passive benchmarks like the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or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strategies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w:t>
      </w:r>
    </w:p>
    <w:p w14:paraId="0A096E87" w14:textId="5224E4E6"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2.1.4 Machine Learning in Financial Forecasting </w:t>
      </w:r>
    </w:p>
    <w:p w14:paraId="7955F25D" w14:textId="191890E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While traditional econometric models such as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have historically served as the foundation for financial time series analysis, their reliance on linear assumptions often limits their effectiveness in capturing the chaotic and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nature of stock market volatility (San, 2025; </w:t>
      </w:r>
      <w:proofErr w:type="spellStart"/>
      <w:r w:rsidRPr="47575B0A">
        <w:rPr>
          <w:rFonts w:ascii="Times New Roman" w:eastAsia="Times New Roman" w:hAnsi="Times New Roman" w:cs="Times New Roman"/>
          <w:color w:val="000000" w:themeColor="text1"/>
        </w:rPr>
        <w:t>Ajiga</w:t>
      </w:r>
      <w:proofErr w:type="spellEnd"/>
      <w:r w:rsidRPr="47575B0A">
        <w:rPr>
          <w:rFonts w:ascii="Times New Roman" w:eastAsia="Times New Roman" w:hAnsi="Times New Roman" w:cs="Times New Roman"/>
          <w:color w:val="000000" w:themeColor="text1"/>
        </w:rPr>
        <w:t xml:space="preserve"> et al., 2024). Recent studies suggest that financial markets exhibit complex, dynamic behaviors that rigid statistical models struggle to approximate (Zhang, 2025). </w:t>
      </w:r>
    </w:p>
    <w:p w14:paraId="38F79626" w14:textId="18F2A33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there has been a paradigm shift toward Machine Learning (ML) and Deep Learning (DL) methodologies, which offer superior flexibility in modeling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 and identifying latent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patterns without strict distributional assumptions (Chao, 2024;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w:t>
      </w:r>
      <w:r w:rsidRPr="47575B0A">
        <w:rPr>
          <w:rFonts w:ascii="Times New Roman" w:eastAsia="Times New Roman" w:hAnsi="Times New Roman" w:cs="Times New Roman"/>
          <w:color w:val="000000" w:themeColor="text1"/>
        </w:rPr>
        <w:lastRenderedPageBreak/>
        <w:t>al., 2019). Parallel to deep learning, tree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methods such as Random Forest (RF) and </w:t>
      </w:r>
      <w:proofErr w:type="spellStart"/>
      <w:r w:rsidRPr="47575B0A">
        <w:rPr>
          <w:rFonts w:ascii="Times New Roman" w:eastAsia="Times New Roman" w:hAnsi="Times New Roman" w:cs="Times New Roman"/>
          <w:color w:val="000000" w:themeColor="text1"/>
        </w:rPr>
        <w:t>eXtreme</w:t>
      </w:r>
      <w:proofErr w:type="spellEnd"/>
      <w:r w:rsidRPr="47575B0A">
        <w:rPr>
          <w:rFonts w:ascii="Times New Roman" w:eastAsia="Times New Roman" w:hAnsi="Times New Roman" w:cs="Times New Roman"/>
          <w:color w:val="000000" w:themeColor="text1"/>
        </w:rPr>
        <w:t xml:space="preserve"> Gradient Boosting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have gained traction for their ability to handle noisy data and prevent overfitting through bagging and boosting mechanisms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Chen, 2025). The integration of these techniques into portfolio optimization models </w:t>
      </w:r>
      <w:r w:rsidR="08951177" w:rsidRPr="47575B0A">
        <w:rPr>
          <w:rFonts w:ascii="Times New Roman" w:eastAsia="Times New Roman" w:hAnsi="Times New Roman" w:cs="Times New Roman"/>
          <w:color w:val="000000" w:themeColor="text1"/>
        </w:rPr>
        <w:t>enhances</w:t>
      </w:r>
      <w:r w:rsidRPr="47575B0A">
        <w:rPr>
          <w:rFonts w:ascii="Times New Roman" w:eastAsia="Times New Roman" w:hAnsi="Times New Roman" w:cs="Times New Roman"/>
          <w:color w:val="000000" w:themeColor="text1"/>
        </w:rPr>
        <w:t xml:space="preserve"> asset allocation decisions by providing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returns estimates and improving the balance between risk and return in portfolio performance.</w:t>
      </w:r>
    </w:p>
    <w:p w14:paraId="26390900" w14:textId="670EB52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2.1.5 Nigerian Exchange Group (NGX) market characteristics </w:t>
      </w:r>
    </w:p>
    <w:p w14:paraId="3D5FD03C" w14:textId="2BC1E4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
    <w:p w14:paraId="2727566D" w14:textId="2A93D8F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fundamental characteristic of returns on the NGX is their significant deviation from the normal distribution</w:t>
      </w:r>
      <w:r w:rsidR="03C4DF86" w:rsidRPr="47575B0A">
        <w:rPr>
          <w:rFonts w:ascii="Times New Roman" w:eastAsia="Times New Roman" w:hAnsi="Times New Roman" w:cs="Times New Roman"/>
          <w:color w:val="000000" w:themeColor="text1"/>
        </w:rPr>
        <w:t>. A</w:t>
      </w:r>
      <w:r w:rsidRPr="47575B0A">
        <w:rPr>
          <w:rFonts w:ascii="Times New Roman" w:eastAsia="Times New Roman" w:hAnsi="Times New Roman" w:cs="Times New Roman"/>
          <w:color w:val="000000" w:themeColor="text1"/>
        </w:rPr>
        <w:t xml:space="preserve"> stylized fact consistent with the Efficient Market Hypothesis (EMH) critiques in emerging markets. Empirical analyses of the </w:t>
      </w:r>
      <w:r w:rsidR="3C5A9EFC" w:rsidRPr="47575B0A">
        <w:rPr>
          <w:rFonts w:ascii="Times New Roman" w:eastAsia="Times New Roman" w:hAnsi="Times New Roman" w:cs="Times New Roman"/>
          <w:color w:val="000000" w:themeColor="text1"/>
        </w:rPr>
        <w:t>All</w:t>
      </w:r>
      <w:r w:rsidR="3CB00BA7" w:rsidRPr="47575B0A">
        <w:rPr>
          <w:rFonts w:ascii="Times New Roman" w:eastAsia="Times New Roman" w:hAnsi="Times New Roman" w:cs="Times New Roman"/>
          <w:color w:val="000000" w:themeColor="text1"/>
        </w:rPr>
        <w:t>-</w:t>
      </w:r>
      <w:r w:rsidR="3C5A9EFC" w:rsidRPr="47575B0A">
        <w:rPr>
          <w:rFonts w:ascii="Times New Roman" w:eastAsia="Times New Roman" w:hAnsi="Times New Roman" w:cs="Times New Roman"/>
          <w:color w:val="000000" w:themeColor="text1"/>
        </w:rPr>
        <w:t>Share</w:t>
      </w:r>
      <w:r w:rsidRPr="47575B0A">
        <w:rPr>
          <w:rFonts w:ascii="Times New Roman" w:eastAsia="Times New Roman" w:hAnsi="Times New Roman" w:cs="Times New Roman"/>
          <w:color w:val="000000" w:themeColor="text1"/>
        </w:rPr>
        <w:t xml:space="preserve"> Index (ASI) consistently reject the Gaussian assumption, revealing that return distributions are leptokurtic</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possessing higher peaks and heavier tails (fat tails) than a normal distribution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This implies that extreme market events and outliers occur more frequently in the Nigerian market than standard linear models would predict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NGX returns often exhibit positive skewness, indicating that the distribution of returns is not symmetric and may be influenced by occasional large positive gains, although the market remains highly volatile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w:t>
      </w:r>
    </w:p>
    <w:p w14:paraId="73F2D2B1" w14:textId="4B53031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All these pose investment challenges to investments in Nigerian equities. Historical precedents, such as the 2014 oil price crash and the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demonstrate how external crises can trigger severe market downturns, </w:t>
      </w:r>
      <w:r w:rsidR="563E7CB1" w:rsidRPr="47575B0A">
        <w:rPr>
          <w:rFonts w:ascii="Times New Roman" w:eastAsia="Times New Roman" w:hAnsi="Times New Roman" w:cs="Times New Roman"/>
          <w:color w:val="000000" w:themeColor="text1"/>
        </w:rPr>
        <w:t>disrupt</w:t>
      </w:r>
      <w:r w:rsidRPr="47575B0A">
        <w:rPr>
          <w:rFonts w:ascii="Times New Roman" w:eastAsia="Times New Roman" w:hAnsi="Times New Roman" w:cs="Times New Roman"/>
          <w:color w:val="000000" w:themeColor="text1"/>
        </w:rPr>
        <w:t xml:space="preserve"> market </w:t>
      </w:r>
      <w:r w:rsidR="3F73DB7A" w:rsidRPr="47575B0A">
        <w:rPr>
          <w:rFonts w:ascii="Times New Roman" w:eastAsia="Times New Roman" w:hAnsi="Times New Roman" w:cs="Times New Roman"/>
          <w:color w:val="000000" w:themeColor="text1"/>
        </w:rPr>
        <w:t>capitalization,</w:t>
      </w:r>
      <w:r w:rsidRPr="47575B0A">
        <w:rPr>
          <w:rFonts w:ascii="Times New Roman" w:eastAsia="Times New Roman" w:hAnsi="Times New Roman" w:cs="Times New Roman"/>
          <w:color w:val="000000" w:themeColor="text1"/>
        </w:rPr>
        <w:t xml:space="preserve"> and </w:t>
      </w:r>
      <w:r w:rsidR="3630184A" w:rsidRPr="47575B0A">
        <w:rPr>
          <w:rFonts w:ascii="Times New Roman" w:eastAsia="Times New Roman" w:hAnsi="Times New Roman" w:cs="Times New Roman"/>
          <w:color w:val="000000" w:themeColor="text1"/>
        </w:rPr>
        <w:t>erase</w:t>
      </w:r>
      <w:r w:rsidRPr="47575B0A">
        <w:rPr>
          <w:rFonts w:ascii="Times New Roman" w:eastAsia="Times New Roman" w:hAnsi="Times New Roman" w:cs="Times New Roman"/>
          <w:color w:val="000000" w:themeColor="text1"/>
        </w:rPr>
        <w:t xml:space="preserve"> investor wealth (</w:t>
      </w:r>
      <w:proofErr w:type="spellStart"/>
      <w:r w:rsidRPr="47575B0A">
        <w:rPr>
          <w:rFonts w:ascii="Times New Roman" w:eastAsia="Times New Roman" w:hAnsi="Times New Roman" w:cs="Times New Roman"/>
          <w:color w:val="000000" w:themeColor="text1"/>
        </w:rPr>
        <w:t>Fapetu</w:t>
      </w:r>
      <w:proofErr w:type="spellEnd"/>
      <w:r w:rsidRPr="47575B0A">
        <w:rPr>
          <w:rFonts w:ascii="Times New Roman" w:eastAsia="Times New Roman" w:hAnsi="Times New Roman" w:cs="Times New Roman"/>
          <w:color w:val="000000" w:themeColor="text1"/>
        </w:rPr>
        <w:t xml:space="preserve"> et al., 2021). Furthermore, the market is characterized by frequent structural breaks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abrupt shifts in market regimes caused by policy changes or economic shocks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complicate the application of traditional linear forecasting models and necessitate adaptive risk management strategies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w:t>
      </w:r>
    </w:p>
    <w:p w14:paraId="04AB6D6C" w14:textId="262D9FFE" w:rsidR="47575B0A" w:rsidRDefault="003D2D73" w:rsidP="00B61C71">
      <w:pPr>
        <w:spacing w:after="0" w:line="48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lang w:eastAsia="en-US"/>
        </w:rPr>
        <w:drawing>
          <wp:inline distT="0" distB="0" distL="0" distR="0" wp14:anchorId="00EFFBBD" wp14:editId="1BB6BAFE">
            <wp:extent cx="5943600" cy="29273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927350"/>
                    </a:xfrm>
                    <a:prstGeom prst="rect">
                      <a:avLst/>
                    </a:prstGeom>
                  </pic:spPr>
                </pic:pic>
              </a:graphicData>
            </a:graphic>
          </wp:inline>
        </w:drawing>
      </w:r>
    </w:p>
    <w:p w14:paraId="34794FDB" w14:textId="283FAAF4" w:rsidR="2799037F" w:rsidRPr="003D2D73" w:rsidRDefault="003D2D73" w:rsidP="00B61C71">
      <w:pPr>
        <w:spacing w:after="0" w:line="480" w:lineRule="auto"/>
        <w:jc w:val="both"/>
        <w:rPr>
          <w:rFonts w:ascii="Times New Roman" w:eastAsia="Times New Roman" w:hAnsi="Times New Roman" w:cs="Times New Roman"/>
          <w:i/>
          <w:color w:val="000000" w:themeColor="text1"/>
        </w:rPr>
      </w:pPr>
      <w:r>
        <w:rPr>
          <w:rFonts w:ascii="Times New Roman" w:eastAsia="Times New Roman" w:hAnsi="Times New Roman" w:cs="Times New Roman"/>
          <w:i/>
          <w:color w:val="000000" w:themeColor="text1"/>
        </w:rPr>
        <w:t xml:space="preserve">Figure 1: </w:t>
      </w:r>
      <w:r w:rsidRPr="003D2D73">
        <w:rPr>
          <w:rFonts w:ascii="Times New Roman" w:eastAsia="Times New Roman" w:hAnsi="Times New Roman" w:cs="Times New Roman"/>
          <w:i/>
          <w:color w:val="000000" w:themeColor="text1"/>
        </w:rPr>
        <w:t>Diagram showing flow of conceptual framework</w:t>
      </w:r>
      <w:r w:rsidR="36B93CDD" w:rsidRPr="003D2D73">
        <w:rPr>
          <w:rFonts w:ascii="Times New Roman" w:eastAsia="Times New Roman" w:hAnsi="Times New Roman" w:cs="Times New Roman"/>
          <w:i/>
          <w:color w:val="000000" w:themeColor="text1"/>
        </w:rPr>
        <w:t xml:space="preserve"> </w:t>
      </w:r>
    </w:p>
    <w:p w14:paraId="7406E591" w14:textId="77777777" w:rsidR="003D2D73" w:rsidRDefault="003D2D73" w:rsidP="00B61C71">
      <w:pPr>
        <w:spacing w:after="0" w:line="480" w:lineRule="auto"/>
        <w:jc w:val="both"/>
        <w:rPr>
          <w:rFonts w:ascii="Times New Roman" w:eastAsia="Times New Roman" w:hAnsi="Times New Roman" w:cs="Times New Roman"/>
          <w:b/>
          <w:bCs/>
          <w:color w:val="000000" w:themeColor="text1"/>
        </w:rPr>
      </w:pPr>
    </w:p>
    <w:p w14:paraId="17485302" w14:textId="3769DF3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 Theoretical Framework</w:t>
      </w:r>
    </w:p>
    <w:p w14:paraId="6424F7B3" w14:textId="6FFDF4F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14:paraId="6C531D96" w14:textId="3196110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2.2.1 Modern Portfolio Theory (MPT)</w:t>
      </w:r>
    </w:p>
    <w:p w14:paraId="2B68C834" w14:textId="1559250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offs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w:t>
      </w:r>
    </w:p>
    <w:p w14:paraId="7DA10C74" w14:textId="3E2DCE6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its theoretical foundational status, the practical implementation of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is severely compromised by its inherent sensitivity to estimation errors in the input parameters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specifically the expected return vector and the covariance matrix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 In standard practice, these parameters are unknown and are typically substituted with sample estimates derived from historical data. However, the optimization algorithm treats these estimates as true values, failing to account for parameter uncertainty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Chen, 2025). This leads to a phenomenon where the model acts as an error maximizer, aggressively allocating capital to assets with extreme estimation errors, which results in unstable, corner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solution portfolios that lack diversification (Job, 2022;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w:t>
      </w:r>
    </w:p>
    <w:p w14:paraId="6C37E62C" w14:textId="33E93CF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portfolios optimized under the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frequently exhibit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often failing to outperform simple heuristic benchmarks such as the naive 1/N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strategy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w:t>
      </w:r>
    </w:p>
    <w:p w14:paraId="6129566A" w14:textId="4541FB5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2.2.2 Post Modern Portfolio Theory (PMPT)</w:t>
      </w:r>
    </w:p>
    <w:p w14:paraId="4C06FFC4" w14:textId="183B9E1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led to the adoption of asymmetric risk measures like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14:paraId="350D4F71" w14:textId="5603B5C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 By moving away from standard deviation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penalizes upside potential just as much as downside loss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PMPT allows for the construction of portfolios that seek to capture growth during bull markets while specifically minimizing exposure to structural breaks and crashes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w:t>
      </w:r>
    </w:p>
    <w:p w14:paraId="1DC99A64" w14:textId="321E3716"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theoretical evolution of measuring downside risk acts as a bridge between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metrics like 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While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looks at the volatility of losses,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(also known as Expected Shortfall) takes this a step further by estimating the expected magnitude of a loss once a catastrophic threshold has been breached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Unlike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simply acts as a cut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point,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w:t>
      </w:r>
      <w:r w:rsidRPr="47575B0A">
        <w:rPr>
          <w:rFonts w:ascii="Times New Roman" w:eastAsia="Times New Roman" w:hAnsi="Times New Roman" w:cs="Times New Roman"/>
          <w:color w:val="000000" w:themeColor="text1"/>
        </w:rPr>
        <w:lastRenderedPageBreak/>
        <w:t>mathematically coherent, meaning it accounts for the severity of tail events and ensures that diversifying a portfolio does not theoretically increase its risk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Consequently, modern optimization frameworks have largely transitioned to Mean</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models, which offer a more robust defense against the heavy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risks inherent in volatile markets like the Nigerian Exchange Group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xml:space="preserve"> &amp; Camacho, 2025).</w:t>
      </w:r>
    </w:p>
    <w:p w14:paraId="0EE0999D" w14:textId="16F075C0"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2.2.3 Statistical Learning Theory </w:t>
      </w:r>
    </w:p>
    <w:p w14:paraId="7F80B87E" w14:textId="00A97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Statistical learning theory offers a mathematical basis for understanding how machine learning algorithms estimate functional relationships between variables. Unlike traditional econometrics, which often starts with a rigid, pre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defined structure (like a linear regression equation), machine learning treats the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generating process as an unknown function that maps input variables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past returns or macroeconomic indicators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to an output, like future stock prices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Chao, 2024). The goal is to use computational power to approximate this complex function by iterating through training data, allowing the model to learn the structure of the data rather than having it imposed by the researcher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This flexibility allows these models to utilize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datasets and extract meaningful signals from noise, a capability that is particularly valuable in financial markets where relationships are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(Zhang, 2025).</w:t>
      </w:r>
    </w:p>
    <w:p w14:paraId="2DE811F2" w14:textId="054ADBB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central concept in optimizing these models is the bias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2019). On the other hand, if a model is too complex, it exhibits high variance, meaning it is so sensitive that it captures random noise and specific quirks of the training data rather than the true economic signal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The objective of statistical learning is to find the optimal balance </w:t>
      </w:r>
      <w:r w:rsidRPr="47575B0A">
        <w:rPr>
          <w:rFonts w:ascii="Times New Roman" w:eastAsia="Times New Roman" w:hAnsi="Times New Roman" w:cs="Times New Roman"/>
          <w:color w:val="000000" w:themeColor="text1"/>
        </w:rPr>
        <w:lastRenderedPageBreak/>
        <w:t>point where the total error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comprising both bias and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is minimized, ensuring the model is flexible enough to capture trends but rigid enough to ignore irrelevant noise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w:t>
      </w:r>
    </w:p>
    <w:p w14:paraId="013BFD8A" w14:textId="2CE6DA8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Closely related to variance is the risk of overfitting, a scenario where a model performs exceptionally well on historical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essentially memorizing it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but fails to </w:t>
      </w:r>
      <w:r w:rsidR="37BA8959" w:rsidRPr="47575B0A">
        <w:rPr>
          <w:rFonts w:ascii="Times New Roman" w:eastAsia="Times New Roman" w:hAnsi="Times New Roman" w:cs="Times New Roman"/>
          <w:color w:val="000000" w:themeColor="text1"/>
        </w:rPr>
        <w:t>generalize</w:t>
      </w:r>
      <w:r w:rsidRPr="47575B0A">
        <w:rPr>
          <w:rFonts w:ascii="Times New Roman" w:eastAsia="Times New Roman" w:hAnsi="Times New Roman" w:cs="Times New Roman"/>
          <w:color w:val="000000" w:themeColor="text1"/>
        </w:rPr>
        <w:t xml:space="preserve"> new, unseen data. In the context of financial time series, this occurs when an algorithm mistakes random market fluctuations for predictable patterns, leading to poor performance when applied to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trading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 Yu, 2024). To prevent this, researchers employ regularization techniques, which mathematically penalize models for becoming too complex, effectively shrinking the estimated parameters to prevent them from reacting to noise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xml:space="preserve">., 2019;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Furthermore, the generalization capability of a model is rigorously tested by splitting data into distinct training, validation, and testing sets, ensuring that the reported accuracy reflects true predictive power rather than in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optimization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74D2859F" w14:textId="6E85B90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advantage of machine learning lies in its universal approximation property, which allows it to model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data structures that rigid econometric frameworks fail to capture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While traditional linear models struggle with stylized facts like heavy tails, algorithms such as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LSTM autonomously identify latent dependencies in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environments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This flexibility ensures robustness against shifting market regimes, effectively reducing model misspecification risks compared to static statistical approaches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w:t>
      </w:r>
    </w:p>
    <w:p w14:paraId="2DB2FA96" w14:textId="040FED2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 Empirical Framework</w:t>
      </w:r>
    </w:p>
    <w:p w14:paraId="28F79DF3" w14:textId="77FEDB2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This section of the literature review offers a summary of the connection between portfolio optimization </w:t>
      </w:r>
      <w:proofErr w:type="spellStart"/>
      <w:r w:rsidRPr="47575B0A">
        <w:rPr>
          <w:rFonts w:ascii="Times New Roman" w:eastAsia="Times New Roman" w:hAnsi="Times New Roman" w:cs="Times New Roman"/>
          <w:color w:val="000000" w:themeColor="text1"/>
        </w:rPr>
        <w:t>techniques</w:t>
      </w:r>
      <w:proofErr w:type="gramStart"/>
      <w:r w:rsidRPr="47575B0A">
        <w:rPr>
          <w:rFonts w:ascii="Times New Roman" w:eastAsia="Times New Roman" w:hAnsi="Times New Roman" w:cs="Times New Roman"/>
          <w:color w:val="000000" w:themeColor="text1"/>
        </w:rPr>
        <w:t>,equity</w:t>
      </w:r>
      <w:proofErr w:type="spellEnd"/>
      <w:proofErr w:type="gramEnd"/>
      <w:r w:rsidRPr="47575B0A">
        <w:rPr>
          <w:rFonts w:ascii="Times New Roman" w:eastAsia="Times New Roman" w:hAnsi="Times New Roman" w:cs="Times New Roman"/>
          <w:color w:val="000000" w:themeColor="text1"/>
        </w:rPr>
        <w:t xml:space="preserve"> return forecasting and integrated forecasting approach and their individual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 performance.</w:t>
      </w:r>
    </w:p>
    <w:p w14:paraId="7E34DF90" w14:textId="29A4D0D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2.3.1 Mean</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Variance Portfolio Optimization</w:t>
      </w:r>
    </w:p>
    <w:p w14:paraId="26A2D400" w14:textId="649621B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developed markets, studies show that </w:t>
      </w:r>
      <w:r w:rsidR="58C7E87A" w:rsidRPr="47575B0A">
        <w:rPr>
          <w:rFonts w:ascii="Times New Roman" w:eastAsia="Times New Roman" w:hAnsi="Times New Roman" w:cs="Times New Roman"/>
          <w:color w:val="000000" w:themeColor="text1"/>
        </w:rPr>
        <w:t>the MV</w:t>
      </w:r>
      <w:r w:rsidRPr="47575B0A">
        <w:rPr>
          <w:rFonts w:ascii="Times New Roman" w:eastAsia="Times New Roman" w:hAnsi="Times New Roman" w:cs="Times New Roman"/>
          <w:color w:val="000000" w:themeColor="text1"/>
        </w:rPr>
        <w:t xml:space="preserve"> model doesn't always outperform naive approaches such as </w:t>
      </w:r>
      <w:r w:rsidR="78E0ED55" w:rsidRPr="47575B0A">
        <w:rPr>
          <w:rFonts w:ascii="Times New Roman" w:eastAsia="Times New Roman" w:hAnsi="Times New Roman" w:cs="Times New Roman"/>
          <w:color w:val="000000" w:themeColor="text1"/>
        </w:rPr>
        <w:t>an equally</w:t>
      </w:r>
      <w:r w:rsidRPr="47575B0A">
        <w:rPr>
          <w:rFonts w:ascii="Times New Roman" w:eastAsia="Times New Roman" w:hAnsi="Times New Roman" w:cs="Times New Roman"/>
          <w:color w:val="000000" w:themeColor="text1"/>
        </w:rPr>
        <w:t xml:space="preserve"> weighted portfolio in terms </w:t>
      </w:r>
      <w:r w:rsidR="33022F81" w:rsidRPr="47575B0A">
        <w:rPr>
          <w:rFonts w:ascii="Times New Roman" w:eastAsia="Times New Roman" w:hAnsi="Times New Roman" w:cs="Times New Roman"/>
          <w:color w:val="000000" w:themeColor="text1"/>
        </w:rPr>
        <w:t>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(like </w:t>
      </w:r>
      <w:r w:rsidR="530C5D0F" w:rsidRPr="47575B0A">
        <w:rPr>
          <w:rFonts w:ascii="Times New Roman" w:eastAsia="Times New Roman" w:hAnsi="Times New Roman" w:cs="Times New Roman"/>
          <w:color w:val="000000" w:themeColor="text1"/>
        </w:rPr>
        <w:t>Sharpe</w:t>
      </w:r>
      <w:r w:rsidRPr="47575B0A">
        <w:rPr>
          <w:rFonts w:ascii="Times New Roman" w:eastAsia="Times New Roman" w:hAnsi="Times New Roman" w:cs="Times New Roman"/>
          <w:color w:val="000000" w:themeColor="text1"/>
        </w:rPr>
        <w:t xml:space="preserve"> ratio). In the US equity market, </w:t>
      </w:r>
      <w:r w:rsidR="2C35173F" w:rsidRPr="47575B0A">
        <w:rPr>
          <w:rFonts w:ascii="Times New Roman" w:eastAsia="Times New Roman" w:hAnsi="Times New Roman" w:cs="Times New Roman"/>
          <w:color w:val="000000" w:themeColor="text1"/>
        </w:rPr>
        <w:t>the naive</w:t>
      </w:r>
      <w:r w:rsidRPr="47575B0A">
        <w:rPr>
          <w:rFonts w:ascii="Times New Roman" w:eastAsia="Times New Roman" w:hAnsi="Times New Roman" w:cs="Times New Roman"/>
          <w:color w:val="000000" w:themeColor="text1"/>
        </w:rPr>
        <w:t xml:space="preserve"> approach is quite </w:t>
      </w:r>
      <w:r w:rsidR="5545CF9A" w:rsidRPr="47575B0A">
        <w:rPr>
          <w:rFonts w:ascii="Times New Roman" w:eastAsia="Times New Roman" w:hAnsi="Times New Roman" w:cs="Times New Roman"/>
          <w:color w:val="000000" w:themeColor="text1"/>
        </w:rPr>
        <w:t>competitive</w:t>
      </w:r>
      <w:r w:rsidRPr="47575B0A">
        <w:rPr>
          <w:rFonts w:ascii="Times New Roman" w:eastAsia="Times New Roman" w:hAnsi="Times New Roman" w:cs="Times New Roman"/>
          <w:color w:val="000000" w:themeColor="text1"/>
        </w:rPr>
        <w:t xml:space="preserve"> </w:t>
      </w:r>
      <w:r w:rsidR="70B11029" w:rsidRPr="47575B0A">
        <w:rPr>
          <w:rFonts w:ascii="Times New Roman" w:eastAsia="Times New Roman" w:hAnsi="Times New Roman" w:cs="Times New Roman"/>
          <w:color w:val="000000" w:themeColor="text1"/>
        </w:rPr>
        <w:t>and, in some cases,</w:t>
      </w:r>
      <w:r w:rsidRPr="47575B0A">
        <w:rPr>
          <w:rFonts w:ascii="Times New Roman" w:eastAsia="Times New Roman" w:hAnsi="Times New Roman" w:cs="Times New Roman"/>
          <w:color w:val="000000" w:themeColor="text1"/>
        </w:rPr>
        <w:t xml:space="preserve"> outperformed where the number of assets is large and unsystematic risk is low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Additionally, in other studies where unsystematic risk was higher, it is observed to achieve superior returns even during bearish markets showing the mean variance portfolio outshined naive approach due to proper diversification of unsystematic risk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w:t>
      </w:r>
    </w:p>
    <w:p w14:paraId="07317898" w14:textId="5E30E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emerging markets, the MV model didn't perform as well due to issues like high volatility and low liquidity. According to (Job, </w:t>
      </w:r>
      <w:r w:rsidR="63BB2A20" w:rsidRPr="47575B0A">
        <w:rPr>
          <w:rFonts w:ascii="Times New Roman" w:eastAsia="Times New Roman" w:hAnsi="Times New Roman" w:cs="Times New Roman"/>
          <w:color w:val="000000" w:themeColor="text1"/>
        </w:rPr>
        <w:t>2022,</w:t>
      </w:r>
      <w:r w:rsidRPr="47575B0A">
        <w:rPr>
          <w:rFonts w:ascii="Times New Roman" w:eastAsia="Times New Roman" w:hAnsi="Times New Roman" w:cs="Times New Roman"/>
          <w:color w:val="000000" w:themeColor="text1"/>
        </w:rPr>
        <w:t xml:space="preserve"> using the MSCI Emerging and Frontier Market Index, show that the index outperformed optimization models underscoring the need for better downside risk management and the importance of emerging markets in the world economy.</w:t>
      </w:r>
    </w:p>
    <w:p w14:paraId="190EE3CA" w14:textId="62770DF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failure of the MV model in emerging markets stems from its extreme sensitivity to estimation errors in the input parameters and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instability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w:t>
      </w:r>
      <w:proofErr w:type="gramStart"/>
      <w:r w:rsidRPr="47575B0A">
        <w:rPr>
          <w:rFonts w:ascii="Times New Roman" w:eastAsia="Times New Roman" w:hAnsi="Times New Roman" w:cs="Times New Roman"/>
          <w:color w:val="000000" w:themeColor="text1"/>
        </w:rPr>
        <w:t>,</w:t>
      </w:r>
      <w:r w:rsidR="4202D795" w:rsidRPr="47575B0A">
        <w:rPr>
          <w:rFonts w:ascii="Times New Roman" w:eastAsia="Times New Roman" w:hAnsi="Times New Roman" w:cs="Times New Roman"/>
          <w:color w:val="000000" w:themeColor="text1"/>
        </w:rPr>
        <w:t>2022</w:t>
      </w:r>
      <w:proofErr w:type="gramEnd"/>
      <w:r w:rsidR="4202D795" w:rsidRPr="47575B0A">
        <w:rPr>
          <w:rFonts w:ascii="Times New Roman" w:eastAsia="Times New Roman" w:hAnsi="Times New Roman" w:cs="Times New Roman"/>
          <w:color w:val="000000" w:themeColor="text1"/>
        </w:rPr>
        <w:t xml:space="preserve">; </w:t>
      </w:r>
      <w:proofErr w:type="spellStart"/>
      <w:r w:rsidR="4202D795" w:rsidRPr="47575B0A">
        <w:rPr>
          <w:rFonts w:ascii="Times New Roman" w:eastAsia="Times New Roman" w:hAnsi="Times New Roman" w:cs="Times New Roman"/>
          <w:color w:val="000000" w:themeColor="text1"/>
        </w:rPr>
        <w:t>Rigamonti</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Lučivjanská</w:t>
      </w:r>
      <w:proofErr w:type="spellEnd"/>
      <w:r w:rsidRPr="47575B0A">
        <w:rPr>
          <w:rFonts w:ascii="Times New Roman" w:eastAsia="Times New Roman" w:hAnsi="Times New Roman" w:cs="Times New Roman"/>
          <w:color w:val="000000" w:themeColor="text1"/>
        </w:rPr>
        <w:t xml:space="preserve">, 2021). Consequently, the reliance on historical sample means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without </w:t>
      </w:r>
      <w:proofErr w:type="spellStart"/>
      <w:r w:rsidRPr="47575B0A">
        <w:rPr>
          <w:rFonts w:ascii="Times New Roman" w:eastAsia="Times New Roman" w:hAnsi="Times New Roman" w:cs="Times New Roman"/>
          <w:color w:val="000000" w:themeColor="text1"/>
        </w:rPr>
        <w:t>robustification</w:t>
      </w:r>
      <w:proofErr w:type="spellEnd"/>
      <w:r w:rsidRPr="47575B0A">
        <w:rPr>
          <w:rFonts w:ascii="Times New Roman" w:eastAsia="Times New Roman" w:hAnsi="Times New Roman" w:cs="Times New Roman"/>
          <w:color w:val="000000" w:themeColor="text1"/>
        </w:rPr>
        <w:t xml:space="preserve"> renders the traditional MV weak and inferior to naive approaches in practical applications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Based on these studies, it shows a need for more adaptive and downside </w:t>
      </w:r>
      <w:r w:rsidR="6CC5E44C"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6CC5E44C" w:rsidRPr="47575B0A">
        <w:rPr>
          <w:rFonts w:ascii="Times New Roman" w:eastAsia="Times New Roman" w:hAnsi="Times New Roman" w:cs="Times New Roman"/>
          <w:color w:val="000000" w:themeColor="text1"/>
        </w:rPr>
        <w:t>aware</w:t>
      </w:r>
      <w:r w:rsidRPr="47575B0A">
        <w:rPr>
          <w:rFonts w:ascii="Times New Roman" w:eastAsia="Times New Roman" w:hAnsi="Times New Roman" w:cs="Times New Roman"/>
          <w:color w:val="000000" w:themeColor="text1"/>
        </w:rPr>
        <w:t xml:space="preserve"> techniques for portfolio optimization.</w:t>
      </w:r>
    </w:p>
    <w:p w14:paraId="711BD872" w14:textId="6BA321A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2.3.2 </w:t>
      </w:r>
      <w:proofErr w:type="spellStart"/>
      <w:r w:rsidRPr="47575B0A">
        <w:rPr>
          <w:rFonts w:ascii="Times New Roman" w:eastAsia="Times New Roman" w:hAnsi="Times New Roman" w:cs="Times New Roman"/>
          <w:b/>
          <w:bCs/>
          <w:color w:val="000000" w:themeColor="text1"/>
        </w:rPr>
        <w:t>VaR</w:t>
      </w:r>
      <w:proofErr w:type="spellEnd"/>
      <w:r w:rsidRPr="47575B0A">
        <w:rPr>
          <w:rFonts w:ascii="Times New Roman" w:eastAsia="Times New Roman" w:hAnsi="Times New Roman" w:cs="Times New Roman"/>
          <w:b/>
          <w:bCs/>
          <w:color w:val="000000" w:themeColor="text1"/>
        </w:rPr>
        <w:t xml:space="preserve"> and </w:t>
      </w:r>
      <w:proofErr w:type="spellStart"/>
      <w:r w:rsidRPr="47575B0A">
        <w:rPr>
          <w:rFonts w:ascii="Times New Roman" w:eastAsia="Times New Roman" w:hAnsi="Times New Roman" w:cs="Times New Roman"/>
          <w:b/>
          <w:bCs/>
          <w:color w:val="000000" w:themeColor="text1"/>
        </w:rPr>
        <w:t>CVaR</w:t>
      </w:r>
      <w:proofErr w:type="spellEnd"/>
      <w:r w:rsidRPr="47575B0A">
        <w:rPr>
          <w:rFonts w:ascii="Times New Roman" w:eastAsia="Times New Roman" w:hAnsi="Times New Roman" w:cs="Times New Roman"/>
          <w:b/>
          <w:bCs/>
          <w:color w:val="000000" w:themeColor="text1"/>
        </w:rPr>
        <w:t xml:space="preserve"> Based Portfolio Models</w:t>
      </w:r>
    </w:p>
    <w:p w14:paraId="1FD19B34" w14:textId="3756B40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has become a widely accepted benchmark for measuring financial risk, endorsed by the financial regulatory </w:t>
      </w:r>
      <w:r w:rsidR="5EE0DA64" w:rsidRPr="47575B0A">
        <w:rPr>
          <w:rFonts w:ascii="Times New Roman" w:eastAsia="Times New Roman" w:hAnsi="Times New Roman" w:cs="Times New Roman"/>
          <w:color w:val="000000" w:themeColor="text1"/>
        </w:rPr>
        <w:t>body of</w:t>
      </w:r>
      <w:r w:rsidRPr="47575B0A">
        <w:rPr>
          <w:rFonts w:ascii="Times New Roman" w:eastAsia="Times New Roman" w:hAnsi="Times New Roman" w:cs="Times New Roman"/>
          <w:color w:val="000000" w:themeColor="text1"/>
        </w:rPr>
        <w:t xml:space="preserve"> Basel Committee on Banking Supervision (BCBS) when it was made a supplement to credit risk measure in the Basel II Accord.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a measure used to determine downside risk when it was initially designed to be used for risk assessment in financial institutions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w:t>
      </w:r>
      <w:r w:rsidR="51DDBDD4" w:rsidRPr="47575B0A">
        <w:rPr>
          <w:rFonts w:ascii="Times New Roman" w:eastAsia="Times New Roman" w:hAnsi="Times New Roman" w:cs="Times New Roman"/>
          <w:color w:val="000000" w:themeColor="text1"/>
        </w:rPr>
        <w:t>, 2020</w:t>
      </w:r>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w:t>
      </w:r>
    </w:p>
    <w:p w14:paraId="63FC3AEA" w14:textId="0A26EFC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However, even though it has been used for decades as the standard for measuring tail risk, it lacked efficiency during economic crisis such as the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and the 2008 global financial crisis. This can be traced to its simplistic assumptions that </w:t>
      </w:r>
      <w:r w:rsidR="4A1B2149" w:rsidRPr="47575B0A">
        <w:rPr>
          <w:rFonts w:ascii="Times New Roman" w:eastAsia="Times New Roman" w:hAnsi="Times New Roman" w:cs="Times New Roman"/>
          <w:color w:val="000000" w:themeColor="text1"/>
        </w:rPr>
        <w:t>are</w:t>
      </w:r>
      <w:r w:rsidRPr="47575B0A">
        <w:rPr>
          <w:rFonts w:ascii="Times New Roman" w:eastAsia="Times New Roman" w:hAnsi="Times New Roman" w:cs="Times New Roman"/>
          <w:color w:val="000000" w:themeColor="text1"/>
        </w:rPr>
        <w:t xml:space="preserve"> summed in the phrase by </w:t>
      </w:r>
      <w:proofErr w:type="spellStart"/>
      <w:r w:rsidR="4E7590E8" w:rsidRPr="47575B0A">
        <w:rPr>
          <w:rFonts w:ascii="Times New Roman" w:eastAsia="Times New Roman" w:hAnsi="Times New Roman" w:cs="Times New Roman"/>
          <w:color w:val="000000" w:themeColor="text1"/>
        </w:rPr>
        <w:t>Einhorn</w:t>
      </w:r>
      <w:proofErr w:type="spellEnd"/>
      <w:r w:rsidRPr="47575B0A">
        <w:rPr>
          <w:rFonts w:ascii="Times New Roman" w:eastAsia="Times New Roman" w:hAnsi="Times New Roman" w:cs="Times New Roman"/>
          <w:color w:val="000000" w:themeColor="text1"/>
        </w:rPr>
        <w:t xml:space="preserve"> and Brown in 2008, where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compared to "an airbag that works all the time, except when you have a car accident"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major challenges such </w:t>
      </w:r>
      <w:r w:rsidR="4C10EF5C" w:rsidRPr="47575B0A">
        <w:rPr>
          <w:rFonts w:ascii="Times New Roman" w:eastAsia="Times New Roman" w:hAnsi="Times New Roman" w:cs="Times New Roman"/>
          <w:color w:val="000000" w:themeColor="text1"/>
        </w:rPr>
        <w:t>as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additivity, inadequate percentile of distribution tail loss amongst others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w:t>
      </w:r>
    </w:p>
    <w:p w14:paraId="15B0EC7B" w14:textId="1771624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on the other hand acts as a step up since it is derived from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but improves coherence properties and satisfies the shortcomings of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like subadditivity and convexity properties enabling it to better handle tail risk and achieving a higher accumulated risk</w:t>
      </w:r>
      <w:r w:rsidR="3CB00BA7" w:rsidRPr="47575B0A">
        <w:rPr>
          <w:rFonts w:ascii="Times New Roman" w:eastAsia="Times New Roman" w:hAnsi="Times New Roman" w:cs="Times New Roman"/>
          <w:color w:val="000000" w:themeColor="text1"/>
        </w:rPr>
        <w:t>-</w:t>
      </w:r>
      <w:r w:rsidR="00E87707">
        <w:rPr>
          <w:rFonts w:ascii="Times New Roman" w:eastAsia="Times New Roman" w:hAnsi="Times New Roman" w:cs="Times New Roman"/>
          <w:color w:val="000000" w:themeColor="text1"/>
        </w:rPr>
        <w:t>adjusted returns</w:t>
      </w:r>
      <w:r w:rsidRPr="47575B0A">
        <w:rPr>
          <w:rFonts w:ascii="Times New Roman" w:eastAsia="Times New Roman" w:hAnsi="Times New Roman" w:cs="Times New Roman"/>
          <w:color w:val="000000" w:themeColor="text1"/>
        </w:rPr>
        <w:t xml:space="preserve">. According to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achieves superior returns compared to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underscoring a more accurate measurement of financial risk.</w:t>
      </w:r>
    </w:p>
    <w:p w14:paraId="0D3D70C3" w14:textId="106091B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2.3.3 Integrated Forecasting and Optimization Models</w:t>
      </w:r>
    </w:p>
    <w:p w14:paraId="7FCB004E" w14:textId="5871EE0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markets are volatile and complex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In contrast, advanced algorithms like Random Forest and Neural </w:t>
      </w:r>
      <w:r w:rsidRPr="47575B0A">
        <w:rPr>
          <w:rFonts w:ascii="Times New Roman" w:eastAsia="Times New Roman" w:hAnsi="Times New Roman" w:cs="Times New Roman"/>
          <w:color w:val="000000" w:themeColor="text1"/>
        </w:rPr>
        <w:lastRenderedPageBreak/>
        <w:t>Networks are designed to identify intricate,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patterns that standard models miss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For example, San (2025) found that Random Forest models achieved significantly lower error rates (RMSE) compared to the hybrid ARIMA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GARCH model because they could handle market noise and outliers much better. Similarly,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demonstrated that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Term Memory (LSTM) networks provided much more accurate predictions than traditional statistical methods, both in estimating price values and predicting the direction of the market.</w:t>
      </w:r>
    </w:p>
    <w:p w14:paraId="5FD8D2FA" w14:textId="206881CB" w:rsidR="5C9F92AA" w:rsidRDefault="04A6D857"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Building</w:t>
      </w:r>
      <w:r w:rsidR="36B93CDD" w:rsidRPr="47575B0A">
        <w:rPr>
          <w:rFonts w:ascii="Times New Roman" w:eastAsia="Times New Roman" w:hAnsi="Times New Roman" w:cs="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which assume the future will look like the past</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these frameworks use the predicted returns generated by ML models as the inputs for the optimization process (</w:t>
      </w:r>
      <w:proofErr w:type="spellStart"/>
      <w:r w:rsidR="36B93CDD" w:rsidRPr="47575B0A">
        <w:rPr>
          <w:rFonts w:ascii="Times New Roman" w:eastAsia="Times New Roman" w:hAnsi="Times New Roman" w:cs="Times New Roman"/>
          <w:color w:val="000000" w:themeColor="text1"/>
        </w:rPr>
        <w:t>Ashrafzadeh</w:t>
      </w:r>
      <w:proofErr w:type="spellEnd"/>
      <w:r w:rsidR="36B93CDD" w:rsidRPr="47575B0A">
        <w:rPr>
          <w:rFonts w:ascii="Times New Roman" w:eastAsia="Times New Roman" w:hAnsi="Times New Roman" w:cs="Times New Roman"/>
          <w:color w:val="000000" w:themeColor="text1"/>
        </w:rPr>
        <w:t xml:space="preserve"> et al., 2025). This method allows the portfolio to adjust dynamically to new information. For instance, </w:t>
      </w:r>
      <w:proofErr w:type="spellStart"/>
      <w:r w:rsidR="36B93CDD" w:rsidRPr="47575B0A">
        <w:rPr>
          <w:rFonts w:ascii="Times New Roman" w:eastAsia="Times New Roman" w:hAnsi="Times New Roman" w:cs="Times New Roman"/>
          <w:color w:val="000000" w:themeColor="text1"/>
        </w:rPr>
        <w:t>Chaweewanchon</w:t>
      </w:r>
      <w:proofErr w:type="spellEnd"/>
      <w:r w:rsidR="36B93CDD" w:rsidRPr="47575B0A">
        <w:rPr>
          <w:rFonts w:ascii="Times New Roman" w:eastAsia="Times New Roman" w:hAnsi="Times New Roman" w:cs="Times New Roman"/>
          <w:color w:val="000000" w:themeColor="text1"/>
        </w:rPr>
        <w:t xml:space="preserve"> and </w:t>
      </w:r>
      <w:proofErr w:type="spellStart"/>
      <w:r w:rsidR="36B93CDD" w:rsidRPr="47575B0A">
        <w:rPr>
          <w:rFonts w:ascii="Times New Roman" w:eastAsia="Times New Roman" w:hAnsi="Times New Roman" w:cs="Times New Roman"/>
          <w:color w:val="000000" w:themeColor="text1"/>
        </w:rPr>
        <w:t>Chaysiri</w:t>
      </w:r>
      <w:proofErr w:type="spellEnd"/>
      <w:r w:rsidR="36B93CDD" w:rsidRPr="47575B0A">
        <w:rPr>
          <w:rFonts w:ascii="Times New Roman" w:eastAsia="Times New Roman" w:hAnsi="Times New Roman" w:cs="Times New Roman"/>
          <w:color w:val="000000" w:themeColor="text1"/>
        </w:rPr>
        <w:t xml:space="preserve"> (2022) proposed a two</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step approach where stocks are first pre</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 xml:space="preserve">selected based on high predicted returns from a neural network, and then the Markowitz model is used to assign weights. Fan (2025) and </w:t>
      </w:r>
      <w:proofErr w:type="spellStart"/>
      <w:r w:rsidR="36B93CDD" w:rsidRPr="47575B0A">
        <w:rPr>
          <w:rFonts w:ascii="Times New Roman" w:eastAsia="Times New Roman" w:hAnsi="Times New Roman" w:cs="Times New Roman"/>
          <w:color w:val="000000" w:themeColor="text1"/>
        </w:rPr>
        <w:t>Manogna</w:t>
      </w:r>
      <w:proofErr w:type="spellEnd"/>
      <w:r w:rsidR="36B93CDD" w:rsidRPr="47575B0A">
        <w:rPr>
          <w:rFonts w:ascii="Times New Roman" w:eastAsia="Times New Roman" w:hAnsi="Times New Roman" w:cs="Times New Roman"/>
          <w:color w:val="000000" w:themeColor="text1"/>
        </w:rPr>
        <w:t xml:space="preserve"> and Kulkarni (2025) utilized similar frameworks, showing that combining LSTM or </w:t>
      </w:r>
      <w:proofErr w:type="spellStart"/>
      <w:r w:rsidR="36B93CDD" w:rsidRPr="47575B0A">
        <w:rPr>
          <w:rFonts w:ascii="Times New Roman" w:eastAsia="Times New Roman" w:hAnsi="Times New Roman" w:cs="Times New Roman"/>
          <w:color w:val="000000" w:themeColor="text1"/>
        </w:rPr>
        <w:t>XGBoost</w:t>
      </w:r>
      <w:proofErr w:type="spellEnd"/>
      <w:r w:rsidR="36B93CDD" w:rsidRPr="47575B0A">
        <w:rPr>
          <w:rFonts w:ascii="Times New Roman" w:eastAsia="Times New Roman" w:hAnsi="Times New Roman" w:cs="Times New Roman"/>
          <w:color w:val="000000" w:themeColor="text1"/>
        </w:rPr>
        <w:t xml:space="preserve"> predictions with mean</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variance optimization greatly improves how portfolios are constructed by making them more responsive to market changes.</w:t>
      </w:r>
    </w:p>
    <w:p w14:paraId="5FA369AA" w14:textId="11A1FE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When these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driven frameworks are put to the test, the economic gains are often substantial compared to passive strategies.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provided striking evidence showing that an investor using neural network forecasts to time the S&amp;P 500 could increase their annualized Sharpe ratio from 0.51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to 0.77, essentially earning much higher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This outperformance holds true even during difficult market periods;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r w:rsidRPr="47575B0A">
        <w:rPr>
          <w:rFonts w:ascii="Times New Roman" w:eastAsia="Times New Roman" w:hAnsi="Times New Roman" w:cs="Times New Roman"/>
          <w:color w:val="000000" w:themeColor="text1"/>
        </w:rPr>
        <w:lastRenderedPageBreak/>
        <w:t>reported that prediction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portfolios consistently beat the EURO STOXX 50 index, generating positive results even during bear markets. Furthermore,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found that strategies utilizing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forecasts outperformed standard benchmarks in terms of the Information Ratio, confirming that active management based on algorithmic predictions leads to more efficient capital allocation than simple diversification.</w:t>
      </w:r>
    </w:p>
    <w:p w14:paraId="5506606D" w14:textId="3D0816E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the context of emerging markets like Nigeria, empirical evidence strongly supports the adoption of these hybrid machine learning approaches.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analyzed the Nigerian Stock Exchange and concluded that Random Forest techniques significantly outperformed linear regression in predicting stock prices, suggesting these tools are well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suited for the Nigerian market structure. Further comparative analysis across Africa by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revealed that while Random Forest was dominant for Nigerian stock returns, different models like Neural Networks worked better for other markets like Uganda, highlighting the need for model selection. Additionally, a study on the Johannesburg Stock Exchange by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demonstrated that portfolios optimized using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Random Forest achieved Sharpe ratios of 1.44 and 1.30 respectively, far surpassing the 0.41 ratio of the traditional Markowitz model. This confirms that hybrid ML strategies are not just theoretical but offer practical, superior performance in African emerging economies.</w:t>
      </w:r>
    </w:p>
    <w:p w14:paraId="2D12D23E" w14:textId="1321FC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2.4 Research Gap</w:t>
      </w:r>
    </w:p>
    <w:p w14:paraId="67DC0B48" w14:textId="5D71674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or even </w:t>
      </w:r>
      <w:r w:rsidRPr="47575B0A">
        <w:rPr>
          <w:rFonts w:ascii="Times New Roman" w:eastAsia="Times New Roman" w:hAnsi="Times New Roman" w:cs="Times New Roman"/>
          <w:color w:val="000000" w:themeColor="text1"/>
        </w:rPr>
        <w:lastRenderedPageBreak/>
        <w:t>more advanced techniques, behave under conditions of high market uncertainty, leptokurtic returns, and sudden economic or policy shifts.</w:t>
      </w:r>
    </w:p>
    <w:p w14:paraId="53F8F55D" w14:textId="7F24ED0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Furthermore, there is a clear shortage of research integrating predictive modeling with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where investors need both accurate predictions and robust allocation strategies simultaneously.</w:t>
      </w:r>
    </w:p>
    <w:p w14:paraId="43091496" w14:textId="118A7B4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Finally, the practical implementation of these models remains underexplored. Many studies rely on historical data and theoretical assumptions, without testing how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driven,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portfolios perform under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14:paraId="5BBAD797" w14:textId="48EA602E"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2.5 Summary of Gaps in Literature</w:t>
      </w:r>
    </w:p>
    <w:p w14:paraId="49010BCC" w14:textId="267100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aware portfolio construction, and few studies have tested these methods in real emerging markets. This leaves important questions unanswered about the effectiveness, adaptability, and practical value of such hybrid approaches </w:t>
      </w:r>
      <w:r w:rsidRPr="47575B0A">
        <w:rPr>
          <w:rFonts w:ascii="Times New Roman" w:eastAsia="Times New Roman" w:hAnsi="Times New Roman" w:cs="Times New Roman"/>
          <w:color w:val="000000" w:themeColor="text1"/>
        </w:rPr>
        <w:lastRenderedPageBreak/>
        <w:t>for investors navigating volatile and complex market environments. These gaps justify the need for a study that develops and evaluates a framework combining predictive forecasting with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optimization tailored to Nigerian equities.</w:t>
      </w:r>
    </w:p>
    <w:p w14:paraId="26C74C47" w14:textId="39EDB066" w:rsidR="28C1B626" w:rsidRDefault="28C1B626" w:rsidP="00B61C71">
      <w:pPr>
        <w:spacing w:after="0" w:line="480" w:lineRule="auto"/>
        <w:jc w:val="both"/>
        <w:rPr>
          <w:rFonts w:ascii="Times New Roman" w:eastAsia="Times New Roman" w:hAnsi="Times New Roman" w:cs="Times New Roman"/>
          <w:color w:val="000000" w:themeColor="text1"/>
        </w:rPr>
      </w:pPr>
    </w:p>
    <w:p w14:paraId="20FA86DC" w14:textId="2C1CD5E0"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CHAPTER THREE </w:t>
      </w:r>
    </w:p>
    <w:p w14:paraId="02C0A4C1" w14:textId="47B8659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RESEARCH METHODOLOGY</w:t>
      </w:r>
      <w:r w:rsidRPr="47575B0A">
        <w:rPr>
          <w:rFonts w:ascii="Times New Roman" w:eastAsia="Times New Roman" w:hAnsi="Times New Roman" w:cs="Times New Roman"/>
          <w:color w:val="000000" w:themeColor="text1"/>
        </w:rPr>
        <w:t xml:space="preserve"> </w:t>
      </w:r>
    </w:p>
    <w:p w14:paraId="31B35FEE" w14:textId="4CE4D776"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14:paraId="51616E1A" w14:textId="5BC55305"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is </w:t>
      </w:r>
      <w:r w:rsidR="3E0B97BD" w:rsidRPr="47575B0A">
        <w:rPr>
          <w:rFonts w:ascii="Times New Roman" w:eastAsia="Times New Roman" w:hAnsi="Times New Roman" w:cs="Times New Roman"/>
          <w:color w:val="000000" w:themeColor="text1"/>
        </w:rPr>
        <w:t>organized</w:t>
      </w:r>
      <w:r w:rsidRPr="47575B0A">
        <w:rPr>
          <w:rFonts w:ascii="Times New Roman" w:eastAsia="Times New Roman" w:hAnsi="Times New Roman" w:cs="Times New Roman"/>
          <w:color w:val="000000" w:themeColor="text1"/>
        </w:rPr>
        <w:t xml:space="preserve"> as follows. Section 3.1 explains the theoretical framework guiding the conduct of the study, and this is derived from the economic theories specified in Chapter Two. Section 3.2 reveals the model specification used to achieve the objectives of this </w:t>
      </w:r>
      <w:r w:rsidR="05265E4B" w:rsidRPr="47575B0A">
        <w:rPr>
          <w:rFonts w:ascii="Times New Roman" w:eastAsia="Times New Roman" w:hAnsi="Times New Roman" w:cs="Times New Roman"/>
          <w:color w:val="000000" w:themeColor="text1"/>
        </w:rPr>
        <w:t>study,</w:t>
      </w:r>
      <w:r w:rsidRPr="47575B0A">
        <w:rPr>
          <w:rFonts w:ascii="Times New Roman" w:eastAsia="Times New Roman" w:hAnsi="Times New Roman" w:cs="Times New Roman"/>
          <w:color w:val="000000" w:themeColor="text1"/>
        </w:rPr>
        <w:t xml:space="preserve"> which is in line with the theoretical framework. Section 3.3 comprises the estimation techniques used in the study to achieve </w:t>
      </w:r>
      <w:r w:rsidR="49E597A4" w:rsidRPr="47575B0A">
        <w:rPr>
          <w:rFonts w:ascii="Times New Roman" w:eastAsia="Times New Roman" w:hAnsi="Times New Roman" w:cs="Times New Roman"/>
          <w:color w:val="000000" w:themeColor="text1"/>
        </w:rPr>
        <w:t>objectives</w:t>
      </w:r>
      <w:r w:rsidRPr="47575B0A">
        <w:rPr>
          <w:rFonts w:ascii="Times New Roman" w:eastAsia="Times New Roman" w:hAnsi="Times New Roman" w:cs="Times New Roman"/>
          <w:color w:val="000000" w:themeColor="text1"/>
        </w:rPr>
        <w:t xml:space="preserve">. Section 3.4 provides the description and measurement of the study variables. Section 3.5 which concludes the </w:t>
      </w:r>
      <w:r w:rsidR="180791DD" w:rsidRPr="47575B0A">
        <w:rPr>
          <w:rFonts w:ascii="Times New Roman" w:eastAsia="Times New Roman" w:hAnsi="Times New Roman" w:cs="Times New Roman"/>
          <w:color w:val="000000" w:themeColor="text1"/>
        </w:rPr>
        <w:t>chapter,</w:t>
      </w:r>
      <w:r w:rsidRPr="47575B0A">
        <w:rPr>
          <w:rFonts w:ascii="Times New Roman" w:eastAsia="Times New Roman" w:hAnsi="Times New Roman" w:cs="Times New Roman"/>
          <w:color w:val="000000" w:themeColor="text1"/>
        </w:rPr>
        <w:t xml:space="preserve"> explains how data will be obtained. </w:t>
      </w:r>
    </w:p>
    <w:p w14:paraId="563D67EA" w14:textId="6902DD23"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3.1 THEORETICAL FRAMEWORK</w:t>
      </w:r>
      <w:r w:rsidRPr="47575B0A">
        <w:rPr>
          <w:rFonts w:ascii="Times New Roman" w:eastAsia="Times New Roman" w:hAnsi="Times New Roman" w:cs="Times New Roman"/>
          <w:color w:val="000000" w:themeColor="text1"/>
        </w:rPr>
        <w:t xml:space="preserve"> </w:t>
      </w:r>
    </w:p>
    <w:p w14:paraId="4D21870B" w14:textId="298B3298"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3.1.1 Modern Portfolio Theory and Tail Risk </w:t>
      </w:r>
    </w:p>
    <w:p w14:paraId="7E473F4D" w14:textId="2A42C412" w:rsidR="5F9D19BA" w:rsidRPr="00A434F0" w:rsidRDefault="1C72C910"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As established in Chapter 2, the foundation of portfolio selection lies in Harry Markowitz's Modern Portfolio Theory (MPT), which formalizes the risk-return trade-off by assuming normally </w:t>
      </w:r>
      <w:r w:rsidRPr="00A434F0">
        <w:rPr>
          <w:rFonts w:ascii="Times New Roman" w:eastAsia="Times New Roman" w:hAnsi="Times New Roman" w:cs="Times New Roman"/>
          <w:color w:val="000000" w:themeColor="text1"/>
        </w:rPr>
        <w:lastRenderedPageBreak/>
        <w:t>distributed returns and relying on symmetric variance as the primary measure of risk (Markowitz, 1952).</w:t>
      </w:r>
    </w:p>
    <w:p w14:paraId="4C282BCD" w14:textId="36731C86" w:rsidR="46801BCD" w:rsidRPr="00A434F0" w:rsidRDefault="46801BCD"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However, the empirical reality of emerging markets like the Nigerian Exchange Group (NGX) fundamentally violates these strict assumptions; these markets are instead characterized by high volatility, low liquidity, asymmetric information, and leptokurtic distributions where extreme downside market events happen much more frequently than normal distributions would predict (</w:t>
      </w:r>
      <w:proofErr w:type="spellStart"/>
      <w:r w:rsidRPr="00A434F0">
        <w:rPr>
          <w:rFonts w:ascii="Times New Roman" w:eastAsia="Times New Roman" w:hAnsi="Times New Roman" w:cs="Times New Roman"/>
          <w:color w:val="000000" w:themeColor="text1"/>
        </w:rPr>
        <w:t>Arif</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Sohail</w:t>
      </w:r>
      <w:proofErr w:type="spellEnd"/>
      <w:r w:rsidRPr="00A434F0">
        <w:rPr>
          <w:rFonts w:ascii="Times New Roman" w:eastAsia="Times New Roman" w:hAnsi="Times New Roman" w:cs="Times New Roman"/>
          <w:color w:val="000000" w:themeColor="text1"/>
        </w:rPr>
        <w:t xml:space="preserve">, 2020). </w:t>
      </w:r>
      <w:r w:rsidR="1DA66D02" w:rsidRPr="00A434F0">
        <w:rPr>
          <w:rFonts w:ascii="Times New Roman" w:eastAsia="Times New Roman" w:hAnsi="Times New Roman" w:cs="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A434F0">
        <w:rPr>
          <w:rFonts w:ascii="Times New Roman" w:eastAsia="Times New Roman" w:hAnsi="Times New Roman" w:cs="Times New Roman"/>
          <w:color w:val="000000" w:themeColor="text1"/>
        </w:rPr>
        <w:t>Alotaibi</w:t>
      </w:r>
      <w:proofErr w:type="spellEnd"/>
      <w:r w:rsidR="2EF1A0F4" w:rsidRPr="00A434F0">
        <w:rPr>
          <w:rFonts w:ascii="Times New Roman" w:eastAsia="Times New Roman" w:hAnsi="Times New Roman" w:cs="Times New Roman"/>
          <w:color w:val="000000" w:themeColor="text1"/>
        </w:rPr>
        <w:t xml:space="preserve"> et al.</w:t>
      </w:r>
      <w:r w:rsidR="1DA66D02" w:rsidRPr="00A434F0">
        <w:rPr>
          <w:rFonts w:ascii="Times New Roman" w:eastAsia="Times New Roman" w:hAnsi="Times New Roman" w:cs="Times New Roman"/>
          <w:color w:val="000000" w:themeColor="text1"/>
        </w:rPr>
        <w:t>, 2022). Consequently, this methodology operationalizes PMPT by discarding the traditional mean-variance framework in favor of Conditional Value-at-Risk (</w:t>
      </w:r>
      <w:proofErr w:type="spellStart"/>
      <w:r w:rsidR="1DA66D02" w:rsidRPr="00A434F0">
        <w:rPr>
          <w:rFonts w:ascii="Times New Roman" w:eastAsia="Times New Roman" w:hAnsi="Times New Roman" w:cs="Times New Roman"/>
          <w:color w:val="000000" w:themeColor="text1"/>
        </w:rPr>
        <w:t>CVaR</w:t>
      </w:r>
      <w:proofErr w:type="spellEnd"/>
      <w:r w:rsidR="1DA66D02" w:rsidRPr="00A434F0">
        <w:rPr>
          <w:rFonts w:ascii="Times New Roman" w:eastAsia="Times New Roman" w:hAnsi="Times New Roman" w:cs="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A434F0">
        <w:rPr>
          <w:rFonts w:ascii="Times New Roman" w:eastAsia="Times New Roman" w:hAnsi="Times New Roman" w:cs="Times New Roman"/>
          <w:color w:val="000000" w:themeColor="text1"/>
        </w:rPr>
        <w:t>Rockafellar</w:t>
      </w:r>
      <w:proofErr w:type="spellEnd"/>
      <w:r w:rsidR="1DA66D02" w:rsidRPr="00A434F0">
        <w:rPr>
          <w:rFonts w:ascii="Times New Roman" w:eastAsia="Times New Roman" w:hAnsi="Times New Roman" w:cs="Times New Roman"/>
          <w:color w:val="000000" w:themeColor="text1"/>
        </w:rPr>
        <w:t xml:space="preserve"> &amp; </w:t>
      </w:r>
      <w:proofErr w:type="spellStart"/>
      <w:r w:rsidR="1DA66D02" w:rsidRPr="00A434F0">
        <w:rPr>
          <w:rFonts w:ascii="Times New Roman" w:eastAsia="Times New Roman" w:hAnsi="Times New Roman" w:cs="Times New Roman"/>
          <w:color w:val="000000" w:themeColor="text1"/>
        </w:rPr>
        <w:t>Uryasev</w:t>
      </w:r>
      <w:proofErr w:type="spellEnd"/>
      <w:r w:rsidR="1DA66D02" w:rsidRPr="00A434F0">
        <w:rPr>
          <w:rFonts w:ascii="Times New Roman" w:eastAsia="Times New Roman" w:hAnsi="Times New Roman" w:cs="Times New Roman"/>
          <w:color w:val="000000" w:themeColor="text1"/>
        </w:rPr>
        <w:t>, 2002)</w:t>
      </w:r>
      <w:r w:rsidR="72271ABC" w:rsidRPr="00A434F0">
        <w:rPr>
          <w:rFonts w:ascii="Times New Roman" w:eastAsia="Times New Roman" w:hAnsi="Times New Roman" w:cs="Times New Roman"/>
          <w:color w:val="000000" w:themeColor="text1"/>
        </w:rPr>
        <w:t>.</w:t>
      </w:r>
    </w:p>
    <w:p w14:paraId="66EA5407" w14:textId="2AA8B392" w:rsidR="1EF61C5A" w:rsidRPr="00A434F0" w:rsidRDefault="41CA8574" w:rsidP="00B61C71">
      <w:pPr>
        <w:spacing w:before="240" w:after="200" w:line="480" w:lineRule="auto"/>
        <w:jc w:val="both"/>
        <w:rPr>
          <w:rFonts w:ascii="Times New Roman" w:eastAsia="Times New Roman" w:hAnsi="Times New Roman" w:cs="Times New Roman"/>
          <w:b/>
          <w:bCs/>
          <w:color w:val="000000" w:themeColor="text1"/>
        </w:rPr>
      </w:pPr>
      <w:r w:rsidRPr="00A434F0">
        <w:rPr>
          <w:rFonts w:ascii="Times New Roman" w:eastAsia="Times New Roman" w:hAnsi="Times New Roman" w:cs="Times New Roman"/>
          <w:b/>
          <w:bCs/>
          <w:color w:val="000000" w:themeColor="text1"/>
        </w:rPr>
        <w:t xml:space="preserve">3.1.2 Machine Learning Theories for Forecasting </w:t>
      </w:r>
    </w:p>
    <w:p w14:paraId="57D992C6" w14:textId="2BADCB9B"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A434F0">
        <w:rPr>
          <w:rFonts w:ascii="Times New Roman" w:eastAsia="Times New Roman" w:hAnsi="Times New Roman" w:cs="Times New Roman"/>
          <w:color w:val="000000" w:themeColor="text1"/>
        </w:rPr>
        <w:t>Fama</w:t>
      </w:r>
      <w:proofErr w:type="spellEnd"/>
      <w:r w:rsidRPr="00A434F0">
        <w:rPr>
          <w:rFonts w:ascii="Times New Roman" w:eastAsia="Times New Roman" w:hAnsi="Times New Roman" w:cs="Times New Roman"/>
          <w:color w:val="000000" w:themeColor="text1"/>
        </w:rPr>
        <w:t>, 1970).</w:t>
      </w:r>
    </w:p>
    <w:p w14:paraId="2D5262A0" w14:textId="14AE1AA4"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However, substantial empirical evidence challenges these strict assumptions, particularly in emerging markets like the Nigerian Exchange Group (NGX), which exhibit market frictions, </w:t>
      </w:r>
      <w:r w:rsidRPr="00A434F0">
        <w:rPr>
          <w:rFonts w:ascii="Times New Roman" w:eastAsia="Times New Roman" w:hAnsi="Times New Roman" w:cs="Times New Roman"/>
          <w:color w:val="000000" w:themeColor="text1"/>
        </w:rPr>
        <w:lastRenderedPageBreak/>
        <w:t>significant volatility clustering, frequent structural breaks, and complex non-linear correlations (</w:t>
      </w:r>
      <w:proofErr w:type="spellStart"/>
      <w:r w:rsidRPr="00A434F0">
        <w:rPr>
          <w:rFonts w:ascii="Times New Roman" w:eastAsia="Times New Roman" w:hAnsi="Times New Roman" w:cs="Times New Roman"/>
          <w:color w:val="000000" w:themeColor="text1"/>
        </w:rPr>
        <w:t>Adegboyo</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Sarwar</w:t>
      </w:r>
      <w:proofErr w:type="spellEnd"/>
      <w:r w:rsidRPr="00A434F0">
        <w:rPr>
          <w:rFonts w:ascii="Times New Roman" w:eastAsia="Times New Roman" w:hAnsi="Times New Roman" w:cs="Times New Roman"/>
          <w:color w:val="000000" w:themeColor="text1"/>
        </w:rPr>
        <w:t>, 2025). Statistical learning theories offer a robust mathematical framework that bypasses rigid econometric assumptions, allowing for the extraction of meaningful, latent non-linear dependencies directly from noisy and high-dimensional financial data (</w:t>
      </w:r>
      <w:proofErr w:type="spellStart"/>
      <w:proofErr w:type="gramStart"/>
      <w:r w:rsidRPr="00A434F0">
        <w:rPr>
          <w:rFonts w:ascii="Times New Roman" w:eastAsia="Times New Roman" w:hAnsi="Times New Roman" w:cs="Times New Roman"/>
          <w:color w:val="000000" w:themeColor="text1"/>
        </w:rPr>
        <w:t>Gu</w:t>
      </w:r>
      <w:proofErr w:type="spellEnd"/>
      <w:proofErr w:type="gramEnd"/>
      <w:r w:rsidRPr="00A434F0">
        <w:rPr>
          <w:rFonts w:ascii="Times New Roman" w:eastAsia="Times New Roman" w:hAnsi="Times New Roman" w:cs="Times New Roman"/>
          <w:color w:val="000000" w:themeColor="text1"/>
        </w:rPr>
        <w:t xml:space="preserve">, Kelly, &amp; </w:t>
      </w:r>
      <w:proofErr w:type="spellStart"/>
      <w:r w:rsidRPr="00A434F0">
        <w:rPr>
          <w:rFonts w:ascii="Times New Roman" w:eastAsia="Times New Roman" w:hAnsi="Times New Roman" w:cs="Times New Roman"/>
          <w:color w:val="000000" w:themeColor="text1"/>
        </w:rPr>
        <w:t>Xiu</w:t>
      </w:r>
      <w:proofErr w:type="spellEnd"/>
      <w:r w:rsidRPr="00A434F0">
        <w:rPr>
          <w:rFonts w:ascii="Times New Roman" w:eastAsia="Times New Roman" w:hAnsi="Times New Roman" w:cs="Times New Roman"/>
          <w:color w:val="000000" w:themeColor="text1"/>
        </w:rPr>
        <w:t xml:space="preserve">, 2019). </w:t>
      </w:r>
    </w:p>
    <w:p w14:paraId="4ABAE1CC" w14:textId="07997735" w:rsidR="289DEFA7" w:rsidRPr="00A434F0" w:rsidRDefault="289DEFA7"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Consequently, this methodology adopts advanced ensemble machine learning algorithms-specifically Random Forest and </w:t>
      </w:r>
      <w:proofErr w:type="spellStart"/>
      <w:r w:rsidRPr="00A434F0">
        <w:rPr>
          <w:rFonts w:ascii="Times New Roman" w:eastAsia="Times New Roman" w:hAnsi="Times New Roman" w:cs="Times New Roman"/>
          <w:color w:val="000000" w:themeColor="text1"/>
        </w:rPr>
        <w:t>eXtreme</w:t>
      </w:r>
      <w:proofErr w:type="spellEnd"/>
      <w:r w:rsidRPr="00A434F0">
        <w:rPr>
          <w:rFonts w:ascii="Times New Roman" w:eastAsia="Times New Roman" w:hAnsi="Times New Roman" w:cs="Times New Roman"/>
          <w:color w:val="000000" w:themeColor="text1"/>
        </w:rPr>
        <w:t xml:space="preserve"> Gradient Boosting (</w:t>
      </w:r>
      <w:proofErr w:type="spellStart"/>
      <w:r w:rsidRPr="00A434F0">
        <w:rPr>
          <w:rFonts w:ascii="Times New Roman" w:eastAsia="Times New Roman" w:hAnsi="Times New Roman" w:cs="Times New Roman"/>
          <w:color w:val="000000" w:themeColor="text1"/>
        </w:rPr>
        <w:t>XGBoost</w:t>
      </w:r>
      <w:proofErr w:type="spellEnd"/>
      <w:r w:rsidRPr="00A434F0">
        <w:rPr>
          <w:rFonts w:ascii="Times New Roman" w:eastAsia="Times New Roman" w:hAnsi="Times New Roman" w:cs="Times New Roman"/>
          <w:color w:val="000000" w:themeColor="text1"/>
        </w:rPr>
        <w:t>)-to effectively operationalize statistical learning, thereby capturing the complex, non-stationary market patterns that traditional models and the EMH fail to identify (</w:t>
      </w:r>
      <w:proofErr w:type="spellStart"/>
      <w:r w:rsidRPr="00A434F0">
        <w:rPr>
          <w:rFonts w:ascii="Times New Roman" w:eastAsia="Times New Roman" w:hAnsi="Times New Roman" w:cs="Times New Roman"/>
          <w:color w:val="000000" w:themeColor="text1"/>
        </w:rPr>
        <w:t>Manogna</w:t>
      </w:r>
      <w:proofErr w:type="spellEnd"/>
      <w:r w:rsidRPr="00A434F0">
        <w:rPr>
          <w:rFonts w:ascii="Times New Roman" w:eastAsia="Times New Roman" w:hAnsi="Times New Roman" w:cs="Times New Roman"/>
          <w:color w:val="000000" w:themeColor="text1"/>
        </w:rPr>
        <w:t xml:space="preserve"> &amp; Kulkarni, 2025; </w:t>
      </w:r>
      <w:proofErr w:type="spellStart"/>
      <w:r w:rsidRPr="00A434F0">
        <w:rPr>
          <w:rFonts w:ascii="Times New Roman" w:eastAsia="Times New Roman" w:hAnsi="Times New Roman" w:cs="Times New Roman"/>
          <w:color w:val="000000" w:themeColor="text1"/>
        </w:rPr>
        <w:t>Ashrafzadeh</w:t>
      </w:r>
      <w:proofErr w:type="spellEnd"/>
      <w:r w:rsidRPr="00A434F0">
        <w:rPr>
          <w:rFonts w:ascii="Times New Roman" w:eastAsia="Times New Roman" w:hAnsi="Times New Roman" w:cs="Times New Roman"/>
          <w:color w:val="000000" w:themeColor="text1"/>
        </w:rPr>
        <w:t xml:space="preserve"> et al., 2025)</w:t>
      </w:r>
    </w:p>
    <w:p w14:paraId="5868192A" w14:textId="78CAE41D"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 Model Specification </w:t>
      </w:r>
    </w:p>
    <w:p w14:paraId="34DE4672" w14:textId="63B2CC8A"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3.2.1 Predictive Models </w:t>
      </w:r>
    </w:p>
    <w:p w14:paraId="5EC9F1DC" w14:textId="0FCEC90B"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The aim of the predictive phase of the study is to forecast </w:t>
      </w:r>
      <w:r w:rsidR="771C9D9C" w:rsidRPr="47575B0A">
        <w:rPr>
          <w:rFonts w:ascii="Times New Roman" w:eastAsia="Times New Roman" w:hAnsi="Times New Roman" w:cs="Times New Roman"/>
          <w:color w:val="000000" w:themeColor="text1"/>
        </w:rPr>
        <w:t>future</w:t>
      </w:r>
      <w:r w:rsidRPr="47575B0A">
        <w:rPr>
          <w:rFonts w:ascii="Times New Roman" w:eastAsia="Times New Roman" w:hAnsi="Times New Roman" w:cs="Times New Roman"/>
          <w:color w:val="000000" w:themeColor="text1"/>
        </w:rPr>
        <w:t xml:space="preserve"> returns of the component assets within the NGX Pension Index. To achieve this, the study frames return forecasting as a supervised multivariate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and interacting market dynamics. </w:t>
      </w:r>
    </w:p>
    <w:p w14:paraId="3BB320D3" w14:textId="1B3EA57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Let </w:t>
      </w:r>
      <w:proofErr w:type="gramStart"/>
      <w:r w:rsidRPr="47575B0A">
        <w:rPr>
          <w:rFonts w:ascii="Times New Roman" w:eastAsia="Times New Roman" w:hAnsi="Times New Roman" w:cs="Times New Roman"/>
          <w:color w:val="000000" w:themeColor="text1"/>
        </w:rPr>
        <w:t>Rt+</w:t>
      </w:r>
      <w:proofErr w:type="gramEnd"/>
      <w:r w:rsidRPr="47575B0A">
        <w:rPr>
          <w:rFonts w:ascii="Times New Roman" w:eastAsia="Times New Roman" w:hAnsi="Times New Roman" w:cs="Times New Roman"/>
          <w:color w:val="000000" w:themeColor="text1"/>
        </w:rPr>
        <w:t xml:space="preserve">1 represent the continuous logarithmic return of a given equity asset for the upcoming week, calculated from the weekly closing prices. The foundational predictive relationship is defined as: </w:t>
      </w:r>
    </w:p>
    <w:p w14:paraId="2345E993" w14:textId="28EB6D8B" w:rsidR="2DC85E35" w:rsidRDefault="000113DD" w:rsidP="00B61C71">
      <w:pPr>
        <w:spacing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t+1</m:t>
              </m:r>
            </m:sub>
          </m:sSub>
        </m:oMath>
      </m:oMathPara>
    </w:p>
    <w:p w14:paraId="4E085888" w14:textId="3A55F61A" w:rsidR="69DFAEA5" w:rsidRDefault="6CE743C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DB0A49E" w14:textId="17EF8C10" w:rsidR="2DC85E35" w:rsidRDefault="000113DD"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R</m:t>
            </m:r>
          </m:e>
          <m:sub>
            <m:r>
              <w:rPr>
                <w:rFonts w:ascii="Cambria Math" w:hAnsi="Cambria Math"/>
              </w:rPr>
              <m:t>t+1</m:t>
            </m:r>
          </m:sub>
        </m:sSub>
      </m:oMath>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dependent </w:t>
      </w:r>
      <w:r w:rsidR="61939115" w:rsidRPr="28C1B626">
        <w:rPr>
          <w:rFonts w:ascii="Times New Roman" w:eastAsia="Times New Roman" w:hAnsi="Times New Roman" w:cs="Times New Roman"/>
        </w:rPr>
        <w:t>variable</w:t>
      </w:r>
      <w:r w:rsidR="6CE743C7" w:rsidRPr="28C1B626">
        <w:rPr>
          <w:rFonts w:ascii="Times New Roman" w:eastAsia="Times New Roman" w:hAnsi="Times New Roman" w:cs="Times New Roman"/>
        </w:rPr>
        <w:t xml:space="preserve"> </w:t>
      </w:r>
      <w:r w:rsidR="2DFEE1D4" w:rsidRPr="28C1B626">
        <w:rPr>
          <w:rFonts w:ascii="Times New Roman" w:eastAsia="Times New Roman" w:hAnsi="Times New Roman" w:cs="Times New Roman"/>
        </w:rPr>
        <w:t>representing</w:t>
      </w:r>
      <w:r w:rsidR="6CE743C7" w:rsidRPr="28C1B626">
        <w:rPr>
          <w:rFonts w:ascii="Times New Roman" w:eastAsia="Times New Roman" w:hAnsi="Times New Roman" w:cs="Times New Roman"/>
        </w:rPr>
        <w:t xml:space="preserve"> the weekly logarithmic return at time </w:t>
      </w:r>
      <m:oMath>
        <m:r>
          <w:rPr>
            <w:rFonts w:ascii="Cambria Math" w:hAnsi="Cambria Math"/>
          </w:rPr>
          <m:t>t+1 </m:t>
        </m:r>
      </m:oMath>
      <w:r w:rsidR="6CE743C7" w:rsidRPr="28C1B626">
        <w:rPr>
          <w:rFonts w:ascii="Times New Roman" w:eastAsia="Times New Roman" w:hAnsi="Times New Roman" w:cs="Times New Roman"/>
        </w:rPr>
        <w:t>.</w:t>
      </w:r>
    </w:p>
    <w:p w14:paraId="47A67342" w14:textId="508BE5D7" w:rsidR="2DC85E35" w:rsidRDefault="2DC85E35" w:rsidP="00B61C71">
      <w:pPr>
        <w:pStyle w:val="ListParagraph"/>
        <w:numPr>
          <w:ilvl w:val="0"/>
          <w:numId w:val="10"/>
        </w:numPr>
        <w:spacing w:before="240" w:after="240" w:line="480" w:lineRule="auto"/>
        <w:jc w:val="both"/>
        <w:rPr>
          <w:rFonts w:ascii="Times New Roman" w:eastAsia="Times New Roman" w:hAnsi="Times New Roman" w:cs="Times New Roman"/>
        </w:rPr>
      </w:pPr>
      <m:oMath>
        <m:r>
          <w:rPr>
            <w:rFonts w:ascii="Cambria Math" w:hAnsi="Cambria Math"/>
          </w:rPr>
          <m:t>F </m:t>
        </m:r>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represents</w:t>
      </w:r>
      <w:proofErr w:type="gramEnd"/>
      <w:r w:rsidR="6CE743C7" w:rsidRPr="28C1B626">
        <w:rPr>
          <w:rFonts w:ascii="Times New Roman" w:eastAsia="Times New Roman" w:hAnsi="Times New Roman" w:cs="Times New Roman"/>
        </w:rPr>
        <w:t xml:space="preserve"> the complex, non</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 xml:space="preserve">linear mapping function that will be empirically approximated by the ensemble machine learning algorithms (Random Forest and </w:t>
      </w:r>
      <w:proofErr w:type="spellStart"/>
      <w:r w:rsidR="6CE743C7" w:rsidRPr="28C1B626">
        <w:rPr>
          <w:rFonts w:ascii="Times New Roman" w:eastAsia="Times New Roman" w:hAnsi="Times New Roman" w:cs="Times New Roman"/>
        </w:rPr>
        <w:t>XGBoost</w:t>
      </w:r>
      <w:proofErr w:type="spellEnd"/>
      <w:r w:rsidR="6CE743C7" w:rsidRPr="28C1B626">
        <w:rPr>
          <w:rFonts w:ascii="Times New Roman" w:eastAsia="Times New Roman" w:hAnsi="Times New Roman" w:cs="Times New Roman"/>
        </w:rPr>
        <w:t>).</w:t>
      </w:r>
    </w:p>
    <w:p w14:paraId="17244AB8" w14:textId="11578064" w:rsidR="2DC85E35" w:rsidRDefault="000113DD"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multi</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dimensional feature vector containing the independent variables strictly observed at the end of week</w:t>
      </w:r>
      <w:r w:rsidR="5936A5B0" w:rsidRPr="28C1B626">
        <w:rPr>
          <w:rFonts w:ascii="Times New Roman" w:eastAsia="Times New Roman" w:hAnsi="Times New Roman" w:cs="Times New Roman"/>
        </w:rPr>
        <w:t xml:space="preserve"> </w:t>
      </w:r>
      <m:oMath>
        <m:r>
          <w:rPr>
            <w:rFonts w:ascii="Cambria Math" w:hAnsi="Cambria Math"/>
          </w:rPr>
          <m:t>t </m:t>
        </m:r>
      </m:oMath>
      <w:r w:rsidR="6CE743C7" w:rsidRPr="28C1B626">
        <w:rPr>
          <w:rFonts w:ascii="Times New Roman" w:eastAsia="Times New Roman" w:hAnsi="Times New Roman" w:cs="Times New Roman"/>
        </w:rPr>
        <w:t>.</w:t>
      </w:r>
    </w:p>
    <w:p w14:paraId="0A60CE10" w14:textId="1F794704" w:rsidR="2DC85E35" w:rsidRDefault="000113DD"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ε</m:t>
            </m:r>
          </m:e>
          <m:sub>
            <m:r>
              <w:rPr>
                <w:rFonts w:ascii="Cambria Math" w:hAnsi="Cambria Math"/>
              </w:rPr>
              <m:t>t+1</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idiosyncratic error term (or white noise) representing unobservable market shocks that occur at time</w:t>
      </w:r>
      <m:oMath>
        <m:r>
          <w:rPr>
            <w:rFonts w:ascii="Cambria Math" w:hAnsi="Cambria Math"/>
          </w:rPr>
          <m:t>t+1 </m:t>
        </m:r>
      </m:oMath>
      <w:r w:rsidR="6CE743C7" w:rsidRPr="28C1B626">
        <w:rPr>
          <w:rFonts w:ascii="Times New Roman" w:eastAsia="Times New Roman" w:hAnsi="Times New Roman" w:cs="Times New Roman"/>
        </w:rPr>
        <w:t xml:space="preserve">, which are independent of the information set at time </w:t>
      </w:r>
      <m:oMath>
        <m:r>
          <w:rPr>
            <w:rFonts w:ascii="Cambria Math" w:hAnsi="Cambria Math"/>
          </w:rPr>
          <m:t>t </m:t>
        </m:r>
      </m:oMath>
      <w:r w:rsidR="6CE743C7" w:rsidRPr="28C1B626">
        <w:rPr>
          <w:rFonts w:ascii="Times New Roman" w:eastAsia="Times New Roman" w:hAnsi="Times New Roman" w:cs="Times New Roman"/>
        </w:rPr>
        <w:t>.</w:t>
      </w:r>
    </w:p>
    <w:p w14:paraId="37BAE061" w14:textId="22069DD5" w:rsidR="535C9A16" w:rsidRDefault="4692CF0F"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prevent multicollinearity while capturing diverse market dimensions.</w:t>
      </w:r>
    </w:p>
    <w:p w14:paraId="1A94AD49" w14:textId="581D4D87" w:rsidR="3F330B67" w:rsidRDefault="4692CF0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The feature vector</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is mathematically defined as a </w:t>
      </w:r>
      <m:oMath>
        <m:r>
          <w:rPr>
            <w:rFonts w:ascii="Cambria Math" w:hAnsi="Cambria Math"/>
          </w:rPr>
          <m:t>13×1 </m:t>
        </m:r>
      </m:oMath>
      <w:r w:rsidRPr="28C1B626">
        <w:rPr>
          <w:rFonts w:ascii="Times New Roman" w:eastAsia="Times New Roman" w:hAnsi="Times New Roman" w:cs="Times New Roman"/>
        </w:rPr>
        <w:t xml:space="preserve"> column </w:t>
      </w:r>
      <w:r w:rsidR="5DEDE1EF" w:rsidRPr="28C1B626">
        <w:rPr>
          <w:rFonts w:ascii="Times New Roman" w:eastAsia="Times New Roman" w:hAnsi="Times New Roman" w:cs="Times New Roman"/>
        </w:rPr>
        <w:t xml:space="preserve">vector: </w:t>
      </w:r>
    </w:p>
    <w:p w14:paraId="1E771FDA" w14:textId="58FCA314" w:rsidR="5C0CF8D3" w:rsidRDefault="000113DD"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t</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1,t</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2,t</m:t>
                            </m:r>
                          </m:sub>
                        </m:sSub>
                      </m:e>
                    </m:mr>
                    <m:mr>
                      <m:e>
                        <m:r>
                          <w:rPr>
                            <w:rFonts w:ascii="Cambria Math" w:eastAsia="Times New Roman" w:hAnsi="Cambria Math" w:cs="Times New Roman"/>
                          </w:rPr>
                          <m:t>.</m:t>
                        </m:r>
                      </m:e>
                    </m:mr>
                  </m:m>
                </m:e>
                <m:e>
                  <m:r>
                    <w:rPr>
                      <w:rFonts w:ascii="Cambria Math" w:eastAsia="Times New Roman" w:hAnsi="Cambria Math" w:cs="Times New Roman"/>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13,t</m:t>
                      </m:r>
                    </m:sub>
                  </m:sSub>
                </m:e>
              </m:eqArr>
            </m:e>
          </m:d>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MACD</m:t>
                      </m:r>
                    </m:e>
                    <m:sub>
                      <m:r>
                        <w:rPr>
                          <w:rFonts w:ascii="Cambria Math" w:eastAsia="Times New Roman" w:hAnsi="Cambria Math" w:cs="Times New Roman"/>
                        </w:rPr>
                        <m:t>t</m:t>
                      </m:r>
                    </m:sub>
                  </m:sSub>
                </m:e>
                <m:e>
                  <m:sSub>
                    <m:sSubPr>
                      <m:ctrlPr>
                        <w:rPr>
                          <w:rFonts w:ascii="Cambria Math" w:eastAsia="Times New Roman" w:hAnsi="Cambria Math" w:cs="Times New Roman"/>
                          <w:i/>
                        </w:rPr>
                      </m:ctrlPr>
                    </m:sSubPr>
                    <m:e>
                      <m:r>
                        <w:rPr>
                          <w:rFonts w:ascii="Cambria Math" w:eastAsia="Times New Roman" w:hAnsi="Cambria Math" w:cs="Times New Roman"/>
                        </w:rPr>
                        <m:t>PPO</m:t>
                      </m:r>
                    </m:e>
                    <m:sub>
                      <m:r>
                        <w:rPr>
                          <w:rFonts w:ascii="Cambria Math" w:eastAsia="Times New Roman" w:hAnsi="Cambria Math" w:cs="Times New Roman"/>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RSI</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STOCH</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SMA</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ADX</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SAR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OBV</m:t>
                      </m:r>
                    </m:e>
                    <m:sub>
                      <m:r>
                        <w:rPr>
                          <w:rFonts w:ascii="Cambria Math" w:eastAsia="Cambria Math" w:hAnsi="Cambria Math" w:cs="Cambria Math"/>
                        </w:rPr>
                        <m:t>t</m:t>
                      </m:r>
                    </m:sub>
                  </m:sSub>
                </m:e>
              </m:eqArr>
            </m:e>
          </m:d>
        </m:oMath>
      </m:oMathPara>
    </w:p>
    <w:p w14:paraId="1E02AD86" w14:textId="044A2414" w:rsidR="2DC85E35" w:rsidRDefault="2DC85E35" w:rsidP="00B61C71">
      <w:pPr>
        <w:spacing w:after="240" w:line="480" w:lineRule="auto"/>
        <w:jc w:val="both"/>
        <w:rPr>
          <w:rFonts w:ascii="Times New Roman" w:eastAsia="Times New Roman" w:hAnsi="Times New Roman" w:cs="Times New Roman"/>
        </w:rPr>
      </w:pPr>
    </w:p>
    <w:p w14:paraId="0FEC727A" w14:textId="5B537034"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The variables within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are categorized into four distinct market dimensions:</w:t>
      </w:r>
    </w:p>
    <w:p w14:paraId="01A48251" w14:textId="1251AAA3"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Momentum and Oscillator Indicators:</w:t>
      </w:r>
      <w:r w:rsidRPr="28C1B626">
        <w:rPr>
          <w:rFonts w:ascii="Times New Roman" w:eastAsia="Times New Roman" w:hAnsi="Times New Roman" w:cs="Times New Roman"/>
        </w:rPr>
        <w:t xml:space="preserve"> The Moving Average Convergence Divergence (</w:t>
      </w:r>
      <m:oMath>
        <m:r>
          <w:rPr>
            <w:rFonts w:ascii="Cambria Math" w:hAnsi="Cambria Math"/>
          </w:rPr>
          <m:t>MAC</m:t>
        </m:r>
        <m:sSub>
          <m:sSubPr>
            <m:ctrlPr>
              <w:rPr>
                <w:rFonts w:ascii="Cambria Math" w:hAnsi="Cambria Math"/>
              </w:rPr>
            </m:ctrlPr>
          </m:sSubPr>
          <m:e>
            <m:r>
              <w:rPr>
                <w:rFonts w:ascii="Cambria Math" w:hAnsi="Cambria Math"/>
              </w:rPr>
              <m:t>D</m:t>
            </m:r>
          </m:e>
          <m:sub>
            <m:r>
              <w:rPr>
                <w:rFonts w:ascii="Cambria Math" w:hAnsi="Cambria Math"/>
              </w:rPr>
              <m:t>t</m:t>
            </m:r>
          </m:sub>
        </m:sSub>
      </m:oMath>
      <w:r w:rsidRPr="28C1B626">
        <w:rPr>
          <w:rFonts w:ascii="Times New Roman" w:eastAsia="Times New Roman" w:hAnsi="Times New Roman" w:cs="Times New Roman"/>
        </w:rPr>
        <w:t>), Percentage Price Oscillator (</w:t>
      </w:r>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w:r w:rsidRPr="28C1B626">
        <w:rPr>
          <w:rFonts w:ascii="Times New Roman" w:eastAsia="Times New Roman" w:hAnsi="Times New Roman" w:cs="Times New Roman"/>
        </w:rPr>
        <w:t xml:space="preserve">), Relative Strength </w:t>
      </w:r>
      <w:proofErr w:type="gramStart"/>
      <w:r w:rsidRPr="28C1B626">
        <w:rPr>
          <w:rFonts w:ascii="Times New Roman" w:eastAsia="Times New Roman" w:hAnsi="Times New Roman" w:cs="Times New Roman"/>
        </w:rPr>
        <w:t>Index</w:t>
      </w:r>
      <w:r w:rsidR="76B9F1C7" w:rsidRPr="28C1B626">
        <w:rPr>
          <w:rFonts w:ascii="Times New Roman" w:eastAsia="Times New Roman" w:hAnsi="Times New Roman" w:cs="Times New Roman"/>
        </w:rPr>
        <w:t>(</w:t>
      </w:r>
      <w:proofErr w:type="gramEnd"/>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w:r w:rsidR="7C85BEA8" w:rsidRPr="28C1B626">
        <w:rPr>
          <w:rFonts w:ascii="Times New Roman" w:eastAsia="Times New Roman" w:hAnsi="Times New Roman" w:cs="Times New Roman"/>
        </w:rPr>
        <w:t>)</w:t>
      </w:r>
      <w:r w:rsidRPr="28C1B626">
        <w:rPr>
          <w:rFonts w:ascii="Times New Roman" w:eastAsia="Times New Roman" w:hAnsi="Times New Roman" w:cs="Times New Roman"/>
        </w:rPr>
        <w:t>, and Stochastic Oscillator (</w:t>
      </w:r>
      <m:oMath>
        <m:r>
          <w:rPr>
            <w:rFonts w:ascii="Cambria Math" w:hAnsi="Cambria Math"/>
          </w:rPr>
          <m:t>STOC</m:t>
        </m:r>
        <m:sSub>
          <m:sSubPr>
            <m:ctrlPr>
              <w:rPr>
                <w:rFonts w:ascii="Cambria Math" w:hAnsi="Cambria Math"/>
              </w:rPr>
            </m:ctrlPr>
          </m:sSubPr>
          <m:e>
            <m:r>
              <w:rPr>
                <w:rFonts w:ascii="Cambria Math" w:hAnsi="Cambria Math"/>
              </w:rPr>
              <m:t>H</m:t>
            </m:r>
          </m:e>
          <m:sub>
            <m:r>
              <w:rPr>
                <w:rFonts w:ascii="Cambria Math" w:hAnsi="Cambria Math"/>
              </w:rPr>
              <m:t>t</m:t>
            </m:r>
          </m:sub>
        </m:sSub>
      </m:oMath>
      <w:r w:rsidRPr="28C1B626">
        <w:rPr>
          <w:rFonts w:ascii="Times New Roman" w:eastAsia="Times New Roman" w:hAnsi="Times New Roman" w:cs="Times New Roman"/>
        </w:rPr>
        <w:t>) measure the velocity and magnitude of recent price swings to identify overbought or oversold conditions.</w:t>
      </w:r>
    </w:p>
    <w:p w14:paraId="118F5BE4" w14:textId="0DCFC536"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Autoregressive (Lagged) Returns:</w:t>
      </w:r>
      <w:r w:rsidRPr="28C1B626">
        <w:rPr>
          <w:rFonts w:ascii="Times New Roman" w:eastAsia="Times New Roman" w:hAnsi="Times New Roman" w:cs="Times New Roman"/>
        </w:rPr>
        <w:t xml:space="preserve"> The sequence of</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t-2</m:t>
            </m:r>
          </m:sub>
        </m:sSub>
      </m:oMath>
      <w:r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t-3</m:t>
            </m:r>
          </m:sub>
        </m:sSub>
      </m:oMath>
      <w:r w:rsidRPr="28C1B626">
        <w:rPr>
          <w:rFonts w:ascii="Times New Roman" w:eastAsia="Times New Roman" w:hAnsi="Times New Roman" w:cs="Times New Roman"/>
        </w:rPr>
        <w:t xml:space="preserve"> represents the preceding four weeks of logarithmic returns, feeding historical price momentum directly into the model.</w:t>
      </w:r>
    </w:p>
    <w:p w14:paraId="0CCE5D4D" w14:textId="208899C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Trend and Volatility Indicators:</w:t>
      </w:r>
      <w:r w:rsidRPr="28C1B626">
        <w:rPr>
          <w:rFonts w:ascii="Times New Roman" w:eastAsia="Times New Roman" w:hAnsi="Times New Roman" w:cs="Times New Roman"/>
        </w:rPr>
        <w:t xml:space="preserve"> The Simple Moving Average (</w:t>
      </w:r>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w:r w:rsidR="6B7857C1" w:rsidRPr="28C1B626">
        <w:rPr>
          <w:rFonts w:ascii="Times New Roman" w:eastAsia="Times New Roman" w:hAnsi="Times New Roman" w:cs="Times New Roman"/>
        </w:rPr>
        <w:t>)</w:t>
      </w:r>
      <w:r w:rsidRPr="28C1B626">
        <w:rPr>
          <w:rFonts w:ascii="Times New Roman" w:eastAsia="Times New Roman" w:hAnsi="Times New Roman" w:cs="Times New Roman"/>
        </w:rPr>
        <w:t>, Average Directional Index (</w:t>
      </w:r>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and Stop and Reverse (</w:t>
      </w:r>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 the absolute strength and direction of the trend. Crucially for the subsequent tail</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risk optimization, the Average True Range (</w:t>
      </w:r>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captures intra</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week market volatility and extreme price fluctuations.</w:t>
      </w:r>
    </w:p>
    <w:p w14:paraId="317DC9EB" w14:textId="18EC9A6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Volume Flow:</w:t>
      </w:r>
      <w:r w:rsidRPr="28C1B626">
        <w:rPr>
          <w:rFonts w:ascii="Times New Roman" w:eastAsia="Times New Roman" w:hAnsi="Times New Roman" w:cs="Times New Roman"/>
        </w:rPr>
        <w:t xml:space="preserve"> 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Balance Volume (</w:t>
      </w: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w:r w:rsidRPr="28C1B626">
        <w:rPr>
          <w:rFonts w:ascii="Times New Roman" w:eastAsia="Times New Roman" w:hAnsi="Times New Roman" w:cs="Times New Roman"/>
        </w:rPr>
        <w:t>) acts as a proxy for market liquidity and institutional participation, validating the strength of the observed price trends.</w:t>
      </w:r>
    </w:p>
    <w:p w14:paraId="2FEF03F8" w14:textId="700D6CA6"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This specific autoregressive functional form is strictly structured to avoid look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ahead bias. By ensuring that the predictive function </w:t>
      </w:r>
      <m:oMath>
        <m:r>
          <w:rPr>
            <w:rFonts w:ascii="Cambria Math" w:hAnsi="Cambria Math"/>
          </w:rPr>
          <m:t>F</m:t>
        </m:r>
        <m:d>
          <m:dPr>
            <m:ctrlPr>
              <w:rPr>
                <w:rFonts w:ascii="Cambria Math" w:hAnsi="Cambria Math"/>
              </w:rPr>
            </m:ctrlPr>
          </m:dPr>
          <m:e>
            <m:r>
              <w:rPr>
                <w:rFonts w:ascii="Cambria Math" w:hAnsi="Cambria Math"/>
              </w:rPr>
              <m:t>.</m:t>
            </m:r>
          </m:e>
        </m:d>
      </m:oMath>
      <w:r w:rsidR="57B05C35" w:rsidRPr="28C1B626">
        <w:rPr>
          <w:rFonts w:ascii="Times New Roman" w:eastAsia="Times New Roman" w:hAnsi="Times New Roman" w:cs="Times New Roman"/>
        </w:rPr>
        <w:t xml:space="preserve"> </w:t>
      </w:r>
      <w:r w:rsidRPr="28C1B626">
        <w:rPr>
          <w:rFonts w:ascii="Times New Roman" w:eastAsia="Times New Roman" w:hAnsi="Times New Roman" w:cs="Times New Roman"/>
        </w:rPr>
        <w:t xml:space="preserve">maps only the information matrix available at time </w:t>
      </w:r>
      <m:oMath>
        <m:r>
          <w:rPr>
            <w:rFonts w:ascii="Cambria Math" w:hAnsi="Cambria Math"/>
          </w:rPr>
          <m:t>t </m:t>
        </m:r>
      </m:oMath>
      <w:r w:rsidRPr="28C1B626">
        <w:rPr>
          <w:rFonts w:ascii="Times New Roman" w:eastAsia="Times New Roman" w:hAnsi="Times New Roman" w:cs="Times New Roman"/>
        </w:rPr>
        <w:t xml:space="preserve"> to the target return at time</w:t>
      </w:r>
      <m:oMath>
        <m:r>
          <w:rPr>
            <w:rFonts w:ascii="Cambria Math" w:hAnsi="Cambria Math"/>
          </w:rPr>
          <m:t>t+1 </m:t>
        </m:r>
      </m:oMath>
      <w:r w:rsidRPr="28C1B626">
        <w:rPr>
          <w:rFonts w:ascii="Times New Roman" w:eastAsia="Times New Roman" w:hAnsi="Times New Roman" w:cs="Times New Roman"/>
        </w:rPr>
        <w:t>, the chronological integrity of the predictive pipeline is preserved, rendering the model suitable for practical portfolio allocation on the Nigerian Exchange</w:t>
      </w:r>
      <w:r w:rsidR="2F5AA5A0" w:rsidRPr="28C1B626">
        <w:rPr>
          <w:rFonts w:ascii="Times New Roman" w:eastAsia="Times New Roman" w:hAnsi="Times New Roman" w:cs="Times New Roman"/>
        </w:rPr>
        <w:t xml:space="preserve"> Group</w:t>
      </w:r>
      <w:r w:rsidRPr="28C1B626">
        <w:rPr>
          <w:rFonts w:ascii="Times New Roman" w:eastAsia="Times New Roman" w:hAnsi="Times New Roman" w:cs="Times New Roman"/>
        </w:rPr>
        <w:t>.</w:t>
      </w:r>
    </w:p>
    <w:p w14:paraId="17AA2DF5" w14:textId="42114653" w:rsidR="2DC85E35" w:rsidRDefault="009586D3" w:rsidP="00B61C71">
      <w:pPr>
        <w:spacing w:before="240" w:after="20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color w:val="000000" w:themeColor="text1"/>
        </w:rPr>
        <w:t xml:space="preserve">3.2.2 </w:t>
      </w:r>
      <w:r w:rsidRPr="47575B0A">
        <w:rPr>
          <w:rFonts w:ascii="Times New Roman" w:eastAsia="Times New Roman" w:hAnsi="Times New Roman" w:cs="Times New Roman"/>
          <w:b/>
          <w:bCs/>
        </w:rPr>
        <w:t>Random Forest Specification</w:t>
      </w:r>
    </w:p>
    <w:p w14:paraId="376991F7" w14:textId="5A82EA6A" w:rsidR="2DC85E35" w:rsidRDefault="153AB6A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capture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linear interactions among the thirteen technical and momentum indicators, this study employs the Random Forest (RF) algorithm, a robust ensemble machine learning technique.</w:t>
      </w:r>
    </w:p>
    <w:p w14:paraId="0BFF96C2" w14:textId="02FC8BF1" w:rsidR="2DC85E35" w:rsidRDefault="4F2FA06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1. Bootstrap Aggregating (Bagging)</w:t>
      </w:r>
    </w:p>
    <w:p w14:paraId="220FFE4E" w14:textId="25A8836F"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foundation of the RF model relies on the statistical method of bagging. Given the training dataset of weekly returns and features, the algorithm generates </w:t>
      </w:r>
      <m:oMath>
        <m:r>
          <w:rPr>
            <w:rFonts w:ascii="Cambria Math" w:hAnsi="Cambria Math"/>
          </w:rPr>
          <m:t>B </m:t>
        </m:r>
      </m:oMath>
      <w:r w:rsidRPr="28C1B626">
        <w:rPr>
          <w:rFonts w:ascii="Times New Roman" w:eastAsia="Times New Roman" w:hAnsi="Times New Roman" w:cs="Times New Roman"/>
        </w:rPr>
        <w:t>independent bootstrap samples (random samples drawn with replacement). Let the original training dataset be defined as</w:t>
      </w:r>
    </w:p>
    <w:p w14:paraId="3A4E241E" w14:textId="1093A6A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 </w:t>
      </w:r>
      <m:oMath>
        <m:r>
          <w:rPr>
            <w:rFonts w:ascii="Cambria Math" w:hAnsi="Cambria Math"/>
          </w:rPr>
          <m:t>S = </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e>
            </m:d>
          </m:e>
        </m:d>
      </m:oMath>
      <w:r w:rsidRPr="28C1B626">
        <w:rPr>
          <w:rFonts w:ascii="Times New Roman" w:eastAsia="Times New Roman" w:hAnsi="Times New Roman" w:cs="Times New Roman"/>
        </w:rPr>
        <w:t>.</w:t>
      </w:r>
    </w:p>
    <w:p w14:paraId="1892F858" w14:textId="17037F41"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For each </w:t>
      </w:r>
      <w:proofErr w:type="gramStart"/>
      <w:r w:rsidRPr="28C1B626">
        <w:rPr>
          <w:rFonts w:ascii="Times New Roman" w:eastAsia="Times New Roman" w:hAnsi="Times New Roman" w:cs="Times New Roman"/>
        </w:rPr>
        <w:t xml:space="preserve">iteration </w:t>
      </w:r>
      <w:proofErr w:type="gramEnd"/>
      <m:oMath>
        <m:r>
          <w:rPr>
            <w:rFonts w:ascii="Cambria Math" w:hAnsi="Cambria Math"/>
          </w:rPr>
          <m:t>b=1,2,…,B </m:t>
        </m:r>
      </m:oMath>
      <w:r w:rsidRPr="28C1B626">
        <w:rPr>
          <w:rFonts w:ascii="Times New Roman" w:eastAsia="Times New Roman" w:hAnsi="Times New Roman" w:cs="Times New Roman"/>
        </w:rPr>
        <w:t>:</w:t>
      </w:r>
    </w:p>
    <w:p w14:paraId="598414A9" w14:textId="5FACEEF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 bootstrap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 xml:space="preserve"> is drawn </w:t>
      </w:r>
      <w:proofErr w:type="gramStart"/>
      <w:r w:rsidRPr="28C1B626">
        <w:rPr>
          <w:rFonts w:ascii="Times New Roman" w:eastAsia="Times New Roman" w:hAnsi="Times New Roman" w:cs="Times New Roman"/>
        </w:rPr>
        <w:t xml:space="preserve">from </w:t>
      </w:r>
      <w:proofErr w:type="gramEnd"/>
      <m:oMath>
        <m:r>
          <w:rPr>
            <w:rFonts w:ascii="Cambria Math" w:hAnsi="Cambria Math"/>
          </w:rPr>
          <m:t>S </m:t>
        </m:r>
      </m:oMath>
      <w:r w:rsidRPr="28C1B626">
        <w:rPr>
          <w:rFonts w:ascii="Times New Roman" w:eastAsia="Times New Roman" w:hAnsi="Times New Roman" w:cs="Times New Roman"/>
        </w:rPr>
        <w:t xml:space="preserve">. A distinct regression tree, denoted </w:t>
      </w:r>
      <w:proofErr w:type="gramStart"/>
      <w:r w:rsidRPr="28C1B626">
        <w:rPr>
          <w:rFonts w:ascii="Times New Roman" w:eastAsia="Times New Roman" w:hAnsi="Times New Roman" w:cs="Times New Roman"/>
        </w:rPr>
        <w:t xml:space="preserve">as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using this specific localized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w:t>
      </w:r>
    </w:p>
    <w:p w14:paraId="394B7016" w14:textId="0D1C216C" w:rsidR="2DC85E35" w:rsidRDefault="51B1097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Tree Construction and Feature Randomness</w:t>
      </w:r>
    </w:p>
    <w:p w14:paraId="0D5EC6E3" w14:textId="68080244" w:rsidR="2DC85E35" w:rsidRDefault="31514E1B"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At each node of the </w:t>
      </w:r>
      <w:proofErr w:type="gramStart"/>
      <w:r w:rsidRPr="28C1B626">
        <w:rPr>
          <w:rFonts w:ascii="Times New Roman" w:eastAsia="Times New Roman" w:hAnsi="Times New Roman" w:cs="Times New Roman"/>
        </w:rPr>
        <w:t xml:space="preserve">tree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a random subset of </w:t>
      </w:r>
      <m:oMath>
        <m:r>
          <w:rPr>
            <w:rFonts w:ascii="Cambria Math" w:hAnsi="Cambria Math"/>
          </w:rPr>
          <m:t>m </m:t>
        </m:r>
      </m:oMath>
      <w:r w:rsidRPr="28C1B626">
        <w:rPr>
          <w:rFonts w:ascii="Times New Roman" w:eastAsia="Times New Roman" w:hAnsi="Times New Roman" w:cs="Times New Roman"/>
        </w:rPr>
        <w:t xml:space="preserve"> features is selected from the total </w:t>
      </w:r>
      <m:oMath>
        <m:r>
          <w:rPr>
            <w:rFonts w:ascii="Cambria Math" w:hAnsi="Cambria Math"/>
          </w:rPr>
          <m:t>p=13 </m:t>
        </m:r>
      </m:oMath>
      <w:r w:rsidRPr="28C1B626">
        <w:rPr>
          <w:rFonts w:ascii="Times New Roman" w:eastAsia="Times New Roman" w:hAnsi="Times New Roman" w:cs="Times New Roman"/>
        </w:rPr>
        <w:t xml:space="preserve"> available indicators in the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For regression tasks, this subset is typically established </w:t>
      </w:r>
      <w:proofErr w:type="gramStart"/>
      <w:r w:rsidRPr="28C1B626">
        <w:rPr>
          <w:rFonts w:ascii="Times New Roman" w:eastAsia="Times New Roman" w:hAnsi="Times New Roman" w:cs="Times New Roman"/>
        </w:rPr>
        <w:t xml:space="preserve">as </w:t>
      </w:r>
      <w:proofErr w:type="gramEnd"/>
      <m:oMath>
        <m:r>
          <w:rPr>
            <w:rFonts w:ascii="Cambria Math" w:hAnsi="Cambria Math"/>
          </w:rPr>
          <m:t>m≈p</m:t>
        </m:r>
        <m:r>
          <m:rPr>
            <m:lit/>
          </m:rPr>
          <w:rPr>
            <w:rFonts w:ascii="Cambria Math" w:hAnsi="Cambria Math"/>
          </w:rPr>
          <m:t>/</m:t>
        </m:r>
        <m:r>
          <w:rPr>
            <w:rFonts w:ascii="Cambria Math" w:hAnsi="Cambria Math"/>
          </w:rPr>
          <m:t>3 </m:t>
        </m:r>
      </m:oMath>
      <w:r w:rsidRPr="28C1B626">
        <w:rPr>
          <w:rFonts w:ascii="Times New Roman" w:eastAsia="Times New Roman" w:hAnsi="Times New Roman" w:cs="Times New Roman"/>
        </w:rPr>
        <w:t>.</w:t>
      </w:r>
    </w:p>
    <w:p w14:paraId="09957111" w14:textId="71B7B269"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algorithm determines the optimal splitting variable </w:t>
      </w:r>
      <m:oMath>
        <m:r>
          <w:rPr>
            <w:rFonts w:ascii="Cambria Math" w:hAnsi="Cambria Math"/>
          </w:rPr>
          <m:t>j </m:t>
        </m:r>
      </m:oMath>
      <w:r w:rsidRPr="28C1B626">
        <w:rPr>
          <w:rFonts w:ascii="Times New Roman" w:eastAsia="Times New Roman" w:hAnsi="Times New Roman" w:cs="Times New Roman"/>
        </w:rPr>
        <w:t xml:space="preserve"> (from the </w:t>
      </w:r>
      <m:oMath>
        <m:r>
          <w:rPr>
            <w:rFonts w:ascii="Cambria Math" w:hAnsi="Cambria Math"/>
          </w:rPr>
          <m:t>m </m:t>
        </m:r>
      </m:oMath>
      <w:r w:rsidRPr="28C1B626">
        <w:rPr>
          <w:rFonts w:ascii="Times New Roman" w:eastAsia="Times New Roman" w:hAnsi="Times New Roman" w:cs="Times New Roman"/>
        </w:rPr>
        <w:t xml:space="preserve"> subset) and split point </w:t>
      </w:r>
      <m:oMath>
        <m:r>
          <w:rPr>
            <w:rFonts w:ascii="Cambria Math" w:hAnsi="Cambria Math"/>
          </w:rPr>
          <m:t>s </m:t>
        </m:r>
      </m:oMath>
      <w:r w:rsidRPr="28C1B626">
        <w:rPr>
          <w:rFonts w:ascii="Times New Roman" w:eastAsia="Times New Roman" w:hAnsi="Times New Roman" w:cs="Times New Roman"/>
        </w:rPr>
        <w:t xml:space="preserve"> by minimizing the Mean Squared Error (MSE) of the resulting partitions. For a given node representing a region of the feature </w:t>
      </w:r>
      <w:proofErr w:type="gramStart"/>
      <w:r w:rsidRPr="28C1B626">
        <w:rPr>
          <w:rFonts w:ascii="Times New Roman" w:eastAsia="Times New Roman" w:hAnsi="Times New Roman" w:cs="Times New Roman"/>
        </w:rPr>
        <w:t xml:space="preserve">space </w:t>
      </w:r>
      <w:proofErr w:type="gramEnd"/>
      <m:oMath>
        <m:sSub>
          <m:sSubPr>
            <m:ctrlPr>
              <w:rPr>
                <w:rFonts w:ascii="Cambria Math" w:hAnsi="Cambria Math"/>
              </w:rPr>
            </m:ctrlPr>
          </m:sSubPr>
          <m:e>
            <m:r>
              <w:rPr>
                <w:rFonts w:ascii="Cambria Math" w:hAnsi="Cambria Math"/>
              </w:rPr>
              <m:t>R</m:t>
            </m:r>
          </m:e>
          <m:sub>
            <m:r>
              <w:rPr>
                <w:rFonts w:ascii="Cambria Math" w:hAnsi="Cambria Math"/>
              </w:rPr>
              <m:t>node</m:t>
            </m:r>
          </m:sub>
        </m:sSub>
      </m:oMath>
      <w:r w:rsidRPr="28C1B626">
        <w:rPr>
          <w:rFonts w:ascii="Times New Roman" w:eastAsia="Times New Roman" w:hAnsi="Times New Roman" w:cs="Times New Roman"/>
        </w:rPr>
        <w:t xml:space="preserve">, the split </w:t>
      </w:r>
      <m:oMath>
        <m:d>
          <m:dPr>
            <m:ctrlPr>
              <w:rPr>
                <w:rFonts w:ascii="Cambria Math" w:hAnsi="Cambria Math"/>
              </w:rPr>
            </m:ctrlPr>
          </m:dPr>
          <m:e>
            <m:r>
              <w:rPr>
                <w:rFonts w:ascii="Cambria Math" w:hAnsi="Cambria Math"/>
              </w:rPr>
              <m:t>j,s</m:t>
            </m:r>
          </m:e>
        </m:d>
      </m:oMath>
      <w:r w:rsidRPr="28C1B626">
        <w:rPr>
          <w:rFonts w:ascii="Times New Roman" w:eastAsia="Times New Roman" w:hAnsi="Times New Roman" w:cs="Times New Roman"/>
        </w:rPr>
        <w:t xml:space="preserve"> is chosen to minimize:</w:t>
      </w:r>
    </w:p>
    <w:p w14:paraId="1F26A4DC" w14:textId="16890779" w:rsidR="00F2530B" w:rsidRDefault="00F2530B" w:rsidP="00B61C71">
      <w:pPr>
        <w:spacing w:after="240" w:line="480" w:lineRule="auto"/>
        <w:jc w:val="both"/>
        <w:rPr>
          <w:rFonts w:ascii="Times New Roman" w:eastAsia="Times New Roman" w:hAnsi="Times New Roman" w:cs="Times New Roman"/>
        </w:rPr>
      </w:pPr>
    </w:p>
    <w:p w14:paraId="4C34896D" w14:textId="437883BE" w:rsidR="00F2530B" w:rsidRDefault="000113DD"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min</m:t>
              </m:r>
            </m:e>
            <m:sub>
              <m:r>
                <w:rPr>
                  <w:rFonts w:ascii="Cambria Math" w:eastAsia="Times New Roman" w:hAnsi="Cambria Math" w:cs="Times New Roman"/>
                </w:rPr>
                <m:t>j,s</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left</m:t>
                      </m:r>
                    </m:sub>
                  </m:sSub>
                  <m:d>
                    <m:dPr>
                      <m:ctrlPr>
                        <w:rPr>
                          <w:rFonts w:ascii="Cambria Math" w:eastAsia="Times New Roman" w:hAnsi="Cambria Math" w:cs="Times New Roman"/>
                          <w:i/>
                        </w:rPr>
                      </m:ctrlPr>
                    </m:dPr>
                    <m:e>
                      <m:r>
                        <w:rPr>
                          <w:rFonts w:ascii="Cambria Math" w:eastAsia="Times New Roman" w:hAnsi="Cambria Math" w:cs="Times New Roman"/>
                        </w:rPr>
                        <m:t>j,s</m:t>
                      </m:r>
                    </m:e>
                  </m:d>
                </m:sub>
                <m:sup/>
                <m:e>
                  <m:sSup>
                    <m:sSupPr>
                      <m:ctrlPr>
                        <w:rPr>
                          <w:rFonts w:ascii="Cambria Math" w:eastAsia="Times New Roman" w:hAnsi="Cambria Math" w:cs="Times New Roman"/>
                          <w:i/>
                        </w:rPr>
                      </m:ctrlPr>
                    </m:sSupPr>
                    <m:e>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left</m:t>
                              </m:r>
                            </m:sub>
                          </m:sSub>
                        </m:e>
                      </m:d>
                    </m:e>
                    <m:sup>
                      <m:r>
                        <w:rPr>
                          <w:rFonts w:ascii="Cambria Math" w:eastAsia="Times New Roman" w:hAnsi="Cambria Math" w:cs="Times New Roman"/>
                        </w:rPr>
                        <m:t>2</m:t>
                      </m:r>
                    </m:sup>
                  </m:sSup>
                </m:e>
              </m:nary>
              <m:r>
                <w:rPr>
                  <w:rFonts w:ascii="Cambria Math" w:eastAsia="Times New Roman" w:hAnsi="Cambria Math" w:cs="Times New Roman"/>
                </w:rPr>
                <m:t>+</m:t>
              </m:r>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right</m:t>
                      </m:r>
                    </m:sub>
                  </m:sSub>
                  <m:r>
                    <w:rPr>
                      <w:rFonts w:ascii="Cambria Math" w:eastAsia="Times New Roman" w:hAnsi="Cambria Math" w:cs="Times New Roman"/>
                    </w:rPr>
                    <m:t>(j,s)</m:t>
                  </m:r>
                </m:sub>
                <m:sup/>
                <m:e>
                  <m:sSup>
                    <m:sSupPr>
                      <m:ctrlPr>
                        <w:rPr>
                          <w:rFonts w:ascii="Cambria Math" w:eastAsia="Times New Roman" w:hAnsi="Cambria Math" w:cs="Times New Roman"/>
                          <w:i/>
                        </w:rPr>
                      </m:ctrlPr>
                    </m:sSupP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right</m:t>
                          </m:r>
                        </m:sub>
                      </m:sSub>
                      <m:r>
                        <w:rPr>
                          <w:rFonts w:ascii="Cambria Math" w:eastAsia="Times New Roman" w:hAnsi="Cambria Math" w:cs="Times New Roman"/>
                        </w:rPr>
                        <m:t>)</m:t>
                      </m:r>
                    </m:e>
                    <m:sup>
                      <m:r>
                        <w:rPr>
                          <w:rFonts w:ascii="Cambria Math" w:eastAsia="Times New Roman" w:hAnsi="Cambria Math" w:cs="Times New Roman"/>
                        </w:rPr>
                        <m:t>2</m:t>
                      </m:r>
                    </m:sup>
                  </m:sSup>
                </m:e>
              </m:nary>
            </m:e>
          </m:d>
        </m:oMath>
      </m:oMathPara>
    </w:p>
    <w:p w14:paraId="12C514D7" w14:textId="7F46A212" w:rsidR="2DC85E35" w:rsidRDefault="00AF16B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 </w:t>
      </w:r>
      <w:r w:rsidR="52A98F5E" w:rsidRPr="28C1B626">
        <w:rPr>
          <w:rFonts w:ascii="Times New Roman" w:eastAsia="Times New Roman" w:hAnsi="Times New Roman" w:cs="Times New Roman"/>
        </w:rPr>
        <w:t>(Where</w:t>
      </w:r>
      <m:oMath>
        <m:sSub>
          <m:sSubPr>
            <m:ctrlPr>
              <w:rPr>
                <w:rFonts w:ascii="Cambria Math" w:hAnsi="Cambria Math"/>
              </w:rPr>
            </m:ctrlPr>
          </m:sSubPr>
          <m:e>
            <m:r>
              <w:rPr>
                <w:rFonts w:ascii="Cambria Math" w:hAnsi="Cambria Math"/>
              </w:rPr>
              <m:t>R</m:t>
            </m:r>
          </m:e>
          <m:sub>
            <m:r>
              <w:rPr>
                <w:rFonts w:ascii="Cambria Math" w:hAnsi="Cambria Math"/>
              </w:rPr>
              <m:t>left</m:t>
            </m:r>
          </m:sub>
        </m:sSub>
      </m:oMath>
      <w:r w:rsidR="52A98F5E"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right</m:t>
            </m:r>
          </m:sub>
        </m:sSub>
      </m:oMath>
      <w:r w:rsidR="52A98F5E" w:rsidRPr="28C1B626">
        <w:rPr>
          <w:rFonts w:ascii="Times New Roman" w:eastAsia="Times New Roman" w:hAnsi="Times New Roman" w:cs="Times New Roman"/>
        </w:rPr>
        <w:t xml:space="preserve"> are the partitioned feature </w:t>
      </w:r>
      <w:r w:rsidR="77E39F4B" w:rsidRPr="28C1B626">
        <w:rPr>
          <w:rFonts w:ascii="Times New Roman" w:eastAsia="Times New Roman" w:hAnsi="Times New Roman" w:cs="Times New Roman"/>
        </w:rPr>
        <w:t>spaces and</w:t>
      </w:r>
      <w:r w:rsidR="52A98F5E" w:rsidRPr="28C1B626">
        <w:rPr>
          <w:rFonts w:ascii="Times New Roman" w:eastAsia="Times New Roman" w:hAnsi="Times New Roman" w:cs="Times New Roman"/>
        </w:rPr>
        <w:t xml:space="preserve"> </w:t>
      </w:r>
      <m:oMath>
        <m:acc>
          <m:accPr>
            <m:ctrlPr>
              <w:rPr>
                <w:rFonts w:ascii="Cambria Math" w:hAnsi="Cambria Math"/>
              </w:rPr>
            </m:ctrlPr>
          </m:accPr>
          <m:e>
            <m:r>
              <w:rPr>
                <w:rFonts w:ascii="Cambria Math" w:hAnsi="Cambria Math"/>
              </w:rPr>
              <m:t>y</m:t>
            </m:r>
          </m:e>
        </m:acc>
      </m:oMath>
      <w:r w:rsidR="52A98F5E" w:rsidRPr="28C1B626">
        <w:rPr>
          <w:rFonts w:ascii="Times New Roman" w:eastAsia="Times New Roman" w:hAnsi="Times New Roman" w:cs="Times New Roman"/>
        </w:rPr>
        <w:t xml:space="preserve"> represents the mean of the observed returns within that specific </w:t>
      </w:r>
      <w:r w:rsidR="2A427B96" w:rsidRPr="28C1B626">
        <w:rPr>
          <w:rFonts w:ascii="Times New Roman" w:eastAsia="Times New Roman" w:hAnsi="Times New Roman" w:cs="Times New Roman"/>
        </w:rPr>
        <w:t>region.</w:t>
      </w:r>
    </w:p>
    <w:p w14:paraId="230F0510" w14:textId="3FBACD79" w:rsidR="2DC85E35" w:rsidRDefault="52A98F5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 The Ensemble Forecast</w:t>
      </w:r>
    </w:p>
    <w:p w14:paraId="77A0F39C" w14:textId="472132E3"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Each individual tree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deeply without pruning. While a single unpruned tree captures highly complex,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linear market relationships with low bias, it </w:t>
      </w:r>
      <w:r w:rsidR="5219A071" w:rsidRPr="28C1B626">
        <w:rPr>
          <w:rFonts w:ascii="Times New Roman" w:eastAsia="Times New Roman" w:hAnsi="Times New Roman" w:cs="Times New Roman"/>
        </w:rPr>
        <w:t>suffers</w:t>
      </w:r>
      <w:r w:rsidRPr="28C1B626">
        <w:rPr>
          <w:rFonts w:ascii="Times New Roman" w:eastAsia="Times New Roman" w:hAnsi="Times New Roman" w:cs="Times New Roman"/>
        </w:rPr>
        <w:t xml:space="preserve"> high variance (over</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fitting). The Random Forest model neutralizes this variance by averaging the continuous predictive outputs across all </w:t>
      </w:r>
      <m:oMath>
        <m:r>
          <w:rPr>
            <w:rFonts w:ascii="Cambria Math" w:hAnsi="Cambria Math"/>
          </w:rPr>
          <m:t>B </m:t>
        </m:r>
      </m:oMath>
      <w:r w:rsidRPr="28C1B626">
        <w:rPr>
          <w:rFonts w:ascii="Times New Roman" w:eastAsia="Times New Roman" w:hAnsi="Times New Roman" w:cs="Times New Roman"/>
        </w:rPr>
        <w:t xml:space="preserve"> independently trained trees.</w:t>
      </w:r>
    </w:p>
    <w:p w14:paraId="6DAE8195" w14:textId="79E4E64A"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aggregate Random Forest prediction for the weekly return at </w:t>
      </w:r>
      <w:proofErr w:type="gramStart"/>
      <w:r w:rsidRPr="28C1B626">
        <w:rPr>
          <w:rFonts w:ascii="Times New Roman" w:eastAsia="Times New Roman" w:hAnsi="Times New Roman" w:cs="Times New Roman"/>
        </w:rPr>
        <w:t xml:space="preserve">time </w:t>
      </w:r>
      <w:proofErr w:type="gramEnd"/>
      <m:oMath>
        <m:r>
          <w:rPr>
            <w:rFonts w:ascii="Cambria Math" w:hAnsi="Cambria Math"/>
          </w:rPr>
          <m:t>t+1 </m:t>
        </m:r>
      </m:oMath>
      <w:r w:rsidRPr="28C1B626">
        <w:rPr>
          <w:rFonts w:ascii="Times New Roman" w:eastAsia="Times New Roman" w:hAnsi="Times New Roman" w:cs="Times New Roman"/>
        </w:rPr>
        <w:t xml:space="preserve">, given the specific market information set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is mathematically specified as:</w:t>
      </w:r>
    </w:p>
    <w:p w14:paraId="41E291F7" w14:textId="07131418" w:rsidR="2DC85E35" w:rsidRDefault="000113DD" w:rsidP="00B61C71">
      <w:pPr>
        <w:spacing w:after="240" w:line="480" w:lineRule="auto"/>
        <w:jc w:val="both"/>
        <w:rPr>
          <w:rFonts w:ascii="Times New Roman" w:eastAsia="Times New Roman" w:hAnsi="Times New Roman" w:cs="Times New Roman"/>
        </w:rPr>
      </w:pPr>
      <m:oMathPara>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ctrlPr>
                <w:rPr>
                  <w:rFonts w:ascii="Cambria Math" w:hAnsi="Cambria Math"/>
                </w:rPr>
              </m:ctrlPr>
            </m:naryPr>
            <m:sub>
              <m:r>
                <w:rPr>
                  <w:rFonts w:ascii="Cambria Math" w:hAnsi="Cambria Math"/>
                </w:rPr>
                <m:t>b=1</m:t>
              </m:r>
            </m:sub>
            <m:sup>
              <m:r>
                <w:rPr>
                  <w:rFonts w:ascii="Cambria Math" w:hAnsi="Cambria Math"/>
                </w:rPr>
                <m:t>B</m:t>
              </m:r>
            </m:sup>
            <m:e>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oMath>
      </m:oMathPara>
    </w:p>
    <w:p w14:paraId="165AB232" w14:textId="6615F74B" w:rsidR="2DC85E35" w:rsidRDefault="665A2B6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677235F0" w14:textId="3703AAEB" w:rsidR="2DC85E35" w:rsidRDefault="000113DD" w:rsidP="00B61C71">
      <w:pPr>
        <w:pStyle w:val="ListParagraph"/>
        <w:numPr>
          <w:ilvl w:val="0"/>
          <w:numId w:val="8"/>
        </w:numPr>
        <w:spacing w:before="240" w:after="240" w:line="480" w:lineRule="auto"/>
        <w:jc w:val="both"/>
        <w:rPr>
          <w:rFonts w:ascii="Times New Roman" w:eastAsia="Times New Roman" w:hAnsi="Times New Roman" w:cs="Times New Roman"/>
        </w:rPr>
      </w:pPr>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forecasted logarithmic return of the target asset.</w:t>
      </w:r>
    </w:p>
    <w:p w14:paraId="300BC561" w14:textId="5035E862" w:rsidR="2DC85E35" w:rsidRDefault="2DC85E35" w:rsidP="00B61C71">
      <w:pPr>
        <w:pStyle w:val="ListParagraph"/>
        <w:numPr>
          <w:ilvl w:val="0"/>
          <w:numId w:val="8"/>
        </w:numPr>
        <w:spacing w:before="240" w:after="240" w:line="480" w:lineRule="auto"/>
        <w:jc w:val="both"/>
        <w:rPr>
          <w:rFonts w:ascii="Times New Roman" w:eastAsia="Times New Roman" w:hAnsi="Times New Roman" w:cs="Times New Roman"/>
        </w:rPr>
      </w:pPr>
      <m:oMath>
        <m:r>
          <w:rPr>
            <w:rFonts w:ascii="Cambria Math" w:hAnsi="Cambria Math"/>
          </w:rPr>
          <m:t>B </m:t>
        </m:r>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total number of regression trees in the forest ensemble (a hyperparameter that will be optimized during the model training phase).</w:t>
      </w:r>
    </w:p>
    <w:p w14:paraId="7143C5B9" w14:textId="24C62BFA" w:rsidR="2DC85E35" w:rsidRDefault="000113DD" w:rsidP="00B61C71">
      <w:pPr>
        <w:pStyle w:val="ListParagraph"/>
        <w:numPr>
          <w:ilvl w:val="0"/>
          <w:numId w:val="8"/>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predicted return of the </w:t>
      </w:r>
      <m:oMath>
        <m:r>
          <w:rPr>
            <w:rFonts w:ascii="Cambria Math" w:hAnsi="Cambria Math"/>
          </w:rPr>
          <m:t>b </m:t>
        </m:r>
      </m:oMath>
      <w:r w:rsidR="3CB00BA7" w:rsidRPr="28C1B626">
        <w:rPr>
          <w:rFonts w:ascii="Times New Roman" w:eastAsia="Times New Roman" w:hAnsi="Times New Roman" w:cs="Times New Roman"/>
        </w:rPr>
        <w:t>-</w:t>
      </w:r>
      <w:proofErr w:type="spellStart"/>
      <w:r w:rsidR="665A2B6B" w:rsidRPr="28C1B626">
        <w:rPr>
          <w:rFonts w:ascii="Times New Roman" w:eastAsia="Times New Roman" w:hAnsi="Times New Roman" w:cs="Times New Roman"/>
        </w:rPr>
        <w:t>th</w:t>
      </w:r>
      <w:proofErr w:type="spellEnd"/>
      <w:r w:rsidR="665A2B6B" w:rsidRPr="28C1B626">
        <w:rPr>
          <w:rFonts w:ascii="Times New Roman" w:eastAsia="Times New Roman" w:hAnsi="Times New Roman" w:cs="Times New Roman"/>
        </w:rPr>
        <w:t xml:space="preserve"> individual regression tree based on the 13</w:t>
      </w:r>
      <w:r w:rsidR="3CB00BA7" w:rsidRPr="28C1B626">
        <w:rPr>
          <w:rFonts w:ascii="Times New Roman" w:eastAsia="Times New Roman" w:hAnsi="Times New Roman" w:cs="Times New Roman"/>
        </w:rPr>
        <w:t>-</w:t>
      </w:r>
      <w:r w:rsidR="665A2B6B" w:rsidRPr="28C1B626">
        <w:rPr>
          <w:rFonts w:ascii="Times New Roman" w:eastAsia="Times New Roman" w:hAnsi="Times New Roman" w:cs="Times New Roman"/>
        </w:rPr>
        <w:t xml:space="preserve">dimensional feature vector </w:t>
      </w:r>
      <m:oMath>
        <m:r>
          <w:rPr>
            <w:rFonts w:ascii="Cambria Math" w:hAnsi="Cambria Math"/>
          </w:rPr>
          <m:t>b </m:t>
        </m:r>
      </m:oMath>
      <w:r w:rsidR="665A2B6B" w:rsidRPr="28C1B626">
        <w:rPr>
          <w:rFonts w:ascii="Times New Roman" w:eastAsia="Times New Roman" w:hAnsi="Times New Roman" w:cs="Times New Roman"/>
        </w:rPr>
        <w:t>.</w:t>
      </w:r>
    </w:p>
    <w:p w14:paraId="25330198" w14:textId="31E6A39A" w:rsidR="2DC85E35" w:rsidRDefault="3184A9BB"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3.2.3 </w:t>
      </w:r>
      <w:proofErr w:type="spellStart"/>
      <w:proofErr w:type="gramStart"/>
      <w:r w:rsidRPr="47575B0A">
        <w:rPr>
          <w:rFonts w:ascii="Times New Roman" w:eastAsia="Times New Roman" w:hAnsi="Times New Roman" w:cs="Times New Roman"/>
          <w:b/>
          <w:bCs/>
        </w:rPr>
        <w:t>eXtreme</w:t>
      </w:r>
      <w:proofErr w:type="spellEnd"/>
      <w:proofErr w:type="gramEnd"/>
      <w:r w:rsidRPr="47575B0A">
        <w:rPr>
          <w:rFonts w:ascii="Times New Roman" w:eastAsia="Times New Roman" w:hAnsi="Times New Roman" w:cs="Times New Roman"/>
          <w:b/>
          <w:bCs/>
        </w:rPr>
        <w:t xml:space="preserve"> Gradient Boosting (</w:t>
      </w: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w:t>
      </w:r>
    </w:p>
    <w:p w14:paraId="56B00261" w14:textId="4293D66D" w:rsidR="169D4331" w:rsidRDefault="4A995ECD" w:rsidP="00B61C71">
      <w:pPr>
        <w:spacing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rPr>
        <w:lastRenderedPageBreak/>
        <w:t>XGBoost</w:t>
      </w:r>
      <w:proofErr w:type="spellEnd"/>
      <w:r w:rsidRPr="47575B0A">
        <w:rPr>
          <w:rFonts w:ascii="Times New Roman" w:eastAsia="Times New Roman" w:hAnsi="Times New Roman" w:cs="Times New Roman"/>
        </w:rPr>
        <w:t xml:space="preserve"> operates as an additive ensemble of classification and regression trees (CART), optimizing a regularized objective function via second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order gradient descent.</w:t>
      </w:r>
    </w:p>
    <w:p w14:paraId="1703AFB1" w14:textId="63D57172" w:rsidR="169D4331" w:rsidRDefault="4A995ECD"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The Additive Model Specification</w:t>
      </w:r>
    </w:p>
    <w:p w14:paraId="6C11E09E" w14:textId="72EDC181" w:rsidR="2B09352C" w:rsidRDefault="0031267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 models the expected return at time</w:t>
      </w:r>
      <m:oMath>
        <m:r>
          <w:rPr>
            <w:rFonts w:ascii="Cambria Math" w:hAnsi="Cambria Math"/>
          </w:rPr>
          <m:t>t+1 </m:t>
        </m:r>
      </m:oMath>
      <w:r w:rsidRPr="28C1B626">
        <w:rPr>
          <w:rFonts w:ascii="Times New Roman" w:eastAsia="Times New Roman" w:hAnsi="Times New Roman" w:cs="Times New Roman"/>
        </w:rPr>
        <w:t xml:space="preserve">as an additive combination of </w:t>
      </w:r>
      <m:oMath>
        <m:r>
          <w:rPr>
            <w:rFonts w:ascii="Cambria Math" w:hAnsi="Cambria Math"/>
          </w:rPr>
          <m:t>K </m:t>
        </m:r>
      </m:oMath>
      <w:r w:rsidRPr="28C1B626">
        <w:rPr>
          <w:rFonts w:ascii="Times New Roman" w:eastAsia="Times New Roman" w:hAnsi="Times New Roman" w:cs="Times New Roman"/>
        </w:rPr>
        <w:t xml:space="preserve"> sequential base learners (regression trees). For a given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containing the thirteen extracted market indicators, the aggregated XGBoost forecast is defined as:</w:t>
      </w:r>
    </w:p>
    <w:p w14:paraId="3950B05C" w14:textId="3103D52D" w:rsidR="28C1B626" w:rsidRDefault="000113DD" w:rsidP="00B61C71">
      <w:pPr>
        <w:spacing w:after="0" w:line="480" w:lineRule="auto"/>
        <w:ind w:left="1440" w:firstLine="720"/>
        <w:jc w:val="both"/>
        <w:rPr>
          <w:rFonts w:ascii="Times New Roman" w:eastAsia="Times New Roman" w:hAnsi="Times New Roman" w:cs="Times New Roman"/>
        </w:rPr>
      </w:pPr>
      <m:oMathPara>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w:rPr>
                      <w:rFonts w:ascii="Cambria Math" w:hAnsi="Cambria Math"/>
                    </w:rPr>
                    <m:t>f</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∈F</m:t>
          </m:r>
        </m:oMath>
      </m:oMathPara>
    </w:p>
    <w:p w14:paraId="0214E515" w14:textId="7CF524BF" w:rsidR="392A690A" w:rsidRDefault="58A8598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30BDCC3" w14:textId="24C331D5" w:rsidR="28C1B626" w:rsidRDefault="000113DD" w:rsidP="00B61C71">
      <w:pPr>
        <w:pStyle w:val="ListParagraph"/>
        <w:numPr>
          <w:ilvl w:val="0"/>
          <w:numId w:val="7"/>
        </w:numPr>
        <w:spacing w:before="240" w:after="240" w:line="480" w:lineRule="auto"/>
        <w:jc w:val="both"/>
        <w:rPr>
          <w:rFonts w:ascii="Times New Roman" w:eastAsia="Times New Roman" w:hAnsi="Times New Roman" w:cs="Times New Roman"/>
        </w:rPr>
      </w:pPr>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forecasted logarithmic return.</w:t>
      </w:r>
    </w:p>
    <w:p w14:paraId="552B8EA1" w14:textId="74F864A2" w:rsidR="28C1B626" w:rsidRDefault="28C1B626" w:rsidP="00B61C71">
      <w:pPr>
        <w:pStyle w:val="ListParagraph"/>
        <w:numPr>
          <w:ilvl w:val="0"/>
          <w:numId w:val="7"/>
        </w:numPr>
        <w:spacing w:before="240" w:after="240" w:line="480" w:lineRule="auto"/>
        <w:jc w:val="both"/>
        <w:rPr>
          <w:rFonts w:ascii="Times New Roman" w:eastAsia="Times New Roman" w:hAnsi="Times New Roman" w:cs="Times New Roman"/>
        </w:rPr>
      </w:pPr>
      <m:oMath>
        <m:r>
          <w:rPr>
            <w:rFonts w:ascii="Cambria Math" w:hAnsi="Cambria Math"/>
          </w:rPr>
          <m:t>K </m:t>
        </m:r>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total number of additive trees.</w:t>
      </w:r>
    </w:p>
    <w:p w14:paraId="4837B3FD" w14:textId="12BDF54F" w:rsidR="28C1B626" w:rsidRDefault="000113DD" w:rsidP="00B61C71">
      <w:pPr>
        <w:pStyle w:val="ListParagraph"/>
        <w:numPr>
          <w:ilvl w:val="0"/>
          <w:numId w:val="7"/>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f</m:t>
            </m:r>
          </m:e>
          <m:sub>
            <m:r>
              <w:rPr>
                <w:rFonts w:ascii="Cambria Math" w:hAnsi="Cambria Math"/>
              </w:rPr>
              <m:t>k</m:t>
            </m:r>
          </m:sub>
        </m:sSub>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represents</w:t>
      </w:r>
      <w:proofErr w:type="gramEnd"/>
      <w:r w:rsidR="58A85989" w:rsidRPr="28C1B626">
        <w:rPr>
          <w:rFonts w:ascii="Times New Roman" w:eastAsia="Times New Roman" w:hAnsi="Times New Roman" w:cs="Times New Roman"/>
        </w:rPr>
        <w:t xml:space="preserve"> an independent classification and regression tree (CART) structure within the functional space </w:t>
      </w:r>
      <m:oMath>
        <m:r>
          <w:rPr>
            <w:rFonts w:ascii="Cambria Math" w:hAnsi="Cambria Math"/>
          </w:rPr>
          <m:t>F </m:t>
        </m:r>
      </m:oMath>
      <w:r w:rsidR="58A85989" w:rsidRPr="28C1B626">
        <w:rPr>
          <w:rFonts w:ascii="Times New Roman" w:eastAsia="Times New Roman" w:hAnsi="Times New Roman" w:cs="Times New Roman"/>
        </w:rPr>
        <w:t>of all possible trees.</w:t>
      </w:r>
    </w:p>
    <w:p w14:paraId="7F5C0067" w14:textId="64793F5A" w:rsidR="65F995CD" w:rsidRDefault="31F2CD3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The Regularized Objective Function</w:t>
      </w:r>
    </w:p>
    <w:p w14:paraId="2275B31A" w14:textId="749634D0" w:rsidR="65F995CD" w:rsidRDefault="31F2CD3E"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Financial time series are notoriously noisy, making complex models highly susceptible to overfitting.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addresses this by optimizing a regularized objective function at each sequential step</w:t>
      </w:r>
      <w:r w:rsidR="7C990296" w:rsidRPr="28C1B626">
        <w:rPr>
          <w:rFonts w:ascii="Times New Roman" w:eastAsia="Times New Roman" w:hAnsi="Times New Roman" w:cs="Times New Roman"/>
        </w:rPr>
        <w:t xml:space="preserve"> </w:t>
      </w:r>
      <m:oMath>
        <m:r>
          <w:rPr>
            <w:rFonts w:ascii="Cambria Math" w:hAnsi="Cambria Math"/>
          </w:rPr>
          <m:t>t </m:t>
        </m:r>
      </m:oMath>
      <w:r w:rsidRPr="28C1B626">
        <w:rPr>
          <w:rFonts w:ascii="Times New Roman" w:eastAsia="Times New Roman" w:hAnsi="Times New Roman" w:cs="Times New Roman"/>
        </w:rPr>
        <w:t xml:space="preserve"> (not to be confused with time </w:t>
      </w:r>
      <w:proofErr w:type="gramStart"/>
      <w:r w:rsidRPr="28C1B626">
        <w:rPr>
          <w:rFonts w:ascii="Times New Roman" w:eastAsia="Times New Roman" w:hAnsi="Times New Roman" w:cs="Times New Roman"/>
        </w:rPr>
        <w:t>index</w:t>
      </w:r>
      <w:r w:rsidR="6B6BF4DF" w:rsidRPr="28C1B626">
        <w:rPr>
          <w:rFonts w:ascii="Times New Roman" w:eastAsia="Times New Roman" w:hAnsi="Times New Roman" w:cs="Times New Roman"/>
        </w:rPr>
        <w:t xml:space="preserve"> </w:t>
      </w:r>
      <w:proofErr w:type="gramEnd"/>
      <m:oMath>
        <m:r>
          <w:rPr>
            <w:rFonts w:ascii="Cambria Math" w:hAnsi="Cambria Math"/>
          </w:rPr>
          <m:t>t </m:t>
        </m:r>
      </m:oMath>
      <w:r w:rsidRPr="28C1B626">
        <w:rPr>
          <w:rFonts w:ascii="Times New Roman" w:eastAsia="Times New Roman" w:hAnsi="Times New Roman" w:cs="Times New Roman"/>
        </w:rPr>
        <w:t>). The algorithm seeks to minimize the following loss function:</w:t>
      </w:r>
    </w:p>
    <w:p w14:paraId="234215BD" w14:textId="5E930CC1"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L =</m:t>
          </m:r>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e>
              </m:d>
            </m:e>
          </m:nary>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e>
          </m:nary>
        </m:oMath>
      </m:oMathPara>
    </w:p>
    <w:p w14:paraId="23CDD0F9" w14:textId="450ADADE" w:rsidR="28C1B626" w:rsidRDefault="28C1B626" w:rsidP="00B61C71">
      <w:pPr>
        <w:spacing w:before="240" w:after="240" w:line="480" w:lineRule="auto"/>
        <w:jc w:val="both"/>
        <w:rPr>
          <w:rFonts w:ascii="Times New Roman" w:eastAsia="Times New Roman" w:hAnsi="Times New Roman" w:cs="Times New Roman"/>
        </w:rPr>
      </w:pPr>
    </w:p>
    <w:p w14:paraId="38F0EB39" w14:textId="4DD2BD8F"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74DFE97A" w14:textId="078AAEA0"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w:rPr>
            <w:rFonts w:ascii="Cambria Math" w:hAnsi="Cambria Math"/>
          </w:rPr>
          <m:t>l</m:t>
        </m:r>
        <m:d>
          <m:dPr>
            <m:ctrlPr>
              <w:rPr>
                <w:rFonts w:ascii="Cambria Math" w:hAnsi="Cambria Math"/>
              </w:rPr>
            </m:ctrlPr>
          </m:dPr>
          <m:e>
            <m:r>
              <w:rPr>
                <w:rFonts w:ascii="Cambria Math" w:hAnsi="Cambria Math"/>
              </w:rPr>
              <m:t>⋅</m:t>
            </m:r>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a differentiable convex loss function, specifically the Mean Squared Error (MSE), which measures the difference between the actual observed return </w:t>
      </w:r>
      <m:oMath>
        <m:sSub>
          <m:sSubPr>
            <m:ctrlPr>
              <w:rPr>
                <w:rFonts w:ascii="Cambria Math" w:hAnsi="Cambria Math"/>
              </w:rPr>
            </m:ctrlPr>
          </m:sSubPr>
          <m:e>
            <m:r>
              <w:rPr>
                <w:rFonts w:ascii="Cambria Math" w:hAnsi="Cambria Math"/>
              </w:rPr>
              <m:t>R</m:t>
            </m:r>
          </m:e>
          <m:sub>
            <m:r>
              <w:rPr>
                <w:rFonts w:ascii="Cambria Math" w:hAnsi="Cambria Math"/>
              </w:rPr>
              <m:t>i,t+1</m:t>
            </m:r>
          </m:sub>
        </m:sSub>
      </m:oMath>
      <w:r w:rsidR="1F1BE260" w:rsidRPr="28C1B626">
        <w:rPr>
          <w:rFonts w:ascii="Times New Roman" w:eastAsia="Times New Roman" w:hAnsi="Times New Roman" w:cs="Times New Roman"/>
        </w:rPr>
        <w:t xml:space="preserve">and the model's prediction </w:t>
      </w:r>
      <m:oMath>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oMath>
      <w:r w:rsidR="1F1BE260" w:rsidRPr="28C1B626">
        <w:rPr>
          <w:rFonts w:ascii="Times New Roman" w:eastAsia="Times New Roman" w:hAnsi="Times New Roman" w:cs="Times New Roman"/>
        </w:rPr>
        <w:t>.</w:t>
      </w:r>
    </w:p>
    <w:p w14:paraId="17BD874C" w14:textId="171314AC"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the explicit regularization penalty applied to the model's complexity to prevent overfitting the technical indicators.</w:t>
      </w:r>
    </w:p>
    <w:p w14:paraId="354DE738" w14:textId="013503BC"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regularization term is mathematically defined as:</w:t>
      </w:r>
    </w:p>
    <w:p w14:paraId="2806A099" w14:textId="287C3640" w:rsidR="28C1B626" w:rsidRDefault="28C1B626" w:rsidP="00B61C71">
      <w:pPr>
        <w:spacing w:after="0" w:line="480" w:lineRule="auto"/>
        <w:ind w:left="2160" w:firstLine="720"/>
        <w:jc w:val="both"/>
        <w:rPr>
          <w:rFonts w:ascii="Times New Roman" w:eastAsia="Times New Roman" w:hAnsi="Times New Roman" w:cs="Times New Roman"/>
        </w:rPr>
      </w:pPr>
      <m:oMathPara>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r>
            <w:rPr>
              <w:rFonts w:ascii="Cambria Math" w:hAnsi="Cambria Math"/>
            </w:rPr>
            <m:t>=γT+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λ</m:t>
          </m:r>
          <m:sSup>
            <m:sSupPr>
              <m:ctrlPr>
                <w:rPr>
                  <w:rFonts w:ascii="Cambria Math" w:hAnsi="Cambria Math"/>
                </w:rPr>
              </m:ctrlPr>
            </m:sSupPr>
            <m:e>
              <m:d>
                <m:dPr>
                  <m:begChr m:val="|"/>
                  <m:endChr m:val="|"/>
                  <m:ctrlPr>
                    <w:rPr>
                      <w:rFonts w:ascii="Cambria Math" w:hAnsi="Cambria Math"/>
                    </w:rPr>
                  </m:ctrlPr>
                </m:dPr>
                <m:e>
                  <m:r>
                    <w:rPr>
                      <w:rFonts w:ascii="Cambria Math" w:hAnsi="Cambria Math"/>
                    </w:rPr>
                    <m:t>w</m:t>
                  </m:r>
                </m:e>
              </m:d>
            </m:e>
            <m:sup>
              <m:r>
                <w:rPr>
                  <w:rFonts w:ascii="Cambria Math" w:hAnsi="Cambria Math"/>
                </w:rPr>
                <m:t>2</m:t>
              </m:r>
            </m:sup>
          </m:sSup>
        </m:oMath>
      </m:oMathPara>
    </w:p>
    <w:p w14:paraId="45996E44" w14:textId="7B1EF2BC" w:rsidR="00E06520" w:rsidRDefault="1F1BE26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Where </w:t>
      </w:r>
      <m:oMath>
        <m:r>
          <w:rPr>
            <w:rFonts w:ascii="Cambria Math" w:hAnsi="Cambria Math"/>
          </w:rPr>
          <m:t>T </m:t>
        </m:r>
      </m:oMath>
      <w:r w:rsidRPr="28C1B626">
        <w:rPr>
          <w:rFonts w:ascii="Times New Roman" w:eastAsia="Times New Roman" w:hAnsi="Times New Roman" w:cs="Times New Roman"/>
        </w:rPr>
        <w:t xml:space="preserve"> is the number of terminal nodes (leaves) in the tree, </w:t>
      </w:r>
      <m:oMath>
        <m:r>
          <w:rPr>
            <w:rFonts w:ascii="Cambria Math" w:hAnsi="Cambria Math"/>
          </w:rPr>
          <m:t>w </m:t>
        </m:r>
      </m:oMath>
      <w:r w:rsidRPr="28C1B626">
        <w:rPr>
          <w:rFonts w:ascii="Times New Roman" w:eastAsia="Times New Roman" w:hAnsi="Times New Roman" w:cs="Times New Roman"/>
        </w:rPr>
        <w:t xml:space="preserve"> represents the leaf weights, </w:t>
      </w:r>
      <m:oMath>
        <m:r>
          <w:rPr>
            <w:rFonts w:ascii="Cambria Math" w:hAnsi="Cambria Math"/>
          </w:rPr>
          <m:t>γ</m:t>
        </m:r>
      </m:oMath>
      <w:r w:rsidRPr="28C1B626">
        <w:rPr>
          <w:rFonts w:ascii="Times New Roman" w:eastAsia="Times New Roman" w:hAnsi="Times New Roman" w:cs="Times New Roman"/>
        </w:rPr>
        <w:t xml:space="preserve"> penalizes the addition of new splits (controlling tree depth), and </w:t>
      </w:r>
      <m:oMath>
        <m:r>
          <w:rPr>
            <w:rFonts w:ascii="Cambria Math" w:hAnsi="Cambria Math"/>
          </w:rPr>
          <m:t>λ</m:t>
        </m:r>
      </m:oMath>
      <w:r w:rsidRPr="28C1B626">
        <w:rPr>
          <w:rFonts w:ascii="Times New Roman" w:eastAsia="Times New Roman" w:hAnsi="Times New Roman" w:cs="Times New Roman"/>
        </w:rPr>
        <w:t xml:space="preserve"> is the L2 regularization term on the weights. By aggressively penalizing complexity, the XGBoost model isolates true predictive signals from transient market noise on the NGX.</w:t>
      </w:r>
    </w:p>
    <w:p w14:paraId="404617CA" w14:textId="217DFBAF" w:rsidR="7187619A" w:rsidRDefault="714FCAC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3.2.4 The Tail</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Risk Aware (Mean</w:t>
      </w:r>
      <w:r w:rsidR="3CB00BA7" w:rsidRPr="47575B0A">
        <w:rPr>
          <w:rFonts w:ascii="Times New Roman" w:eastAsia="Times New Roman" w:hAnsi="Times New Roman" w:cs="Times New Roman"/>
          <w:b/>
          <w:bCs/>
        </w:rPr>
        <w:t>-</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 Optimization Model</w:t>
      </w:r>
    </w:p>
    <w:p w14:paraId="08F8299B" w14:textId="776F933C" w:rsidR="78861E12" w:rsidRDefault="406F5F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continuous return forecasts generated by the Random Forest and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algorithms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RF</m:t>
                </m:r>
              </m:sup>
            </m:sSup>
          </m:e>
        </m:acc>
      </m:oMath>
      <w:r w:rsidRPr="28C1B626">
        <w:rPr>
          <w:rFonts w:ascii="Times New Roman" w:eastAsia="Times New Roman" w:hAnsi="Times New Roman" w:cs="Times New Roman"/>
        </w:rPr>
        <w:t xml:space="preserve"> and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XGB</m:t>
                </m:r>
              </m:sup>
            </m:sSup>
          </m:e>
        </m:acc>
      </m:oMath>
      <w:r w:rsidRPr="28C1B626">
        <w:rPr>
          <w:rFonts w:ascii="Times New Roman" w:eastAsia="Times New Roman" w:hAnsi="Times New Roman" w:cs="Times New Roman"/>
        </w:rPr>
        <w:t xml:space="preserve">) are aggregated into an expected return vector, denoted as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which serves as the primary input for the optimization algorithm.</w:t>
      </w:r>
    </w:p>
    <w:p w14:paraId="77F29349" w14:textId="180C2986" w:rsidR="78861E12" w:rsidRDefault="406F5F6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To account for the severe downside volatility inherent in emerging equity markets, this study discards the traditional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framework (which assumes normally distributed returns) in favor of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Conditional Value at Risk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framework.</w:t>
      </w:r>
    </w:p>
    <w:p w14:paraId="485AC499" w14:textId="49D1A7B3" w:rsidR="0C80C9C9" w:rsidRDefault="47BC7A9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1. Formulation of Portfolio Loss and </w:t>
      </w:r>
      <w:proofErr w:type="spellStart"/>
      <w:r w:rsidRPr="47575B0A">
        <w:rPr>
          <w:rFonts w:ascii="Times New Roman" w:eastAsia="Times New Roman" w:hAnsi="Times New Roman" w:cs="Times New Roman"/>
          <w:b/>
          <w:bCs/>
        </w:rPr>
        <w:t>VaR</w:t>
      </w:r>
      <w:proofErr w:type="spellEnd"/>
    </w:p>
    <w:p w14:paraId="6B846424" w14:textId="4F357BED"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Let </w:t>
      </w:r>
      <m:oMath>
        <m:r>
          <w:rPr>
            <w:rFonts w:ascii="Cambria Math" w:hAnsi="Cambria Math"/>
          </w:rPr>
          <m:t>w </m:t>
        </m:r>
      </m:oMath>
      <w:r w:rsidRPr="28C1B626">
        <w:rPr>
          <w:rFonts w:ascii="Times New Roman" w:eastAsia="Times New Roman" w:hAnsi="Times New Roman" w:cs="Times New Roman"/>
        </w:rPr>
        <w:t xml:space="preserve"> represent the vector of portfolio weights allocated to the </w:t>
      </w:r>
      <m:oMath>
        <m:r>
          <w:rPr>
            <w:rFonts w:ascii="Cambria Math" w:hAnsi="Cambria Math"/>
          </w:rPr>
          <m:t>N </m:t>
        </m:r>
      </m:oMath>
      <w:r w:rsidRPr="28C1B626">
        <w:rPr>
          <w:rFonts w:ascii="Times New Roman" w:eastAsia="Times New Roman" w:hAnsi="Times New Roman" w:cs="Times New Roman"/>
        </w:rPr>
        <w:t xml:space="preserve">constituent assets of the NGX Pension </w:t>
      </w:r>
      <w:r w:rsidR="4C9A470E" w:rsidRPr="28C1B626">
        <w:rPr>
          <w:rFonts w:ascii="Times New Roman" w:eastAsia="Times New Roman" w:hAnsi="Times New Roman" w:cs="Times New Roman"/>
        </w:rPr>
        <w:t>Index and</w:t>
      </w:r>
      <w:r w:rsidRPr="28C1B626">
        <w:rPr>
          <w:rFonts w:ascii="Times New Roman" w:eastAsia="Times New Roman" w:hAnsi="Times New Roman" w:cs="Times New Roman"/>
        </w:rPr>
        <w:t xml:space="preserve"> </w:t>
      </w:r>
      <m:oMath>
        <m:r>
          <w:rPr>
            <w:rFonts w:ascii="Cambria Math" w:hAnsi="Cambria Math"/>
          </w:rPr>
          <m:t>r </m:t>
        </m:r>
      </m:oMath>
      <w:r w:rsidRPr="28C1B626">
        <w:rPr>
          <w:rFonts w:ascii="Times New Roman" w:eastAsia="Times New Roman" w:hAnsi="Times New Roman" w:cs="Times New Roman"/>
        </w:rPr>
        <w:t xml:space="preserve"> r</w:t>
      </w:r>
      <w:r w:rsidR="55AB2E1B" w:rsidRPr="28C1B626">
        <w:rPr>
          <w:rFonts w:ascii="Times New Roman" w:eastAsia="Times New Roman" w:hAnsi="Times New Roman" w:cs="Times New Roman"/>
        </w:rPr>
        <w:t xml:space="preserve"> r</w:t>
      </w:r>
      <w:r w:rsidRPr="28C1B626">
        <w:rPr>
          <w:rFonts w:ascii="Times New Roman" w:eastAsia="Times New Roman" w:hAnsi="Times New Roman" w:cs="Times New Roman"/>
        </w:rPr>
        <w:t xml:space="preserve">epresent the vector of actual asset returns. The portfolio loss function is defined as the negative of the portfolio </w:t>
      </w:r>
      <w:r w:rsidR="29AD428E" w:rsidRPr="28C1B626">
        <w:rPr>
          <w:rFonts w:ascii="Times New Roman" w:eastAsia="Times New Roman" w:hAnsi="Times New Roman" w:cs="Times New Roman"/>
        </w:rPr>
        <w:t xml:space="preserve">return: </w:t>
      </w:r>
    </w:p>
    <w:p w14:paraId="42C3A3FA" w14:textId="545405D9" w:rsidR="28C1B626" w:rsidRDefault="28C1B626" w:rsidP="00B61C71">
      <w:pPr>
        <w:spacing w:after="0" w:line="480" w:lineRule="auto"/>
        <w:ind w:left="2880" w:firstLine="720"/>
        <w:jc w:val="both"/>
        <w:rPr>
          <w:rFonts w:ascii="Times New Roman" w:eastAsia="Times New Roman" w:hAnsi="Times New Roman" w:cs="Times New Roman"/>
        </w:rPr>
      </w:pPr>
      <m:oMathPara>
        <m:oMath>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r</m:t>
          </m:r>
        </m:oMath>
      </m:oMathPara>
    </w:p>
    <w:p w14:paraId="089B679B" w14:textId="05F35D5F"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Before defining </w:t>
      </w:r>
      <w:proofErr w:type="spellStart"/>
      <w:r w:rsidRPr="28C1B626">
        <w:rPr>
          <w:rFonts w:ascii="Times New Roman" w:eastAsia="Times New Roman" w:hAnsi="Times New Roman" w:cs="Times New Roman"/>
        </w:rPr>
        <w:t>CVaR</w:t>
      </w:r>
      <w:proofErr w:type="spellEnd"/>
      <w:r w:rsidRPr="28C1B626">
        <w:rPr>
          <w:rFonts w:ascii="Times New Roman" w:eastAsia="Times New Roman" w:hAnsi="Times New Roman" w:cs="Times New Roman"/>
        </w:rPr>
        <w:t>, the Value at Risk (</w:t>
      </w:r>
      <w:proofErr w:type="spellStart"/>
      <w:r w:rsidRPr="28C1B626">
        <w:rPr>
          <w:rFonts w:ascii="Times New Roman" w:eastAsia="Times New Roman" w:hAnsi="Times New Roman" w:cs="Times New Roman"/>
        </w:rPr>
        <w:t>VaR</w:t>
      </w:r>
      <w:proofErr w:type="spellEnd"/>
      <w:r w:rsidRPr="28C1B626">
        <w:rPr>
          <w:rFonts w:ascii="Times New Roman" w:eastAsia="Times New Roman" w:hAnsi="Times New Roman" w:cs="Times New Roman"/>
        </w:rPr>
        <w:t>) at a specified confidence level</w:t>
      </w:r>
      <m:oMath>
        <m:r>
          <w:rPr>
            <w:rFonts w:ascii="Cambria Math" w:hAnsi="Cambria Math"/>
          </w:rPr>
          <m:t>α∈</m:t>
        </m:r>
        <m:d>
          <m:dPr>
            <m:ctrlPr>
              <w:rPr>
                <w:rFonts w:ascii="Cambria Math" w:hAnsi="Cambria Math"/>
              </w:rPr>
            </m:ctrlPr>
          </m:dPr>
          <m:e>
            <m:r>
              <w:rPr>
                <w:rFonts w:ascii="Cambria Math" w:hAnsi="Cambria Math"/>
              </w:rPr>
              <m:t>0,1</m:t>
            </m:r>
          </m:e>
        </m:d>
      </m:oMath>
      <w:r w:rsidRPr="28C1B626">
        <w:rPr>
          <w:rFonts w:ascii="Times New Roman" w:eastAsia="Times New Roman" w:hAnsi="Times New Roman" w:cs="Times New Roman"/>
        </w:rPr>
        <w:t xml:space="preserve"> (e.g., 95%) must be established. VaR represents the minimum loss expected in the </w:t>
      </w:r>
      <m:oMath>
        <m:d>
          <m:dPr>
            <m:ctrlPr>
              <w:rPr>
                <w:rFonts w:ascii="Cambria Math" w:hAnsi="Cambria Math"/>
              </w:rPr>
            </m:ctrlPr>
          </m:dPr>
          <m:e>
            <m:r>
              <w:rPr>
                <w:rFonts w:ascii="Cambria Math" w:hAnsi="Cambria Math"/>
              </w:rPr>
              <m:t>1-α</m:t>
            </m:r>
          </m:e>
        </m:d>
      </m:oMath>
      <w:r w:rsidRPr="28C1B626">
        <w:rPr>
          <w:rFonts w:ascii="Times New Roman" w:eastAsia="Times New Roman" w:hAnsi="Times New Roman" w:cs="Times New Roman"/>
        </w:rPr>
        <w:t xml:space="preserve"> worst</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case scenarios:</w:t>
      </w:r>
    </w:p>
    <w:p w14:paraId="4A182854" w14:textId="65232BB5" w:rsidR="28C1B626" w:rsidRDefault="28C1B626" w:rsidP="00B61C71">
      <w:pPr>
        <w:spacing w:after="0" w:line="480" w:lineRule="auto"/>
        <w:ind w:left="2160"/>
        <w:jc w:val="both"/>
        <w:rPr>
          <w:rFonts w:ascii="Times New Roman" w:eastAsia="Times New Roman" w:hAnsi="Times New Roman" w:cs="Times New Roman"/>
        </w:rPr>
      </w:pPr>
      <m:oMathPara>
        <m:oMath>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m:t>
          </m:r>
          <m:func>
            <m:funcPr>
              <m:ctrlPr>
                <w:rPr>
                  <w:rFonts w:ascii="Cambria Math" w:hAnsi="Cambria Math"/>
                </w:rPr>
              </m:ctrlPr>
            </m:funcPr>
            <m:fName>
              <m:r>
                <m:rPr>
                  <m:sty m:val="p"/>
                </m:rPr>
                <w:rPr>
                  <w:rFonts w:ascii="Cambria Math" w:hAnsi="Cambria Math"/>
                </w:rPr>
                <m:t>min</m:t>
              </m:r>
            </m:fName>
            <m:e>
              <m:r>
                <w:rPr>
                  <w:rFonts w:ascii="Cambria Math" w:hAnsi="Cambria Math"/>
                </w:rPr>
                <m:t>├</m:t>
              </m:r>
              <m:d>
                <m:dPr>
                  <m:endChr m:val="}"/>
                  <m:ctrlPr>
                    <w:rPr>
                      <w:rFonts w:ascii="Cambria Math" w:hAnsi="Cambria Math"/>
                    </w:rPr>
                  </m:ctrlPr>
                </m:dPr>
                <m:e>
                  <m:r>
                    <w:rPr>
                      <w:rFonts w:ascii="Cambria Math" w:hAnsi="Cambria Math"/>
                    </w:rPr>
                    <m:t>γ∈R: P</m:t>
                  </m:r>
                  <m:d>
                    <m:dPr>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 ≤γ</m:t>
                      </m:r>
                    </m:e>
                  </m:d>
                  <m:r>
                    <w:rPr>
                      <w:rFonts w:ascii="Cambria Math" w:hAnsi="Cambria Math"/>
                    </w:rPr>
                    <m:t> ≥α</m:t>
                  </m:r>
                </m:e>
              </m:d>
            </m:e>
          </m:func>
        </m:oMath>
      </m:oMathPara>
    </w:p>
    <w:p w14:paraId="1642DAC5" w14:textId="54108CAC" w:rsidR="28C1B626" w:rsidRDefault="28C1B626" w:rsidP="00B61C71">
      <w:pPr>
        <w:spacing w:after="0" w:line="480" w:lineRule="auto"/>
        <w:ind w:left="2160"/>
        <w:jc w:val="both"/>
        <w:rPr>
          <w:rFonts w:ascii="Times New Roman" w:eastAsia="Times New Roman" w:hAnsi="Times New Roman" w:cs="Times New Roman"/>
        </w:rPr>
      </w:pPr>
    </w:p>
    <w:p w14:paraId="64BB6EDD" w14:textId="5BB7CCBC" w:rsidR="503A75D7" w:rsidRDefault="28F3B1EC"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Conditional Value at Risk (</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w:t>
      </w:r>
    </w:p>
    <w:p w14:paraId="4B5371B1" w14:textId="5A86515A"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CVa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=E</m:t>
          </m:r>
          <m:d>
            <m:dPr>
              <m:begChr m:val="["/>
              <m:sepChr m:val="∣"/>
              <m:endChr m:val="]"/>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e>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e>
          </m:d>
        </m:oMath>
      </m:oMathPara>
    </w:p>
    <w:p w14:paraId="3E9EE326" w14:textId="2A5D860D" w:rsidR="28C1B626" w:rsidRDefault="28C1B626" w:rsidP="00B61C71">
      <w:pPr>
        <w:spacing w:after="0" w:line="480" w:lineRule="auto"/>
        <w:ind w:left="1440" w:firstLine="720"/>
        <w:jc w:val="both"/>
        <w:rPr>
          <w:rFonts w:ascii="Times New Roman" w:eastAsia="Times New Roman" w:hAnsi="Times New Roman" w:cs="Times New Roman"/>
        </w:rPr>
      </w:pPr>
    </w:p>
    <w:p w14:paraId="7D955905" w14:textId="3B5AD166" w:rsidR="259197B6" w:rsidRDefault="677DF53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Following the formulation by </w:t>
      </w:r>
      <w:proofErr w:type="spellStart"/>
      <w:r w:rsidRPr="47575B0A">
        <w:rPr>
          <w:rFonts w:ascii="Times New Roman" w:eastAsia="Times New Roman" w:hAnsi="Times New Roman" w:cs="Times New Roman"/>
        </w:rPr>
        <w:t>Rockafellar</w:t>
      </w:r>
      <w:proofErr w:type="spellEnd"/>
      <w:r w:rsidRPr="47575B0A">
        <w:rPr>
          <w:rFonts w:ascii="Times New Roman" w:eastAsia="Times New Roman" w:hAnsi="Times New Roman" w:cs="Times New Roman"/>
        </w:rPr>
        <w:t xml:space="preserve"> and </w:t>
      </w:r>
      <w:proofErr w:type="spellStart"/>
      <w:r w:rsidRPr="47575B0A">
        <w:rPr>
          <w:rFonts w:ascii="Times New Roman" w:eastAsia="Times New Roman" w:hAnsi="Times New Roman" w:cs="Times New Roman"/>
        </w:rPr>
        <w:t>Uryasev</w:t>
      </w:r>
      <w:proofErr w:type="spellEnd"/>
      <w:r w:rsidRPr="47575B0A">
        <w:rPr>
          <w:rFonts w:ascii="Times New Roman" w:eastAsia="Times New Roman" w:hAnsi="Times New Roman" w:cs="Times New Roman"/>
        </w:rPr>
        <w:t xml:space="preserve"> (2000),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can be seamlessly integrated into a linear programming problem by minimizing an auxiliary continuous and </w:t>
      </w:r>
      <w:r w:rsidR="2C5AACA8" w:rsidRPr="47575B0A">
        <w:rPr>
          <w:rFonts w:ascii="Times New Roman" w:eastAsia="Times New Roman" w:hAnsi="Times New Roman" w:cs="Times New Roman"/>
        </w:rPr>
        <w:t>convex function:</w:t>
      </w:r>
    </w:p>
    <w:p w14:paraId="191E9851" w14:textId="5009A120" w:rsidR="28C1B626" w:rsidRDefault="000113DD" w:rsidP="00B61C71">
      <w:pPr>
        <w:spacing w:after="0" w:line="480" w:lineRule="auto"/>
        <w:ind w:left="1440" w:firstLine="720"/>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F</m:t>
              </m:r>
            </m:e>
            <m:sub>
              <m:r>
                <w:rPr>
                  <w:rFonts w:ascii="Cambria Math" w:hAnsi="Cambria Math"/>
                </w:rPr>
                <m:t>α</m:t>
              </m:r>
            </m:sub>
          </m:sSub>
          <m:d>
            <m:dPr>
              <m:ctrlPr>
                <w:rPr>
                  <w:rFonts w:ascii="Cambria Math" w:hAnsi="Cambria Math"/>
                </w:rPr>
              </m:ctrlPr>
            </m:dPr>
            <m:e>
              <m:r>
                <w:rPr>
                  <w:rFonts w:ascii="Cambria Math" w:hAnsi="Cambria Math"/>
                </w:rPr>
                <m:t>w,γ</m:t>
              </m:r>
            </m:e>
          </m:d>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1-α</m:t>
              </m:r>
            </m:den>
          </m:f>
          <m: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0,L</m:t>
                      </m:r>
                      <m:d>
                        <m:dPr>
                          <m:ctrlPr>
                            <w:rPr>
                              <w:rFonts w:ascii="Cambria Math" w:hAnsi="Cambria Math"/>
                            </w:rPr>
                          </m:ctrlPr>
                        </m:dPr>
                        <m:e>
                          <m:r>
                            <w:rPr>
                              <w:rFonts w:ascii="Cambria Math" w:hAnsi="Cambria Math"/>
                            </w:rPr>
                            <m:t>w,r</m:t>
                          </m:r>
                        </m:e>
                      </m:d>
                      <m:r>
                        <w:rPr>
                          <w:rFonts w:ascii="Cambria Math" w:hAnsi="Cambria Math"/>
                        </w:rPr>
                        <m:t>-γ</m:t>
                      </m:r>
                    </m:e>
                  </m:d>
                </m:e>
              </m:func>
            </m:e>
          </m:d>
        </m:oMath>
      </m:oMathPara>
    </w:p>
    <w:p w14:paraId="0C55BAC7" w14:textId="5EC4F255" w:rsidR="28C1B626" w:rsidRDefault="28C1B626" w:rsidP="00B61C71">
      <w:pPr>
        <w:spacing w:after="0" w:line="480" w:lineRule="auto"/>
        <w:ind w:left="1440" w:firstLine="720"/>
        <w:jc w:val="both"/>
        <w:rPr>
          <w:rFonts w:ascii="Times New Roman" w:eastAsia="Times New Roman" w:hAnsi="Times New Roman" w:cs="Times New Roman"/>
        </w:rPr>
      </w:pPr>
    </w:p>
    <w:p w14:paraId="172E4831" w14:textId="00FD1922" w:rsidR="450B4B3F" w:rsidRDefault="14D791BA"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 The Optimization Objective</w:t>
      </w:r>
    </w:p>
    <w:p w14:paraId="0530F70E" w14:textId="6CEAB160" w:rsidR="450B4B3F" w:rsidRDefault="14D791BA"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ultimate objective of the model is to minimize the tail risk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while achieving a minimum acceptable expected return driven by the machine learning forecasts. The optimization problem is specified as:</w:t>
      </w:r>
    </w:p>
    <w:p w14:paraId="2A8384FA" w14:textId="0A0A9D3C" w:rsidR="28C1B626" w:rsidRDefault="28C1B626" w:rsidP="00B61C71">
      <w:pPr>
        <w:spacing w:after="0" w:line="480" w:lineRule="auto"/>
        <w:jc w:val="both"/>
        <w:rPr>
          <w:rFonts w:ascii="Times New Roman" w:eastAsia="Times New Roman" w:hAnsi="Times New Roman" w:cs="Times New Roman"/>
        </w:rPr>
      </w:pPr>
    </w:p>
    <w:p w14:paraId="7DF32E7B" w14:textId="0A46441B" w:rsidR="28C1B626" w:rsidRDefault="000113DD" w:rsidP="00B61C71">
      <w:pPr>
        <w:spacing w:after="240" w:line="480" w:lineRule="auto"/>
        <w:ind w:left="1440" w:firstLine="720"/>
        <w:jc w:val="both"/>
        <w:rPr>
          <w:rFonts w:ascii="Times New Roman" w:eastAsia="Times New Roman" w:hAnsi="Times New Roman" w:cs="Times New Roman"/>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w,γ</m:t>
                  </m:r>
                </m:lim>
              </m:limLow>
            </m:fName>
            <m:e>
              <m:d>
                <m:dPr>
                  <m:ctrlPr>
                    <w:rPr>
                      <w:rFonts w:ascii="Cambria Math" w:hAnsi="Cambria Math"/>
                    </w:rPr>
                  </m:ctrlPr>
                </m:dPr>
                <m:e>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q</m:t>
                      </m:r>
                      <m:d>
                        <m:dPr>
                          <m:ctrlPr>
                            <w:rPr>
                              <w:rFonts w:ascii="Cambria Math" w:hAnsi="Cambria Math"/>
                            </w:rPr>
                          </m:ctrlPr>
                        </m:dPr>
                        <m:e>
                          <m:r>
                            <w:rPr>
                              <w:rFonts w:ascii="Cambria Math" w:hAnsi="Cambria Math"/>
                            </w:rPr>
                            <m:t>1-α</m:t>
                          </m:r>
                        </m:e>
                      </m:d>
                    </m:den>
                  </m:f>
                  <m:nary>
                    <m:naryPr>
                      <m:chr m:val="∑"/>
                      <m:ctrlPr>
                        <w:rPr>
                          <w:rFonts w:ascii="Cambria Math" w:hAnsi="Cambria Math"/>
                        </w:rPr>
                      </m:ctrlPr>
                    </m:naryPr>
                    <m:sub>
                      <m:r>
                        <w:rPr>
                          <w:rFonts w:ascii="Cambria Math" w:hAnsi="Cambria Math"/>
                        </w:rPr>
                        <m:t>j=1</m:t>
                      </m:r>
                    </m:sub>
                    <m:sup>
                      <m:r>
                        <w:rPr>
                          <w:rFonts w:ascii="Cambria Math" w:hAnsi="Cambria Math"/>
                        </w:rPr>
                        <m:t>q</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-γ</m:t>
                              </m:r>
                            </m:e>
                          </m:d>
                        </m:e>
                        <m:sup>
                          <m:r>
                            <w:rPr>
                              <w:rFonts w:ascii="Cambria Math" w:hAnsi="Cambria Math"/>
                            </w:rPr>
                            <m:t>+</m:t>
                          </m:r>
                        </m:sup>
                      </m:sSup>
                    </m:e>
                  </m:nary>
                </m:e>
              </m:d>
            </m:e>
          </m:func>
        </m:oMath>
      </m:oMathPara>
    </w:p>
    <w:p w14:paraId="32B2F589" w14:textId="2D98351A" w:rsidR="59CFAAE6" w:rsidRDefault="0EE42AF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Subject to the following empirical constraints:</w:t>
      </w:r>
    </w:p>
    <w:p w14:paraId="33DA4C93" w14:textId="7C95431F"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Target Return Constraint:</w:t>
      </w:r>
      <w:r w:rsidRPr="28C1B626">
        <w:rPr>
          <w:rFonts w:ascii="Times New Roman" w:eastAsia="Times New Roman" w:hAnsi="Times New Roman" w:cs="Times New Roman"/>
        </w:rPr>
        <w:t xml:space="preserve"> </w:t>
      </w:r>
      <m:oMath>
        <m:sSup>
          <m:sSupPr>
            <m:ctrlPr>
              <w:rPr>
                <w:rFonts w:ascii="Cambria Math" w:hAnsi="Cambria Math"/>
              </w:rPr>
            </m:ctrlPr>
          </m:sSupPr>
          <m:e>
            <m:r>
              <w:rPr>
                <w:rFonts w:ascii="Cambria Math" w:hAnsi="Cambria Math"/>
              </w:rPr>
              <m:t>w</m:t>
            </m:r>
          </m:e>
          <m:sup>
            <m:r>
              <w:rPr>
                <w:rFonts w:ascii="Cambria Math" w:hAnsi="Cambria Math"/>
              </w:rPr>
              <m:t>T</m:t>
            </m:r>
          </m:sup>
        </m:sSup>
        <m:acc>
          <m:accPr>
            <m:ctrlPr>
              <w:rPr>
                <w:rFonts w:ascii="Cambria Math" w:hAnsi="Cambria Math"/>
              </w:rPr>
            </m:ctrlPr>
          </m:accPr>
          <m:e>
            <m:r>
              <w:rPr>
                <w:rFonts w:ascii="Cambria Math" w:hAnsi="Cambria Math"/>
              </w:rPr>
              <m:t>μ</m:t>
            </m:r>
          </m:e>
        </m:acc>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func>
              <m:funcPr>
                <m:ctrlPr>
                  <w:rPr>
                    <w:rFonts w:ascii="Cambria Math" w:hAnsi="Cambria Math"/>
                  </w:rPr>
                </m:ctrlPr>
              </m:funcPr>
              <m:fName>
                <m:r>
                  <m:rPr>
                    <m:sty m:val="p"/>
                  </m:rPr>
                  <w:rPr>
                    <w:rFonts w:ascii="Cambria Math" w:hAnsi="Cambria Math"/>
                  </w:rPr>
                  <m:t>arg</m:t>
                </m:r>
              </m:fName>
              <m:e>
                <m:r>
                  <w:rPr>
                    <w:rFonts w:ascii="Cambria Math" w:hAnsi="Cambria Math"/>
                  </w:rPr>
                  <m:t>e</m:t>
                </m:r>
              </m:e>
            </m:func>
            <m:r>
              <w:rPr>
                <w:rFonts w:ascii="Cambria Math" w:hAnsi="Cambria Math"/>
              </w:rPr>
              <m:t>t</m:t>
            </m:r>
          </m:sub>
        </m:sSub>
      </m:oMath>
      <w:r w:rsidRPr="28C1B626">
        <w:rPr>
          <w:rFonts w:ascii="Times New Roman" w:eastAsia="Times New Roman" w:hAnsi="Times New Roman" w:cs="Times New Roman"/>
        </w:rPr>
        <w:t xml:space="preserve"> (The portfolio's expected return, leveraging the ML </w:t>
      </w:r>
      <w:proofErr w:type="gramStart"/>
      <w:r w:rsidRPr="28C1B626">
        <w:rPr>
          <w:rFonts w:ascii="Times New Roman" w:eastAsia="Times New Roman" w:hAnsi="Times New Roman" w:cs="Times New Roman"/>
        </w:rPr>
        <w:t xml:space="preserve">vector </w:t>
      </w:r>
      <w:proofErr w:type="gramEnd"/>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must meet or exceed a specified target).</w:t>
      </w:r>
    </w:p>
    <w:p w14:paraId="3478E15A" w14:textId="6A6A20F7"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Budget Constraint:</w:t>
      </w:r>
      <w:r w:rsidRPr="28C1B626">
        <w:rPr>
          <w:rFonts w:ascii="Times New Roman" w:eastAsia="Times New Roman" w:hAnsi="Times New Roman" w:cs="Times New Roman"/>
        </w:rP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=1</m:t>
        </m:r>
      </m:oMath>
      <w:r w:rsidRPr="28C1B626">
        <w:rPr>
          <w:rFonts w:ascii="Times New Roman" w:eastAsia="Times New Roman" w:hAnsi="Times New Roman" w:cs="Times New Roman"/>
        </w:rPr>
        <w:t xml:space="preserve"> (The portfolio is fully invested, utilizing 100% of available capital).</w:t>
      </w:r>
    </w:p>
    <w:p w14:paraId="78914F9F" w14:textId="1ABA56FA"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Long</w:t>
      </w:r>
      <w:r w:rsidR="3CB00BA7" w:rsidRPr="28C1B626">
        <w:rPr>
          <w:rFonts w:ascii="Times New Roman" w:eastAsia="Times New Roman" w:hAnsi="Times New Roman" w:cs="Times New Roman"/>
          <w:b/>
          <w:bCs/>
        </w:rPr>
        <w:t>-</w:t>
      </w:r>
      <w:r w:rsidRPr="28C1B626">
        <w:rPr>
          <w:rFonts w:ascii="Times New Roman" w:eastAsia="Times New Roman" w:hAnsi="Times New Roman" w:cs="Times New Roman"/>
          <w:b/>
          <w:bCs/>
        </w:rPr>
        <w:t>Only Constraint:</w:t>
      </w:r>
      <w:r w:rsidRPr="28C1B626">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≥0 ∀i</m:t>
        </m:r>
      </m:oMath>
      <w:r w:rsidRPr="28C1B626">
        <w:rPr>
          <w:rFonts w:ascii="Times New Roman" w:eastAsia="Times New Roman" w:hAnsi="Times New Roman" w:cs="Times New Roman"/>
        </w:rPr>
        <w:t xml:space="preserve"> (Short selling is prohibited, reflecting institutional realities on the NGX).</w:t>
      </w:r>
    </w:p>
    <w:p w14:paraId="155EE2DB" w14:textId="33745392" w:rsidR="59CFAAE6" w:rsidRDefault="0EE42AF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By directly feeding the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linear machine learning predictions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into this coherent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optimization framework, the final portfolio captures both predictive momentum and robust defense against extreme market downturns.</w:t>
      </w:r>
    </w:p>
    <w:p w14:paraId="7B24F880" w14:textId="62EA6DF8" w:rsidR="016DBFEF" w:rsidRDefault="45EC122D"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3.</w:t>
      </w:r>
      <w:r w:rsidR="46DA0CA7" w:rsidRPr="47575B0A">
        <w:rPr>
          <w:rFonts w:ascii="Times New Roman" w:eastAsia="Times New Roman" w:hAnsi="Times New Roman" w:cs="Times New Roman"/>
          <w:b/>
          <w:bCs/>
          <w:color w:val="000000" w:themeColor="text1"/>
        </w:rPr>
        <w:t>3</w:t>
      </w:r>
      <w:r w:rsidRPr="47575B0A">
        <w:rPr>
          <w:rFonts w:ascii="Times New Roman" w:eastAsia="Times New Roman" w:hAnsi="Times New Roman" w:cs="Times New Roman"/>
          <w:b/>
          <w:bCs/>
          <w:color w:val="000000" w:themeColor="text1"/>
        </w:rPr>
        <w:t xml:space="preserve"> Estimation Techniques</w:t>
      </w:r>
    </w:p>
    <w:p w14:paraId="72641A21" w14:textId="72B343F1" w:rsidR="1784DE1B" w:rsidRDefault="235009A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estimation techniques applied in this study are carefully chosen to meet the stated objectives and the nature of data employed. Since the study employs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series over the period of 201</w:t>
      </w:r>
      <w:r w:rsidR="3FB10719" w:rsidRPr="47575B0A">
        <w:rPr>
          <w:rFonts w:ascii="Times New Roman" w:eastAsia="Times New Roman" w:hAnsi="Times New Roman" w:cs="Times New Roman"/>
        </w:rPr>
        <w:t>0</w:t>
      </w:r>
      <w:r w:rsidRPr="47575B0A">
        <w:rPr>
          <w:rFonts w:ascii="Times New Roman" w:eastAsia="Times New Roman" w:hAnsi="Times New Roman" w:cs="Times New Roman"/>
        </w:rPr>
        <w:t xml:space="preserve"> </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lastRenderedPageBreak/>
        <w:t xml:space="preserve">2025, it </w:t>
      </w:r>
      <w:r w:rsidR="3D27EA11" w:rsidRPr="47575B0A">
        <w:rPr>
          <w:rFonts w:ascii="Times New Roman" w:eastAsia="Times New Roman" w:hAnsi="Times New Roman" w:cs="Times New Roman"/>
        </w:rPr>
        <w:t>is important that the employed techniques can pick up the statistical features of the data and the specific research questions</w:t>
      </w:r>
    </w:p>
    <w:p w14:paraId="380F81DC" w14:textId="648BE81D" w:rsidR="5D168995" w:rsidRDefault="3D27EA1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3.3.1 Time</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Series Data Partitioning (Train</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Test Split)</w:t>
      </w:r>
    </w:p>
    <w:p w14:paraId="7288E342" w14:textId="5B270C74" w:rsidR="2C45EFF5" w:rsidRDefault="12EE1BE8"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Evaluating machine learning models requires testing them on unseen,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data. While traditional machine learning relies on randomized 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fold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validation, applying random splits to financial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series data introduces </w:t>
      </w:r>
      <w:r w:rsidRPr="47575B0A">
        <w:rPr>
          <w:rFonts w:ascii="Times New Roman" w:eastAsia="Times New Roman" w:hAnsi="Times New Roman" w:cs="Times New Roman"/>
          <w:i/>
          <w:iCs/>
        </w:rPr>
        <w:t>look</w:t>
      </w:r>
      <w:r w:rsidR="3CB00BA7" w:rsidRPr="47575B0A">
        <w:rPr>
          <w:rFonts w:ascii="Times New Roman" w:eastAsia="Times New Roman" w:hAnsi="Times New Roman" w:cs="Times New Roman"/>
          <w:i/>
          <w:iCs/>
        </w:rPr>
        <w:t>-</w:t>
      </w:r>
      <w:r w:rsidRPr="47575B0A">
        <w:rPr>
          <w:rFonts w:ascii="Times New Roman" w:eastAsia="Times New Roman" w:hAnsi="Times New Roman" w:cs="Times New Roman"/>
          <w:i/>
          <w:iCs/>
        </w:rPr>
        <w:t>ahead bias</w:t>
      </w:r>
      <w:r w:rsidRPr="47575B0A">
        <w:rPr>
          <w:rFonts w:ascii="Times New Roman" w:eastAsia="Times New Roman" w:hAnsi="Times New Roman" w:cs="Times New Roman"/>
        </w:rPr>
        <w:t xml:space="preserve">. This severe methodological flaw occurs when future market information inadvertently leaks into the training dataset, destroying the chronological order of </w:t>
      </w:r>
      <w:r w:rsidR="10EE17C9" w:rsidRPr="47575B0A">
        <w:rPr>
          <w:rFonts w:ascii="Times New Roman" w:eastAsia="Times New Roman" w:hAnsi="Times New Roman" w:cs="Times New Roman"/>
        </w:rPr>
        <w:t>events,</w:t>
      </w:r>
      <w:r w:rsidRPr="47575B0A">
        <w:rPr>
          <w:rFonts w:ascii="Times New Roman" w:eastAsia="Times New Roman" w:hAnsi="Times New Roman" w:cs="Times New Roman"/>
        </w:rPr>
        <w:t xml:space="preserve"> and artificially inflating the model's predictive accuracy.</w:t>
      </w:r>
    </w:p>
    <w:p w14:paraId="4F51D19D" w14:textId="6944F543"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preserve temporal dependencies, this study uses Rolling Window Walk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Forward Validation. This technique simulates real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world forecasting by sequentially advancing a fixed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size training window through the historical NGX dataset.</w:t>
      </w:r>
    </w:p>
    <w:p w14:paraId="71E31725" w14:textId="6DF0DAB1"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algorithm trains the Random Forest and </w:t>
      </w:r>
      <w:proofErr w:type="spellStart"/>
      <w:r w:rsidRPr="47575B0A">
        <w:rPr>
          <w:rFonts w:ascii="Times New Roman" w:eastAsia="Times New Roman" w:hAnsi="Times New Roman" w:cs="Times New Roman"/>
        </w:rPr>
        <w:t>XGBoost</w:t>
      </w:r>
      <w:proofErr w:type="spellEnd"/>
      <w:r w:rsidRPr="47575B0A">
        <w:rPr>
          <w:rFonts w:ascii="Times New Roman" w:eastAsia="Times New Roman" w:hAnsi="Times New Roman" w:cs="Times New Roman"/>
        </w:rPr>
        <w:t xml:space="preserve"> models on a fixed historical lookback period of size W (e.g., the preceding 156 weeks) to forecast the return for the </w:t>
      </w:r>
      <w:r w:rsidR="2037CDE0" w:rsidRPr="47575B0A">
        <w:rPr>
          <w:rFonts w:ascii="Times New Roman" w:eastAsia="Times New Roman" w:hAnsi="Times New Roman" w:cs="Times New Roman"/>
        </w:rPr>
        <w:t>immediate</w:t>
      </w:r>
      <w:r w:rsidRPr="47575B0A">
        <w:rPr>
          <w:rFonts w:ascii="Times New Roman" w:eastAsia="Times New Roman" w:hAnsi="Times New Roman" w:cs="Times New Roman"/>
        </w:rPr>
        <w:t xml:space="preserve"> subsequent week (t). Once the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prediction is recorded, the entire training window shifts forward by one week. The oldest weekly observation is discarded, the most recent observation is absorbed, and the models are retrained.</w:t>
      </w:r>
    </w:p>
    <w:p w14:paraId="3006B12C" w14:textId="58EBE478"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3.3.2 Model Training and </w:t>
      </w:r>
      <w:proofErr w:type="spellStart"/>
      <w:r w:rsidRPr="47575B0A">
        <w:rPr>
          <w:rFonts w:ascii="Times New Roman" w:eastAsia="Times New Roman" w:hAnsi="Times New Roman" w:cs="Times New Roman"/>
          <w:b/>
          <w:bCs/>
        </w:rPr>
        <w:t>Hyperparameter</w:t>
      </w:r>
      <w:proofErr w:type="spellEnd"/>
      <w:r w:rsidRPr="47575B0A">
        <w:rPr>
          <w:rFonts w:ascii="Times New Roman" w:eastAsia="Times New Roman" w:hAnsi="Times New Roman" w:cs="Times New Roman"/>
          <w:b/>
          <w:bCs/>
        </w:rPr>
        <w:t xml:space="preserve"> Tuning</w:t>
      </w:r>
    </w:p>
    <w:p w14:paraId="6BD674AD" w14:textId="6B5BFCC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the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box machine learning algorithms rarely capture the complex dynamics of financial time series optimally. Therefore, this study employs a Randomized Search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Validation strategy within the training window to efficiently identify the optimal </w:t>
      </w:r>
      <w:proofErr w:type="spellStart"/>
      <w:r w:rsidRPr="47575B0A">
        <w:rPr>
          <w:rFonts w:ascii="Times New Roman" w:eastAsia="Times New Roman" w:hAnsi="Times New Roman" w:cs="Times New Roman"/>
        </w:rPr>
        <w:t>hyperparameter</w:t>
      </w:r>
      <w:proofErr w:type="spellEnd"/>
      <w:r w:rsidRPr="47575B0A">
        <w:rPr>
          <w:rFonts w:ascii="Times New Roman" w:eastAsia="Times New Roman" w:hAnsi="Times New Roman" w:cs="Times New Roman"/>
        </w:rPr>
        <w:t xml:space="preserve"> configurations for both models.</w:t>
      </w:r>
    </w:p>
    <w:p w14:paraId="3AC5E74D" w14:textId="4EEA9F1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The tuning process focuses on penalizing model complexity to prevent overfitting:</w:t>
      </w:r>
    </w:p>
    <w:p w14:paraId="085817F7" w14:textId="0562D944"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Parameters:</w:t>
      </w:r>
      <w:r w:rsidRPr="47575B0A">
        <w:rPr>
          <w:rFonts w:ascii="Times New Roman" w:eastAsia="Times New Roman" w:hAnsi="Times New Roman" w:cs="Times New Roman"/>
        </w:rPr>
        <w:t xml:space="preserve"> The search optimizes the number of trees in the forest (</w:t>
      </w:r>
      <w:proofErr w:type="spellStart"/>
      <w:r w:rsidRPr="47575B0A">
        <w:rPr>
          <w:rFonts w:ascii="Times New Roman" w:eastAsia="Times New Roman" w:hAnsi="Times New Roman" w:cs="Times New Roman"/>
        </w:rPr>
        <w:t>n_estimators</w:t>
      </w:r>
      <w:proofErr w:type="spellEnd"/>
      <w:r w:rsidRPr="47575B0A">
        <w:rPr>
          <w:rFonts w:ascii="Times New Roman" w:eastAsia="Times New Roman" w:hAnsi="Times New Roman" w:cs="Times New Roman"/>
        </w:rPr>
        <w:t>), the maximum depth of each tree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number of samples required to split an internal node (</w:t>
      </w:r>
      <w:proofErr w:type="spellStart"/>
      <w:r w:rsidRPr="47575B0A">
        <w:rPr>
          <w:rFonts w:ascii="Times New Roman" w:eastAsia="Times New Roman" w:hAnsi="Times New Roman" w:cs="Times New Roman"/>
        </w:rPr>
        <w:t>min_samples_split</w:t>
      </w:r>
      <w:proofErr w:type="spellEnd"/>
      <w:r w:rsidRPr="47575B0A">
        <w:rPr>
          <w:rFonts w:ascii="Times New Roman" w:eastAsia="Times New Roman" w:hAnsi="Times New Roman" w:cs="Times New Roman"/>
        </w:rPr>
        <w:t>).</w:t>
      </w:r>
    </w:p>
    <w:p w14:paraId="638ED138" w14:textId="68AE6BAC"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Parameters:</w:t>
      </w:r>
      <w:r w:rsidRPr="47575B0A">
        <w:rPr>
          <w:rFonts w:ascii="Times New Roman" w:eastAsia="Times New Roman" w:hAnsi="Times New Roman" w:cs="Times New Roman"/>
        </w:rPr>
        <w:t xml:space="preserve"> The search optimizes the learning rate or step size shrinkage (</w:t>
      </w:r>
      <w:proofErr w:type="spellStart"/>
      <w:r w:rsidRPr="47575B0A">
        <w:rPr>
          <w:rFonts w:ascii="Times New Roman" w:eastAsia="Times New Roman" w:hAnsi="Times New Roman" w:cs="Times New Roman"/>
        </w:rPr>
        <w:t>learning_rate</w:t>
      </w:r>
      <w:proofErr w:type="spellEnd"/>
      <w:r w:rsidRPr="47575B0A">
        <w:rPr>
          <w:rFonts w:ascii="Times New Roman" w:eastAsia="Times New Roman" w:hAnsi="Times New Roman" w:cs="Times New Roman"/>
        </w:rPr>
        <w:t>), the maximum tree depth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loss reduction required to make a further partition (gamma), which directly controls the structural regularization.</w:t>
      </w:r>
    </w:p>
    <w:p w14:paraId="0611C221" w14:textId="72F41855" w:rsidR="55A86771" w:rsidRDefault="55A86771"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3.3.3 Portfolio Turnover and Transaction Costs</w:t>
      </w:r>
    </w:p>
    <w:p w14:paraId="49650F81" w14:textId="290A9193" w:rsidR="55A86771" w:rsidRDefault="55A86771"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ensure that the optimized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strategy is economically viable and not merely theoretically profitable, it is imperative to account for real-world trading frictions, such as brokerage fees and slippage on the Nigerian Exchange Group (NGX) (</w:t>
      </w:r>
      <w:proofErr w:type="spellStart"/>
      <w:r w:rsidRPr="47575B0A">
        <w:rPr>
          <w:rFonts w:ascii="Times New Roman" w:eastAsia="Times New Roman" w:hAnsi="Times New Roman" w:cs="Times New Roman"/>
          <w:color w:val="303030"/>
        </w:rPr>
        <w:t>Ashrafzadeh</w:t>
      </w:r>
      <w:proofErr w:type="spellEnd"/>
      <w:r w:rsidRPr="47575B0A">
        <w:rPr>
          <w:rFonts w:ascii="Times New Roman" w:eastAsia="Times New Roman" w:hAnsi="Times New Roman" w:cs="Times New Roman"/>
          <w:color w:val="303030"/>
        </w:rPr>
        <w:t xml:space="preserve"> et al., 2025). This requires measuring the portfolio turnover, which mathematically quantifies the absolute change in the portfolio's asset weights from one weekly rebalancing period to the next (</w:t>
      </w:r>
      <w:proofErr w:type="spellStart"/>
      <w:r w:rsidRPr="47575B0A">
        <w:rPr>
          <w:rFonts w:ascii="Times New Roman" w:eastAsia="Times New Roman" w:hAnsi="Times New Roman" w:cs="Times New Roman"/>
          <w:color w:val="303030"/>
        </w:rPr>
        <w:t>Zsurkis</w:t>
      </w:r>
      <w:proofErr w:type="spellEnd"/>
      <w:r w:rsidRPr="47575B0A">
        <w:rPr>
          <w:rFonts w:ascii="Times New Roman" w:eastAsia="Times New Roman" w:hAnsi="Times New Roman" w:cs="Times New Roman"/>
          <w:color w:val="303030"/>
        </w:rPr>
        <w:t xml:space="preserve">, </w:t>
      </w:r>
      <w:proofErr w:type="spellStart"/>
      <w:r w:rsidRPr="47575B0A">
        <w:rPr>
          <w:rFonts w:ascii="Times New Roman" w:eastAsia="Times New Roman" w:hAnsi="Times New Roman" w:cs="Times New Roman"/>
          <w:color w:val="303030"/>
        </w:rPr>
        <w:t>Nicolau</w:t>
      </w:r>
      <w:proofErr w:type="spellEnd"/>
      <w:r w:rsidRPr="47575B0A">
        <w:rPr>
          <w:rFonts w:ascii="Times New Roman" w:eastAsia="Times New Roman" w:hAnsi="Times New Roman" w:cs="Times New Roman"/>
          <w:color w:val="303030"/>
        </w:rPr>
        <w:t xml:space="preserve">, &amp; Rodrigues, 2024). </w:t>
      </w:r>
      <w:r w:rsidR="00FB13D7" w:rsidRPr="00FB13D7">
        <w:rPr>
          <w:rFonts w:ascii="Times New Roman" w:eastAsia="Times New Roman" w:hAnsi="Times New Roman" w:cs="Times New Roman"/>
          <w:color w:val="303030"/>
        </w:rPr>
        <w:t>Following standard empirical finance procedures, transaction costs are deducted from gross returns to construct net returns. This study evaluates portfolio performance across three execution-cost regimes: a gross frictionless baseline (0.00%), an institutional PFA execution scenario applying a fixed 75 basis points (0.75%) per rebalancing trade, and a retail execution friction scenario applying 150 basis points (1.50%) to account for brokerage commissions and market slippage on the NGX.</w:t>
      </w:r>
      <w:r w:rsidR="00FB13D7">
        <w:rPr>
          <w:rFonts w:ascii="Times New Roman" w:eastAsia="Times New Roman" w:hAnsi="Times New Roman" w:cs="Times New Roman"/>
          <w:color w:val="303030"/>
        </w:rPr>
        <w:t xml:space="preserve"> </w:t>
      </w:r>
      <w:r w:rsidRPr="47575B0A">
        <w:rPr>
          <w:rFonts w:ascii="Times New Roman" w:eastAsia="Times New Roman" w:hAnsi="Times New Roman" w:cs="Times New Roman"/>
          <w:color w:val="303030"/>
        </w:rPr>
        <w:t>Finally, a Net Returns feature column will be constructed by deducting these calculated transaction costs from the gross portfolio returns, providing a rigorous and realistic evaluation of the portfolio's actual out-of-sample performance.</w:t>
      </w:r>
    </w:p>
    <w:p w14:paraId="5F831D91" w14:textId="7EFC980B"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3.3.</w:t>
      </w:r>
      <w:r w:rsidR="45F0247A" w:rsidRPr="47575B0A">
        <w:rPr>
          <w:rFonts w:ascii="Times New Roman" w:eastAsia="Times New Roman" w:hAnsi="Times New Roman" w:cs="Times New Roman"/>
          <w:b/>
          <w:bCs/>
        </w:rPr>
        <w:t>4</w:t>
      </w:r>
      <w:r w:rsidRPr="47575B0A">
        <w:rPr>
          <w:rFonts w:ascii="Times New Roman" w:eastAsia="Times New Roman" w:hAnsi="Times New Roman" w:cs="Times New Roman"/>
          <w:b/>
          <w:bCs/>
        </w:rPr>
        <w:t xml:space="preserve"> Feature Importance Extraction</w:t>
      </w:r>
    </w:p>
    <w:p w14:paraId="046CF4D1" w14:textId="41BAC504"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Due to the criticism of ensemble models of being black boxes in traditional econometrics and to ensure economic interpretability, </w:t>
      </w:r>
      <w:r w:rsidR="774AC8EC" w:rsidRPr="47575B0A">
        <w:rPr>
          <w:rFonts w:ascii="Times New Roman" w:eastAsia="Times New Roman" w:hAnsi="Times New Roman" w:cs="Times New Roman"/>
        </w:rPr>
        <w:t>this study extracts the built</w:t>
      </w:r>
      <w:r w:rsidR="3CB00BA7" w:rsidRPr="47575B0A">
        <w:rPr>
          <w:rFonts w:ascii="Times New Roman" w:eastAsia="Times New Roman" w:hAnsi="Times New Roman" w:cs="Times New Roman"/>
        </w:rPr>
        <w:t>-</w:t>
      </w:r>
      <w:r w:rsidR="774AC8EC" w:rsidRPr="47575B0A">
        <w:rPr>
          <w:rFonts w:ascii="Times New Roman" w:eastAsia="Times New Roman" w:hAnsi="Times New Roman" w:cs="Times New Roman"/>
        </w:rPr>
        <w:t>in feature importance scores from the optimized models to determine which of the thirteen technical indicators exert the strongest predictive influence on NGX equity returns.</w:t>
      </w:r>
    </w:p>
    <w:p w14:paraId="3FB2DB55" w14:textId="69AFC64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Interpretation:</w:t>
      </w:r>
      <w:r w:rsidRPr="47575B0A">
        <w:rPr>
          <w:rFonts w:ascii="Times New Roman" w:eastAsia="Times New Roman" w:hAnsi="Times New Roman" w:cs="Times New Roman"/>
        </w:rPr>
        <w:t xml:space="preserve"> Importance is calculated using the Mean Decrease in Impurity (Gini Importance). It measures the total reduction of the Mean Squared Error (MSE) brought by that specific feature across all trees in the forest.</w:t>
      </w:r>
    </w:p>
    <w:p w14:paraId="4C9B9E44" w14:textId="130E699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Interpretation:</w:t>
      </w:r>
      <w:r w:rsidRPr="47575B0A">
        <w:rPr>
          <w:rFonts w:ascii="Times New Roman" w:eastAsia="Times New Roman" w:hAnsi="Times New Roman" w:cs="Times New Roman"/>
        </w:rPr>
        <w:t xml:space="preserve"> Importance is measured using Information Gain. It evaluates the relative contribution of each feature to the model by calculating the improvement in accuracy it provides to the branches it is on.</w:t>
      </w:r>
    </w:p>
    <w:p w14:paraId="02E38594" w14:textId="75E080DF" w:rsidR="1C8E5C64" w:rsidRDefault="6CD3F6A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w:t>
      </w:r>
      <w:r w:rsidR="4213DE3F" w:rsidRPr="47575B0A">
        <w:rPr>
          <w:rFonts w:ascii="Times New Roman" w:eastAsia="Times New Roman" w:hAnsi="Times New Roman" w:cs="Times New Roman"/>
          <w:b/>
          <w:bCs/>
        </w:rPr>
        <w:t>5</w:t>
      </w:r>
      <w:r w:rsidRPr="47575B0A">
        <w:rPr>
          <w:rFonts w:ascii="Times New Roman" w:eastAsia="Times New Roman" w:hAnsi="Times New Roman" w:cs="Times New Roman"/>
          <w:b/>
          <w:bCs/>
        </w:rPr>
        <w:t xml:space="preserve"> Evaluation Metrics for Forecasting and Portfolio Performance</w:t>
      </w:r>
    </w:p>
    <w:p w14:paraId="1FB1F824" w14:textId="6BFA3D03" w:rsidR="057DBCA5" w:rsidRDefault="0273BA0A"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methodology utilizes a dual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evaluation framework to assess both the predictive accuracy of the machine learning algorithms (Stage 1) and the financial viability of the resulting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optimized portfolio against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baseline (Stage 2).</w:t>
      </w:r>
    </w:p>
    <w:p w14:paraId="3D34F897" w14:textId="20FA1455" w:rsidR="057DBCA5" w:rsidRDefault="0273BA0A"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Predictive Forecasting Metrics</w:t>
      </w:r>
    </w:p>
    <w:p w14:paraId="33193A9D" w14:textId="4342A0D2" w:rsidR="057DBCA5" w:rsidRDefault="0273BA0A"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machine learning phase, the deviation of the forecasted expected returns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from the actual observed returns (R) is measured using two continuous error metrics:</w:t>
      </w:r>
    </w:p>
    <w:p w14:paraId="1290BE15" w14:textId="49A77995"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lastRenderedPageBreak/>
        <w:t>Root Mean Squared Error (RMSE):</w:t>
      </w:r>
      <w:r w:rsidRPr="47575B0A">
        <w:rPr>
          <w:rFonts w:ascii="Times New Roman" w:eastAsia="Times New Roman" w:hAnsi="Times New Roman" w:cs="Times New Roman"/>
        </w:rPr>
        <w:t xml:space="preserve"> Penalizes larger forecasting errors more heavily, which is crucial for identifying severe prediction failures before they are fed into the optimizer.</w:t>
      </w:r>
    </w:p>
    <w:p w14:paraId="1D4ECDFB" w14:textId="32C46F7D"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sup>
                      <m:r>
                        <w:rPr>
                          <w:rFonts w:ascii="Cambria Math" w:hAnsi="Cambria Math"/>
                        </w:rPr>
                        <m:t>2</m:t>
                      </m:r>
                    </m:sup>
                  </m:sSup>
                </m:e>
              </m:nary>
            </m:e>
          </m:rad>
        </m:oMath>
      </m:oMathPara>
    </w:p>
    <w:p w14:paraId="5DF8D6EB" w14:textId="7579F267"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Mean Absolute Error (MAE):</w:t>
      </w:r>
      <w:r w:rsidRPr="47575B0A">
        <w:rPr>
          <w:rFonts w:ascii="Times New Roman" w:eastAsia="Times New Roman" w:hAnsi="Times New Roman" w:cs="Times New Roman"/>
        </w:rPr>
        <w:t xml:space="preserve"> Measures the average absolute magnitude of the prediction errors, providing a baseline view of model accuracy without directional bias.</w:t>
      </w:r>
    </w:p>
    <w:p w14:paraId="0ABDA370" w14:textId="302EC348"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nary>
        </m:oMath>
      </m:oMathPara>
    </w:p>
    <w:p w14:paraId="1F1BB078" w14:textId="45DB5B59" w:rsidR="28C1B626" w:rsidRDefault="28C1B626" w:rsidP="00B61C71">
      <w:pPr>
        <w:spacing w:after="240" w:line="480" w:lineRule="auto"/>
        <w:jc w:val="both"/>
        <w:rPr>
          <w:rFonts w:ascii="Times New Roman" w:eastAsia="Times New Roman" w:hAnsi="Times New Roman" w:cs="Times New Roman"/>
        </w:rPr>
      </w:pPr>
    </w:p>
    <w:p w14:paraId="5174123F" w14:textId="53741C53" w:rsidR="41B0570A" w:rsidRDefault="200210B0"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Risk</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Adjusted Portfolio Metrics</w:t>
      </w:r>
    </w:p>
    <w:p w14:paraId="27162B04" w14:textId="5D890662" w:rsidR="41B0570A" w:rsidRDefault="200210B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final portfolio allocation, performance is measured using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adjusted return metrics. This requires a localized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free rate proxy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 for which the de</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annualized Central Bank of Nigeria (CBN) 91</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day Treasury </w:t>
      </w:r>
      <w:proofErr w:type="gramStart"/>
      <w:r w:rsidRPr="28C1B626">
        <w:rPr>
          <w:rFonts w:ascii="Times New Roman" w:eastAsia="Times New Roman" w:hAnsi="Times New Roman" w:cs="Times New Roman"/>
        </w:rPr>
        <w:t>Bill</w:t>
      </w:r>
      <w:proofErr w:type="gramEnd"/>
      <w:r w:rsidRPr="28C1B626">
        <w:rPr>
          <w:rFonts w:ascii="Times New Roman" w:eastAsia="Times New Roman" w:hAnsi="Times New Roman" w:cs="Times New Roman"/>
        </w:rPr>
        <w:t xml:space="preserve"> rate is utilized.</w:t>
      </w:r>
    </w:p>
    <w:p w14:paraId="6FC24236" w14:textId="04C113FC"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Sharpe Ratio:</w:t>
      </w:r>
      <w:r w:rsidRPr="28C1B626">
        <w:rPr>
          <w:rFonts w:ascii="Times New Roman" w:eastAsia="Times New Roman" w:hAnsi="Times New Roman" w:cs="Times New Roman"/>
        </w:rPr>
        <w:t xml:space="preserve"> Measures the excess return per unit of total portfolio risk (standard deviation,</w:t>
      </w:r>
      <m:oMath>
        <m:sSub>
          <m:sSubPr>
            <m:ctrlPr>
              <w:rPr>
                <w:rFonts w:ascii="Cambria Math" w:hAnsi="Cambria Math"/>
              </w:rPr>
            </m:ctrlPr>
          </m:sSubPr>
          <m:e>
            <m:r>
              <w:rPr>
                <w:rFonts w:ascii="Cambria Math" w:hAnsi="Cambria Math"/>
              </w:rPr>
              <m:t>σ</m:t>
            </m:r>
          </m:e>
          <m:sub>
            <m:r>
              <w:rPr>
                <w:rFonts w:ascii="Cambria Math" w:hAnsi="Cambria Math"/>
              </w:rPr>
              <m:t>p</m:t>
            </m:r>
          </m:sub>
        </m:sSub>
      </m:oMath>
      <w:r w:rsidRPr="28C1B626">
        <w:rPr>
          <w:rFonts w:ascii="Times New Roman" w:eastAsia="Times New Roman" w:hAnsi="Times New Roman" w:cs="Times New Roman"/>
        </w:rPr>
        <w:t>).</w:t>
      </w:r>
    </w:p>
    <w:p w14:paraId="6E4D096C" w14:textId="42ED1958" w:rsidR="28C1B626" w:rsidRDefault="28C1B626" w:rsidP="00B61C71">
      <w:pPr>
        <w:spacing w:after="0" w:line="480" w:lineRule="auto"/>
        <w:ind w:left="2160" w:firstLine="720"/>
        <w:jc w:val="both"/>
        <w:rPr>
          <w:rFonts w:ascii="Times New Roman" w:eastAsia="Times New Roman" w:hAnsi="Times New Roman" w:cs="Times New Roman"/>
        </w:rPr>
      </w:pPr>
      <m:oMathPara>
        <m:oMath>
          <m:r>
            <w:rPr>
              <w:rFonts w:ascii="Cambria Math" w:hAnsi="Cambria Math"/>
            </w:rPr>
            <m:t>Sharpe=</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p</m:t>
                  </m:r>
                </m:sub>
              </m:sSub>
            </m:den>
          </m:f>
        </m:oMath>
      </m:oMathPara>
    </w:p>
    <w:p w14:paraId="6EF0BECB" w14:textId="00F14587"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proofErr w:type="spellStart"/>
      <w:r w:rsidRPr="28C1B626">
        <w:rPr>
          <w:rFonts w:ascii="Times New Roman" w:eastAsia="Times New Roman" w:hAnsi="Times New Roman" w:cs="Times New Roman"/>
          <w:b/>
          <w:bCs/>
        </w:rPr>
        <w:lastRenderedPageBreak/>
        <w:t>Sortino</w:t>
      </w:r>
      <w:proofErr w:type="spellEnd"/>
      <w:r w:rsidRPr="28C1B626">
        <w:rPr>
          <w:rFonts w:ascii="Times New Roman" w:eastAsia="Times New Roman" w:hAnsi="Times New Roman" w:cs="Times New Roman"/>
          <w:b/>
          <w:bCs/>
        </w:rPr>
        <w:t xml:space="preserve"> Ratio:</w:t>
      </w:r>
      <w:r w:rsidRPr="28C1B626">
        <w:rPr>
          <w:rFonts w:ascii="Times New Roman" w:eastAsia="Times New Roman" w:hAnsi="Times New Roman" w:cs="Times New Roman"/>
        </w:rPr>
        <w:t xml:space="preserve"> Aligning with the thesis's focus on tail risk, this ratio isolates downside volatility. It replaces total standard deviation with downside deviation (</w:t>
      </w:r>
      <m:oMath>
        <m:sSub>
          <m:sSubPr>
            <m:ctrlPr>
              <w:rPr>
                <w:rFonts w:ascii="Cambria Math" w:hAnsi="Cambria Math"/>
              </w:rPr>
            </m:ctrlPr>
          </m:sSubPr>
          <m:e>
            <m:r>
              <w:rPr>
                <w:rFonts w:ascii="Cambria Math" w:hAnsi="Cambria Math"/>
              </w:rPr>
              <m:t>σ</m:t>
            </m:r>
          </m:e>
          <m:sub>
            <m:r>
              <w:rPr>
                <w:rFonts w:ascii="Cambria Math" w:hAnsi="Cambria Math"/>
              </w:rPr>
              <m:t>d</m:t>
            </m:r>
          </m:sub>
        </m:sSub>
      </m:oMath>
      <w:r w:rsidRPr="28C1B626">
        <w:rPr>
          <w:rFonts w:ascii="Times New Roman" w:eastAsia="Times New Roman" w:hAnsi="Times New Roman" w:cs="Times New Roman"/>
        </w:rPr>
        <w:t xml:space="preserve">), penalizing only the returns that fall </w:t>
      </w:r>
      <w:proofErr w:type="gramStart"/>
      <w:r w:rsidRPr="28C1B626">
        <w:rPr>
          <w:rFonts w:ascii="Times New Roman" w:eastAsia="Times New Roman" w:hAnsi="Times New Roman" w:cs="Times New Roman"/>
        </w:rPr>
        <w:t xml:space="preserve">below </w:t>
      </w:r>
      <w:proofErr w:type="gramEnd"/>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w:t>
      </w:r>
    </w:p>
    <w:p w14:paraId="3CFC3D2D" w14:textId="2B1CEF36" w:rsidR="28C1B626" w:rsidRDefault="28C1B626" w:rsidP="00B61C71">
      <w:pPr>
        <w:spacing w:after="0" w:line="480" w:lineRule="auto"/>
        <w:ind w:left="2160" w:firstLine="720"/>
        <w:jc w:val="both"/>
        <w:rPr>
          <w:rFonts w:ascii="Times New Roman" w:eastAsia="Times New Roman" w:hAnsi="Times New Roman" w:cs="Times New Roman"/>
          <w:lang w:val="it-IT"/>
        </w:rPr>
      </w:pPr>
      <m:oMathPara>
        <m:oMath>
          <m:r>
            <w:rPr>
              <w:rFonts w:ascii="Cambria Math" w:hAnsi="Cambria Math"/>
            </w:rPr>
            <m:t>Sortino=</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d</m:t>
                  </m:r>
                </m:sub>
              </m:sSub>
            </m:den>
          </m:f>
        </m:oMath>
      </m:oMathPara>
    </w:p>
    <w:p w14:paraId="6CFDC9DB" w14:textId="1889603F"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Maximum Drawdown (MDD):</w:t>
      </w:r>
      <w:r w:rsidRPr="47575B0A">
        <w:rPr>
          <w:rFonts w:ascii="Times New Roman" w:eastAsia="Times New Roman" w:hAnsi="Times New Roman" w:cs="Times New Roman"/>
        </w:rPr>
        <w:t xml:space="preserve"> Quantifies the portfolio's absolute worst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case scenario. It measures the maximum observed loss from a historical peak to a subsequent trough before a new peak is attained.</w:t>
      </w:r>
    </w:p>
    <w:p w14:paraId="2D1D41FA" w14:textId="4F9ADEDF" w:rsidR="28C1B626" w:rsidRDefault="28C1B626" w:rsidP="00B61C71">
      <w:pPr>
        <w:spacing w:after="0" w:line="480" w:lineRule="auto"/>
        <w:ind w:left="720" w:firstLine="720"/>
        <w:jc w:val="both"/>
        <w:rPr>
          <w:rFonts w:ascii="Times New Roman" w:eastAsia="Times New Roman" w:hAnsi="Times New Roman" w:cs="Times New Roman"/>
        </w:rPr>
      </w:pPr>
      <m:oMathPara>
        <m:oMath>
          <m:r>
            <w:rPr>
              <w:rFonts w:ascii="Cambria Math" w:hAnsi="Cambria Math"/>
            </w:rPr>
            <m:t>MDD=</m:t>
          </m:r>
          <m:f>
            <m:fPr>
              <m:ctrlPr>
                <w:rPr>
                  <w:rFonts w:ascii="Cambria Math" w:hAnsi="Cambria Math"/>
                </w:rPr>
              </m:ctrlPr>
            </m:fPr>
            <m:num>
              <m:r>
                <w:rPr>
                  <w:rFonts w:ascii="Cambria Math" w:hAnsi="Cambria Math"/>
                </w:rPr>
                <m:t>Trough Value-Peak Value</m:t>
              </m:r>
            </m:num>
            <m:den>
              <m:r>
                <w:rPr>
                  <w:rFonts w:ascii="Cambria Math" w:hAnsi="Cambria Math"/>
                </w:rPr>
                <m:t>Peak Value</m:t>
              </m:r>
            </m:den>
          </m:f>
        </m:oMath>
      </m:oMathPara>
    </w:p>
    <w:p w14:paraId="1BDD38E7" w14:textId="28281580" w:rsidR="28C1B626" w:rsidRDefault="28C1B626" w:rsidP="00B61C71">
      <w:pPr>
        <w:spacing w:after="0" w:line="480" w:lineRule="auto"/>
        <w:ind w:left="720" w:firstLine="720"/>
        <w:jc w:val="both"/>
        <w:rPr>
          <w:rFonts w:ascii="Times New Roman" w:eastAsia="Times New Roman" w:hAnsi="Times New Roman" w:cs="Times New Roman"/>
        </w:rPr>
      </w:pPr>
    </w:p>
    <w:p w14:paraId="0307C280" w14:textId="691B0737" w:rsidR="4ED2A560" w:rsidRDefault="30BE8766"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By utilizing these metrics, the study empirically validates whether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linear machine learning forecasts, combined with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tail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risk constraints, genuinely deliver superior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adjusted performance on the Nigerian Exchange.</w:t>
      </w:r>
    </w:p>
    <w:p w14:paraId="4F14C1D7" w14:textId="378D4E98" w:rsidR="01E9B122" w:rsidRDefault="01E9B122"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 Benchmark Portfolios for Evaluation</w:t>
      </w:r>
    </w:p>
    <w:p w14:paraId="15D308A3" w14:textId="7BCBA7C2" w:rsidR="01E9B122" w:rsidRDefault="01E9B122"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rigorously evaluate the economic value and true out-of-sample performance of the advanced ML-</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tail-risk constraints, genuinely deliver superior risk-adjusted performance on the Nigerian Exchange.</w:t>
      </w:r>
    </w:p>
    <w:p w14:paraId="0E72903F" w14:textId="45D925EF" w:rsidR="01E9B122" w:rsidRDefault="01E9B122" w:rsidP="00B61C71">
      <w:pPr>
        <w:pStyle w:val="ListParagraph"/>
        <w:numPr>
          <w:ilvl w:val="0"/>
          <w:numId w:val="1"/>
        </w:num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b/>
          <w:bCs/>
          <w:color w:val="303030"/>
        </w:rPr>
        <w:t>The 1/N Equally Weighted Portfolio (EWP):</w:t>
      </w:r>
      <w:r w:rsidRPr="47575B0A">
        <w:rPr>
          <w:rFonts w:ascii="Times New Roman" w:eastAsia="Times New Roman" w:hAnsi="Times New Roman" w:cs="Times New Roman"/>
          <w:color w:val="303030"/>
        </w:rPr>
        <w:t xml:space="preserve"> In this naive diversification strategy, investment capital is simply divided uniformly across all selected stocks without relying </w:t>
      </w:r>
      <w:r w:rsidRPr="47575B0A">
        <w:rPr>
          <w:rFonts w:ascii="Times New Roman" w:eastAsia="Times New Roman" w:hAnsi="Times New Roman" w:cs="Times New Roman"/>
          <w:color w:val="303030"/>
        </w:rPr>
        <w:lastRenderedPageBreak/>
        <w:t xml:space="preserve">on any parameter estimation or complex optimization </w:t>
      </w:r>
      <w:proofErr w:type="gramStart"/>
      <w:r w:rsidRPr="47575B0A">
        <w:rPr>
          <w:rFonts w:ascii="Times New Roman" w:eastAsia="Times New Roman" w:hAnsi="Times New Roman" w:cs="Times New Roman"/>
          <w:color w:val="303030"/>
        </w:rPr>
        <w:t>algorithms .</w:t>
      </w:r>
      <w:proofErr w:type="gramEnd"/>
      <w:r w:rsidRPr="47575B0A">
        <w:rPr>
          <w:rFonts w:ascii="Times New Roman" w:eastAsia="Times New Roman" w:hAnsi="Times New Roman" w:cs="Times New Roman"/>
          <w:color w:val="303030"/>
        </w:rPr>
        <w:t xml:space="preserve"> In an EWP strategy, each asset in the portfolio holds an equal weight of </w:t>
      </w:r>
      <w:proofErr w:type="spellStart"/>
      <w:r w:rsidRPr="47575B0A">
        <w:rPr>
          <w:rFonts w:ascii="Times New Roman" w:eastAsia="Times New Roman" w:hAnsi="Times New Roman" w:cs="Times New Roman"/>
          <w:i/>
          <w:iCs/>
          <w:color w:val="303030"/>
        </w:rPr>
        <w:t>wi</w:t>
      </w:r>
      <w:proofErr w:type="spellEnd"/>
      <w:r w:rsidRPr="47575B0A">
        <w:rPr>
          <w:rFonts w:ascii="Times New Roman" w:eastAsia="Times New Roman" w:hAnsi="Times New Roman" w:cs="Times New Roman"/>
          <w:color w:val="303030"/>
        </w:rPr>
        <w:t xml:space="preserve"> =1/</w:t>
      </w:r>
      <w:proofErr w:type="gramStart"/>
      <w:r w:rsidRPr="47575B0A">
        <w:rPr>
          <w:rFonts w:ascii="Times New Roman" w:eastAsia="Times New Roman" w:hAnsi="Times New Roman" w:cs="Times New Roman"/>
          <w:i/>
          <w:iCs/>
          <w:color w:val="303030"/>
        </w:rPr>
        <w:t xml:space="preserve">N </w:t>
      </w:r>
      <w:r w:rsidRPr="47575B0A">
        <w:rPr>
          <w:rFonts w:ascii="Times New Roman" w:eastAsia="Times New Roman" w:hAnsi="Times New Roman" w:cs="Times New Roman"/>
          <w:color w:val="303030"/>
        </w:rPr>
        <w:t>.</w:t>
      </w:r>
      <w:proofErr w:type="gramEnd"/>
      <w:r w:rsidRPr="47575B0A">
        <w:rPr>
          <w:rFonts w:ascii="Times New Roman" w:eastAsia="Times New Roman" w:hAnsi="Times New Roman" w:cs="Times New Roman"/>
          <w:color w:val="303030"/>
        </w:rPr>
        <w:t xml:space="preserve"> This rule is chosen as a primary benchmark because it is easy to implement and continues to be a standard, highly effective allocation rule utilized by investors</w:t>
      </w:r>
    </w:p>
    <w:p w14:paraId="6D0355F3" w14:textId="114ABA75" w:rsidR="2BD62835" w:rsidRDefault="2BD62835" w:rsidP="00B61C71">
      <w:pPr>
        <w:pStyle w:val="ListParagraph"/>
        <w:numPr>
          <w:ilvl w:val="0"/>
          <w:numId w:val="1"/>
        </w:numPr>
        <w:spacing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The Buy-and-Hold Market Index Strategy:</w:t>
      </w:r>
      <w:r w:rsidRPr="47575B0A">
        <w:rPr>
          <w:rFonts w:ascii="Times New Roman" w:eastAsia="Times New Roman" w:hAnsi="Times New Roman" w:cs="Times New Roman"/>
          <w:color w:val="303030"/>
        </w:rPr>
        <w:t xml:space="preserve"> This is a passive strategy that involves buying and holding the market index itself—in this case, the NGX Pension Index. This serves as a critical baseline to demonstrate whether active portfolio management based on machine learning predictions genuinely provides superior risk-adjusted returns compared to general market movements.</w:t>
      </w:r>
    </w:p>
    <w:p w14:paraId="457ABB0C" w14:textId="581957F3" w:rsidR="5CA5B7A4" w:rsidRDefault="77D5E205"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3.4 Description and Measurement of Study Variables</w:t>
      </w:r>
    </w:p>
    <w:p w14:paraId="729BD690" w14:textId="5FA281FC"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variables utilized in this study are partitioned into the target variable, the thirteen machine learning feature inputs (extracted exclusively from the weekly OHLCV data), and the exogenous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 parameter required for portfolio evaluation.</w:t>
      </w:r>
    </w:p>
    <w:p w14:paraId="3A4D7163" w14:textId="3093E14A"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Below is the tabular summary of all variables, their mathematical measurements, and their operational roles within the predictive and optimization models.</w:t>
      </w:r>
    </w:p>
    <w:tbl>
      <w:tblPr>
        <w:tblW w:w="0" w:type="auto"/>
        <w:tblLook w:val="06A0" w:firstRow="1" w:lastRow="0" w:firstColumn="1" w:lastColumn="0" w:noHBand="1" w:noVBand="1"/>
      </w:tblPr>
      <w:tblGrid>
        <w:gridCol w:w="1140"/>
        <w:gridCol w:w="1483"/>
        <w:gridCol w:w="1669"/>
        <w:gridCol w:w="3203"/>
        <w:gridCol w:w="1849"/>
      </w:tblGrid>
      <w:tr w:rsidR="28C1B626" w14:paraId="3FCB294D"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0BD5241B" w14:textId="2D67E599"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14:paraId="6B0B8CCE" w14:textId="599CA4C2"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14:paraId="6C662ECD" w14:textId="7D1BDC9B"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Category</w:t>
            </w:r>
          </w:p>
        </w:tc>
        <w:tc>
          <w:tcPr>
            <w:tcW w:w="3420" w:type="dxa"/>
            <w:tcBorders>
              <w:top w:val="single" w:sz="6" w:space="0" w:color="auto"/>
              <w:left w:val="single" w:sz="6" w:space="0" w:color="auto"/>
              <w:bottom w:val="single" w:sz="6" w:space="0" w:color="auto"/>
              <w:right w:val="single" w:sz="6" w:space="0" w:color="auto"/>
            </w:tcBorders>
            <w:vAlign w:val="center"/>
          </w:tcPr>
          <w:p w14:paraId="6E30EEE8" w14:textId="53475C43"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14:paraId="054BB540" w14:textId="1A2F7CF1"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Operational Role</w:t>
            </w:r>
          </w:p>
        </w:tc>
      </w:tr>
      <w:tr w:rsidR="28C1B626" w14:paraId="45D7F694"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426A5B55" w14:textId="4D9C0E54" w:rsidR="28C1B626" w:rsidRDefault="000113DD"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913F6CA" w14:textId="6F7C377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14:paraId="2FE6F5AD" w14:textId="4FC0E34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14:paraId="505A83E4" w14:textId="3F724EFD" w:rsidR="28C1B626" w:rsidRDefault="000113DD" w:rsidP="00B61C71">
            <w:pPr>
              <w:spacing w:after="0" w:line="480" w:lineRule="auto"/>
              <w:jc w:val="both"/>
              <w:rPr>
                <w:rFonts w:ascii="Times New Roman" w:eastAsia="Times New Roman" w:hAnsi="Times New Roman" w:cs="Times New Roman"/>
              </w:rPr>
            </w:pPr>
            <m:oMathPara>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i,t</m:t>
                            </m:r>
                          </m:sub>
                        </m:sSub>
                        <m:r>
                          <m:rPr>
                            <m:lit/>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i,t-1</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79F19C4" w14:textId="05919F81"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primary dependent variable. Represents the </w:t>
            </w:r>
            <w:r w:rsidRPr="28C1B626">
              <w:rPr>
                <w:rFonts w:ascii="Times New Roman" w:eastAsia="Times New Roman" w:hAnsi="Times New Roman" w:cs="Times New Roman"/>
              </w:rPr>
              <w:lastRenderedPageBreak/>
              <w:t>continuous yield of asset</w:t>
            </w:r>
            <w:r w:rsidR="5D81300F" w:rsidRPr="28C1B626">
              <w:rPr>
                <w:rFonts w:ascii="Times New Roman" w:eastAsia="Times New Roman" w:hAnsi="Times New Roman" w:cs="Times New Roman"/>
              </w:rPr>
              <w:t xml:space="preserve"> </w:t>
            </w:r>
            <m:oMath>
              <m:r>
                <w:rPr>
                  <w:rFonts w:ascii="Cambria Math" w:hAnsi="Cambria Math"/>
                </w:rPr>
                <m:t>i </m:t>
              </m:r>
            </m:oMath>
            <w:r w:rsidRPr="28C1B626">
              <w:rPr>
                <w:rFonts w:ascii="Times New Roman" w:eastAsia="Times New Roman" w:hAnsi="Times New Roman" w:cs="Times New Roman"/>
              </w:rPr>
              <w:t xml:space="preserve"> for the upcoming week.</w:t>
            </w:r>
          </w:p>
        </w:tc>
      </w:tr>
      <w:tr w:rsidR="28C1B626" w14:paraId="3DA90F9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CC90605" w14:textId="1273010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MAC</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4ECE5B86" w14:textId="37F89A2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14:paraId="794900CF" w14:textId="62EAA6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4D4D8CA" w14:textId="610BA6F4" w:rsidR="28C1B626" w:rsidRDefault="28C1B626" w:rsidP="00B61C71">
            <w:pPr>
              <w:spacing w:after="0" w:line="480" w:lineRule="auto"/>
              <w:jc w:val="both"/>
              <w:rPr>
                <w:rFonts w:ascii="Times New Roman" w:eastAsia="Times New Roman" w:hAnsi="Times New Roman" w:cs="Times New Roman"/>
              </w:rPr>
            </w:pP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r w:rsidR="3231BA49" w:rsidRPr="28C1B626">
              <w:rPr>
                <w:rFonts w:ascii="Times New Roman" w:eastAsia="Times New Roman" w:hAnsi="Times New Roman" w:cs="Times New Roman"/>
              </w:rPr>
              <w:t xml:space="preserve"> </w:t>
            </w:r>
            <w:r w:rsidR="3CB00BA7" w:rsidRPr="28C1B626">
              <w:rPr>
                <w:rFonts w:ascii="Times New Roman" w:eastAsia="Times New Roman" w:hAnsi="Times New Roman" w:cs="Times New Roman"/>
              </w:rPr>
              <w:t>-</w:t>
            </w:r>
            <w:r w:rsidR="3231BA49" w:rsidRPr="28C1B626">
              <w:rPr>
                <w:rFonts w:ascii="Times New Roman" w:eastAsia="Times New Roman" w:hAnsi="Times New Roman" w:cs="Times New Roman"/>
              </w:rPr>
              <w:t xml:space="preserve"> </w:t>
            </w: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14:paraId="78CFE5BC" w14:textId="6D0E068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the velocity of price changes to identify short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term momentum shifts.</w:t>
            </w:r>
          </w:p>
        </w:tc>
      </w:tr>
      <w:tr w:rsidR="28C1B626" w14:paraId="6138124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B380FF" w14:textId="4DC2357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53F5138" w14:textId="7B7FF6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14:paraId="7657F0A8" w14:textId="49DB15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2185D55F" w14:textId="7E731EB9" w:rsidR="28C1B626" w:rsidRDefault="000113DD"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num>
                  <m:den>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6C20AFD8" w14:textId="2F1A52A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 normalized version of MACD, allowing the models to compare momentum across assets of different prices.</w:t>
            </w:r>
          </w:p>
        </w:tc>
      </w:tr>
      <w:tr w:rsidR="28C1B626" w14:paraId="28EFEAF5"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868F204" w14:textId="6E21CE8C"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8A98A27" w14:textId="5D3A02B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14:paraId="77A22B2F" w14:textId="7AF9310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301BC48" w14:textId="4D6CBF34"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100-</m:t>
              </m:r>
              <m:f>
                <m:fPr>
                  <m:ctrlPr>
                    <w:rPr>
                      <w:rFonts w:ascii="Cambria Math" w:hAnsi="Cambria Math"/>
                    </w:rPr>
                  </m:ctrlPr>
                </m:fPr>
                <m:num>
                  <m:r>
                    <w:rPr>
                      <w:rFonts w:ascii="Cambria Math" w:hAnsi="Cambria Math"/>
                    </w:rPr>
                    <m:t>100</m:t>
                  </m:r>
                </m:num>
                <m:den>
                  <m:r>
                    <w:rPr>
                      <w:rFonts w:ascii="Cambria Math" w:hAnsi="Cambria Math"/>
                    </w:rPr>
                    <m:t>1+RS</m:t>
                  </m:r>
                </m:den>
              </m:f>
            </m:oMath>
            <w:r w:rsidR="3231BA49" w:rsidRPr="47575B0A">
              <w:rPr>
                <w:rFonts w:ascii="Times New Roman" w:eastAsia="Times New Roman" w:hAnsi="Times New Roman" w:cs="Times New Roman"/>
                <w:i/>
                <w:iCs/>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14:paraId="6770EE0C" w14:textId="5597E2AE"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Identifies overbought (</w:t>
            </w:r>
            <m:oMath>
              <m:r>
                <w:rPr>
                  <w:rFonts w:ascii="Cambria Math" w:hAnsi="Cambria Math"/>
                </w:rPr>
                <m:t>&gt;70 </m:t>
              </m:r>
            </m:oMath>
            <w:r w:rsidRPr="28C1B626">
              <w:rPr>
                <w:rFonts w:ascii="Times New Roman" w:eastAsia="Times New Roman" w:hAnsi="Times New Roman" w:cs="Times New Roman"/>
              </w:rPr>
              <w:t>) or oversold (</w:t>
            </w:r>
            <m:oMath>
              <m:r>
                <w:rPr>
                  <w:rFonts w:ascii="Cambria Math" w:hAnsi="Cambria Math"/>
                </w:rPr>
                <m:t>&lt;30 </m:t>
              </m:r>
            </m:oMath>
            <w:r w:rsidRPr="28C1B626">
              <w:rPr>
                <w:rFonts w:ascii="Times New Roman" w:eastAsia="Times New Roman" w:hAnsi="Times New Roman" w:cs="Times New Roman"/>
              </w:rPr>
              <w:t>) market conditions.</w:t>
            </w:r>
          </w:p>
        </w:tc>
      </w:tr>
      <w:tr w:rsidR="28C1B626" w14:paraId="40EE30F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5657CDB" w14:textId="364CF0BA"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STOC</m:t>
                </m:r>
                <m:sSub>
                  <m:sSubPr>
                    <m:ctrlPr>
                      <w:rPr>
                        <w:rFonts w:ascii="Cambria Math" w:hAnsi="Cambria Math"/>
                      </w:rPr>
                    </m:ctrlPr>
                  </m:sSubPr>
                  <m:e>
                    <m:r>
                      <w:rPr>
                        <w:rFonts w:ascii="Cambria Math" w:hAnsi="Cambria Math"/>
                      </w:rPr>
                      <m:t>H</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3D075DE" w14:textId="2663AACB"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Stochastic Oscillator (</w:t>
            </w:r>
            <m:oMath>
              <m:r>
                <w:rPr>
                  <w:rFonts w:ascii="Cambria Math" w:hAnsi="Cambria Math"/>
                </w:rPr>
                <m:t>  </m:t>
              </m:r>
            </m:oMath>
            <w:r w:rsidRPr="28C1B626">
              <w:rPr>
                <w:rFonts w:ascii="Times New Roman" w:eastAsia="Times New Roman" w:hAnsi="Times New Roman" w:cs="Times New Roman"/>
              </w:rPr>
              <w:t>)</w:t>
            </w:r>
          </w:p>
        </w:tc>
        <w:tc>
          <w:tcPr>
            <w:tcW w:w="1440" w:type="dxa"/>
            <w:tcBorders>
              <w:top w:val="single" w:sz="6" w:space="0" w:color="auto"/>
              <w:left w:val="single" w:sz="6" w:space="0" w:color="auto"/>
              <w:bottom w:val="single" w:sz="6" w:space="0" w:color="auto"/>
              <w:right w:val="single" w:sz="6" w:space="0" w:color="auto"/>
            </w:tcBorders>
            <w:vAlign w:val="center"/>
          </w:tcPr>
          <w:p w14:paraId="0631948D" w14:textId="2C0D33B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51BE1BE" w14:textId="24DB4A13" w:rsidR="28C1B626" w:rsidRDefault="000113DD"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num>
                  <m:den>
                    <m:sSub>
                      <m:sSubPr>
                        <m:ctrlPr>
                          <w:rPr>
                            <w:rFonts w:ascii="Cambria Math" w:hAnsi="Cambria Math"/>
                          </w:rPr>
                        </m:ctrlPr>
                      </m:sSubPr>
                      <m:e>
                        <m:r>
                          <w:rPr>
                            <w:rFonts w:ascii="Cambria Math" w:hAnsi="Cambria Math"/>
                          </w:rPr>
                          <m:t>H</m:t>
                        </m:r>
                      </m:e>
                      <m:sub>
                        <m:r>
                          <w:rPr>
                            <w:rFonts w:ascii="Cambria Math" w:hAnsi="Cambria Math"/>
                          </w:rPr>
                          <m:t>14</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DD8FF3E" w14:textId="17A0F95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Evaluates the closing price relative to the high</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low range over 14 weeks to predict price turning points.</w:t>
            </w:r>
          </w:p>
        </w:tc>
      </w:tr>
      <w:tr w:rsidR="28C1B626" w14:paraId="7DE34E3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21380B" w14:textId="12EBE3B4" w:rsidR="28C1B626" w:rsidRDefault="000113DD"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F8C1947" w14:textId="219D9F8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Lagged Log Returns (Lags 1 to 4)</w:t>
            </w:r>
          </w:p>
        </w:tc>
        <w:tc>
          <w:tcPr>
            <w:tcW w:w="1440" w:type="dxa"/>
            <w:tcBorders>
              <w:top w:val="single" w:sz="6" w:space="0" w:color="auto"/>
              <w:left w:val="single" w:sz="6" w:space="0" w:color="auto"/>
              <w:bottom w:val="single" w:sz="6" w:space="0" w:color="auto"/>
              <w:right w:val="single" w:sz="6" w:space="0" w:color="auto"/>
            </w:tcBorders>
            <w:vAlign w:val="center"/>
          </w:tcPr>
          <w:p w14:paraId="67837168" w14:textId="0DEA7DC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0093F87" w14:textId="4D0D722F" w:rsidR="28C1B626" w:rsidRDefault="000113DD"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i,t-3</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i,t-4</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E564110" w14:textId="4F5F45EF"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Feeds the past four weeks of historical price momentum directly into the machine learning algorithms.</w:t>
            </w:r>
          </w:p>
        </w:tc>
      </w:tr>
      <w:tr w:rsidR="28C1B626" w14:paraId="0D79A35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AF2D24" w14:textId="38E5CC16"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2A54039" w14:textId="3462C0C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14:paraId="59480CF3" w14:textId="2231EB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9C7A34" w14:textId="476F67C4" w:rsidR="28C1B626" w:rsidRDefault="000113DD"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k=0</m:t>
                    </m:r>
                  </m:sub>
                  <m:sup>
                    <m:r>
                      <w:rPr>
                        <w:rFonts w:ascii="Cambria Math" w:hAnsi="Cambria Math"/>
                      </w:rPr>
                      <m:t>n-1</m:t>
                    </m:r>
                  </m:sup>
                  <m:e>
                    <m:sSub>
                      <m:sSubPr>
                        <m:ctrlPr>
                          <w:rPr>
                            <w:rFonts w:ascii="Cambria Math" w:hAnsi="Cambria Math"/>
                          </w:rPr>
                        </m:ctrlPr>
                      </m:sSubPr>
                      <m:e>
                        <m:r>
                          <w:rPr>
                            <w:rFonts w:ascii="Cambria Math" w:hAnsi="Cambria Math"/>
                          </w:rPr>
                          <m:t>P</m:t>
                        </m:r>
                      </m:e>
                      <m:sub>
                        <m:r>
                          <w:rPr>
                            <w:rFonts w:ascii="Cambria Math" w:hAnsi="Cambria Math"/>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52FBDBB" w14:textId="40C9817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Smooths weekly price data to identify the baseline market trend direction.</w:t>
            </w:r>
          </w:p>
        </w:tc>
      </w:tr>
      <w:tr w:rsidR="28C1B626" w14:paraId="309A0F3E"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17BB5E" w14:textId="61E503D8"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22B8666" w14:textId="3057D04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14:paraId="3D1FB149" w14:textId="180F0D0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351C588" w14:textId="10C57BC2" w:rsidR="69A430D2" w:rsidRDefault="69A430D2" w:rsidP="00B61C71">
            <w:pPr>
              <w:spacing w:after="0" w:line="480" w:lineRule="auto"/>
              <w:jc w:val="both"/>
            </w:pPr>
            <m:oMathPara>
              <m:oMath>
                <m:r>
                  <w:rPr>
                    <w:rFonts w:ascii="Cambria Math" w:hAnsi="Cambria Math"/>
                  </w:rPr>
                  <m:t>100 ⋅MA </m:t>
                </m:r>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r>
                              <w:rPr>
                                <w:rFonts w:ascii="Cambria Math" w:hAnsi="Cambria Math"/>
                              </w:rPr>
                              <m:t>+DI -- DI</m:t>
                            </m:r>
                          </m:e>
                        </m:d>
                      </m:num>
                      <m:den>
                        <m:r>
                          <w:rPr>
                            <w:rFonts w:ascii="Cambria Math" w:hAnsi="Cambria Math"/>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08E32D0" w14:textId="1700234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Quantifies the absolute strength of a trend, </w:t>
            </w:r>
            <w:r w:rsidRPr="47575B0A">
              <w:rPr>
                <w:rFonts w:ascii="Times New Roman" w:eastAsia="Times New Roman" w:hAnsi="Times New Roman" w:cs="Times New Roman"/>
              </w:rPr>
              <w:lastRenderedPageBreak/>
              <w:t>regardless of whether it is bullish or bearish.</w:t>
            </w:r>
          </w:p>
        </w:tc>
      </w:tr>
      <w:tr w:rsidR="28C1B626" w14:paraId="2C61AFEC"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F6E1C63" w14:textId="1A1D9B97"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SA</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5A9ED8C" w14:textId="69CD88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14:paraId="5534CC68" w14:textId="7190507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80ABF2" w14:textId="14E9583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+α</m:t>
                </m:r>
                <m:d>
                  <m:dPr>
                    <m:ctrlPr>
                      <w:rPr>
                        <w:rFonts w:ascii="Cambria Math" w:hAnsi="Cambria Math"/>
                      </w:rPr>
                    </m:ctrlPr>
                  </m:dPr>
                  <m:e>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53215B01" w14:textId="72DC595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Identifies precise entry and exit points and signals potential trend reversals.</w:t>
            </w:r>
          </w:p>
        </w:tc>
      </w:tr>
      <w:tr w:rsidR="28C1B626" w14:paraId="50899AA9"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2A4BE3C6" w14:textId="0EB95410"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37ED9E86" w14:textId="1FD1906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14:paraId="0FC3A159" w14:textId="3207C91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823BC82" w14:textId="42669E06" w:rsidR="28C1B626" w:rsidRDefault="000113DD" w:rsidP="00B61C71">
            <w:pPr>
              <w:spacing w:after="0" w:line="480" w:lineRule="auto"/>
              <w:jc w:val="both"/>
              <w:rPr>
                <w:rFonts w:ascii="Times New Roman" w:eastAsia="Times New Roman" w:hAnsi="Times New Roman" w:cs="Times New Roman"/>
                <w:i/>
                <w:iCs/>
              </w:rPr>
            </w:pPr>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T</m:t>
                  </m:r>
                  <m:sSub>
                    <m:sSubPr>
                      <m:ctrlPr>
                        <w:rPr>
                          <w:rFonts w:ascii="Cambria Math" w:hAnsi="Cambria Math"/>
                        </w:rPr>
                      </m:ctrlPr>
                    </m:sSubPr>
                    <m:e>
                      <m:r>
                        <w:rPr>
                          <w:rFonts w:ascii="Cambria Math" w:hAnsi="Cambria Math"/>
                        </w:rPr>
                        <m:t>R</m:t>
                      </m:r>
                    </m:e>
                    <m:sub>
                      <m:r>
                        <w:rPr>
                          <w:rFonts w:ascii="Cambria Math" w:hAnsi="Cambria Math"/>
                        </w:rPr>
                        <m:t>i</m:t>
                      </m:r>
                    </m:sub>
                  </m:sSub>
                </m:e>
              </m:nary>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14:paraId="043526D3" w14:textId="761CE62E"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intra</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week market volatility and the true magnitude of price drops.</w:t>
            </w:r>
          </w:p>
        </w:tc>
      </w:tr>
      <w:tr w:rsidR="28C1B626" w14:paraId="1334EA26"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B1C288" w14:textId="491709E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483392B" w14:textId="063BDED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14:paraId="4B73918F" w14:textId="301BCDE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1E2068B" w14:textId="200E531B"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14:paraId="507E6D57" w14:textId="0B2AFE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Confirms price trends by measuring the underlying institutional liquidity and trading volume flow.</w:t>
            </w:r>
          </w:p>
        </w:tc>
      </w:tr>
      <w:tr w:rsidR="28C1B626" w14:paraId="132D8CA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519D3C" w14:textId="007B916E" w:rsidR="28C1B626" w:rsidRDefault="000113DD"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C160E4A" w14:textId="6C8B5E39"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w:t>
            </w:r>
          </w:p>
        </w:tc>
        <w:tc>
          <w:tcPr>
            <w:tcW w:w="1440" w:type="dxa"/>
            <w:tcBorders>
              <w:top w:val="single" w:sz="6" w:space="0" w:color="auto"/>
              <w:left w:val="single" w:sz="6" w:space="0" w:color="auto"/>
              <w:bottom w:val="single" w:sz="6" w:space="0" w:color="auto"/>
              <w:right w:val="single" w:sz="6" w:space="0" w:color="auto"/>
            </w:tcBorders>
            <w:vAlign w:val="center"/>
          </w:tcPr>
          <w:p w14:paraId="469566FB" w14:textId="647BE1A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14:paraId="5EC904FC" w14:textId="50570D2A" w:rsidR="28C1B626" w:rsidRDefault="000113DD" w:rsidP="00B61C71">
            <w:pPr>
              <w:spacing w:after="0" w:line="480" w:lineRule="auto"/>
              <w:jc w:val="both"/>
              <w:rPr>
                <w:rFonts w:ascii="Times New Roman" w:eastAsia="Times New Roman" w:hAnsi="Times New Roman" w:cs="Times New Roman"/>
              </w:rPr>
            </w:pPr>
            <m:oMathPara>
              <m:oMath>
                <m:sSup>
                  <m:sSupPr>
                    <m:ctrlPr>
                      <w:rPr>
                        <w:rFonts w:ascii="Cambria Math" w:hAnsi="Cambria Math"/>
                      </w:rPr>
                    </m:ctrlPr>
                  </m:sSupPr>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annual</m:t>
                            </m:r>
                          </m:sub>
                        </m:sSub>
                      </m:e>
                    </m:d>
                  </m:e>
                  <m:sup>
                    <m:f>
                      <m:fPr>
                        <m:ctrlPr>
                          <w:rPr>
                            <w:rFonts w:ascii="Cambria Math" w:hAnsi="Cambria Math"/>
                          </w:rPr>
                        </m:ctrlPr>
                      </m:fPr>
                      <m:num>
                        <m:r>
                          <w:rPr>
                            <w:rFonts w:ascii="Cambria Math" w:hAnsi="Cambria Math"/>
                          </w:rPr>
                          <m:t>1</m:t>
                        </m:r>
                      </m:num>
                      <m:den>
                        <m:r>
                          <w:rPr>
                            <w:rFonts w:ascii="Cambria Math" w:hAnsi="Cambria Math"/>
                          </w:rPr>
                          <m:t>52</m:t>
                        </m:r>
                      </m:den>
                    </m:f>
                  </m:sup>
                </m:sSup>
                <m:r>
                  <w:rPr>
                    <w:rFonts w:ascii="Cambria Math" w:hAnsi="Cambria Math"/>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759E563" w14:textId="3217CD4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de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annualized CBN 91</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day Treasury Bill yield. Used to calculate Sharpe and </w:t>
            </w:r>
            <w:proofErr w:type="spellStart"/>
            <w:r w:rsidRPr="47575B0A">
              <w:rPr>
                <w:rFonts w:ascii="Times New Roman" w:eastAsia="Times New Roman" w:hAnsi="Times New Roman" w:cs="Times New Roman"/>
              </w:rPr>
              <w:t>Sortino</w:t>
            </w:r>
            <w:proofErr w:type="spellEnd"/>
            <w:r w:rsidRPr="47575B0A">
              <w:rPr>
                <w:rFonts w:ascii="Times New Roman" w:eastAsia="Times New Roman" w:hAnsi="Times New Roman" w:cs="Times New Roman"/>
              </w:rPr>
              <w:t xml:space="preserve"> ratios.</w:t>
            </w:r>
          </w:p>
        </w:tc>
      </w:tr>
    </w:tbl>
    <w:p w14:paraId="6E716B1F" w14:textId="1201F6BC" w:rsidR="28C1B626" w:rsidRDefault="28C1B626" w:rsidP="00B61C71">
      <w:pPr>
        <w:spacing w:after="240" w:line="480" w:lineRule="auto"/>
        <w:jc w:val="both"/>
        <w:rPr>
          <w:rFonts w:ascii="Times New Roman" w:eastAsia="Times New Roman" w:hAnsi="Times New Roman" w:cs="Times New Roman"/>
          <w:i/>
          <w:iCs/>
        </w:rPr>
      </w:pPr>
    </w:p>
    <w:p w14:paraId="1CCDC3E6" w14:textId="10C0C688" w:rsidR="5A43DC86" w:rsidRDefault="775E3400" w:rsidP="00B61C71">
      <w:pPr>
        <w:spacing w:after="240" w:line="480" w:lineRule="auto"/>
        <w:jc w:val="both"/>
        <w:rPr>
          <w:rFonts w:ascii="Times New Roman" w:eastAsia="Times New Roman" w:hAnsi="Times New Roman" w:cs="Times New Roman"/>
          <w:i/>
          <w:iCs/>
        </w:rPr>
      </w:pPr>
      <w:r w:rsidRPr="47575B0A">
        <w:rPr>
          <w:rFonts w:ascii="Times New Roman" w:eastAsia="Times New Roman" w:hAnsi="Times New Roman" w:cs="Times New Roman"/>
          <w:i/>
          <w:iCs/>
        </w:rPr>
        <w:t>(Note: In the formulations above,</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Pr="47575B0A">
        <w:rPr>
          <w:rFonts w:ascii="Times New Roman" w:eastAsia="Times New Roman" w:hAnsi="Times New Roman" w:cs="Times New Roman"/>
          <w:i/>
          <w:iCs/>
        </w:rPr>
        <w:t xml:space="preserve"> represents the weekly closing price, </w:t>
      </w:r>
      <m:oMath>
        <m:r>
          <w:rPr>
            <w:rFonts w:ascii="Cambria Math" w:hAnsi="Cambria Math"/>
          </w:rPr>
          <m:t>H </m:t>
        </m:r>
      </m:oMath>
      <w:r w:rsidRPr="47575B0A">
        <w:rPr>
          <w:rFonts w:ascii="Times New Roman" w:eastAsia="Times New Roman" w:hAnsi="Times New Roman" w:cs="Times New Roman"/>
          <w:i/>
          <w:iCs/>
        </w:rPr>
        <w:t xml:space="preserve"> is the high price, </w:t>
      </w:r>
      <m:oMath>
        <m:r>
          <w:rPr>
            <w:rFonts w:ascii="Cambria Math" w:hAnsi="Cambria Math"/>
          </w:rPr>
          <m:t>L </m:t>
        </m:r>
      </m:oMath>
      <w:r w:rsidRPr="47575B0A">
        <w:rPr>
          <w:rFonts w:ascii="Times New Roman" w:eastAsia="Times New Roman" w:hAnsi="Times New Roman" w:cs="Times New Roman"/>
          <w:i/>
          <w:iCs/>
        </w:rPr>
        <w:t xml:space="preserve"> is the low price,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47575B0A">
        <w:rPr>
          <w:rFonts w:ascii="Times New Roman" w:eastAsia="Times New Roman" w:hAnsi="Times New Roman" w:cs="Times New Roman"/>
          <w:i/>
          <w:iCs/>
        </w:rPr>
        <w:t xml:space="preserve"> is the weekly volume, </w:t>
      </w:r>
      <m:oMath>
        <m:r>
          <w:rPr>
            <w:rFonts w:ascii="Cambria Math" w:hAnsi="Cambria Math"/>
          </w:rPr>
          <m:t>EMA </m:t>
        </m:r>
      </m:oMath>
      <w:r w:rsidRPr="47575B0A">
        <w:rPr>
          <w:rFonts w:ascii="Times New Roman" w:eastAsia="Times New Roman" w:hAnsi="Times New Roman" w:cs="Times New Roman"/>
          <w:i/>
          <w:iCs/>
        </w:rPr>
        <w:t xml:space="preserve"> is the Exponential Moving Average, and </w:t>
      </w:r>
      <m:oMath>
        <m:r>
          <w:rPr>
            <w:rFonts w:ascii="Cambria Math" w:hAnsi="Cambria Math"/>
          </w:rPr>
          <m:t>TR </m:t>
        </m:r>
      </m:oMath>
      <w:r w:rsidRPr="47575B0A">
        <w:rPr>
          <w:rFonts w:ascii="Times New Roman" w:eastAsia="Times New Roman" w:hAnsi="Times New Roman" w:cs="Times New Roman"/>
          <w:i/>
          <w:iCs/>
        </w:rPr>
        <w:t xml:space="preserve"> is the True Range).</w:t>
      </w:r>
    </w:p>
    <w:p w14:paraId="41B4E6AE" w14:textId="0A9D31C1" w:rsidR="0A7E58F2" w:rsidRDefault="42AC30ED" w:rsidP="00B61C71">
      <w:pPr>
        <w:spacing w:after="240"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3.5 Data Preprocessing and Feature Scaling</w:t>
      </w:r>
    </w:p>
    <w:p w14:paraId="550DD6DC" w14:textId="18D292FD" w:rsidR="0A7E58F2" w:rsidRDefault="42AC30ED"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 xml:space="preserve">Prior to feeding the financial time-series data into the machine learning models, rigorous data preprocessing is required to ensure data integrity and model stability. First, missing values-which frequently arise in the Nigerian Exchange Group (NGX) due to market closures, public holidays, or reporting inconsistencies-will be handled using forward-fill imputation. This technique preserves the chronological continuity of historical price trends and prevents detrimental gaps in the sequential learning process of the algorithms. Second, because machine learning algorithms are highly sensitive to the scale of input data, it is a mathematical necessity to normalize the extracted technical features. Without scaling, large-magnitude features such as trading volume could disproportionately dominate and distort the gradient descent and learning processes of the </w:t>
      </w:r>
      <w:r w:rsidRPr="47575B0A">
        <w:rPr>
          <w:rFonts w:ascii="Times New Roman" w:eastAsia="Times New Roman" w:hAnsi="Times New Roman" w:cs="Times New Roman"/>
          <w:color w:val="303030"/>
        </w:rPr>
        <w:lastRenderedPageBreak/>
        <w:t xml:space="preserve">Random Forest and </w:t>
      </w:r>
      <w:proofErr w:type="spellStart"/>
      <w:r w:rsidRPr="47575B0A">
        <w:rPr>
          <w:rFonts w:ascii="Times New Roman" w:eastAsia="Times New Roman" w:hAnsi="Times New Roman" w:cs="Times New Roman"/>
          <w:color w:val="303030"/>
        </w:rPr>
        <w:t>XGBoost</w:t>
      </w:r>
      <w:proofErr w:type="spellEnd"/>
      <w:r w:rsidRPr="47575B0A">
        <w:rPr>
          <w:rFonts w:ascii="Times New Roman" w:eastAsia="Times New Roman" w:hAnsi="Times New Roman" w:cs="Times New Roman"/>
          <w:color w:val="303030"/>
        </w:rPr>
        <w:t xml:space="preserve"> </w:t>
      </w:r>
      <w:r w:rsidR="074E4A77" w:rsidRPr="47575B0A">
        <w:rPr>
          <w:rFonts w:ascii="Times New Roman" w:eastAsia="Times New Roman" w:hAnsi="Times New Roman" w:cs="Times New Roman"/>
          <w:color w:val="303030"/>
        </w:rPr>
        <w:t xml:space="preserve">algorithms. Consequently, this study applies Min-Max normalization to transform all raw prices and technical indicators into a standardized range. </w:t>
      </w:r>
    </w:p>
    <w:p w14:paraId="4D61A86E" w14:textId="21AAEE06" w:rsidR="0A7E58F2" w:rsidRDefault="074E4A77"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The Min-Max scaling formula utilized is expressed as:</w:t>
      </w:r>
    </w:p>
    <w:p w14:paraId="242C8F65" w14:textId="6A2928BB" w:rsidR="0A7E58F2" w:rsidRDefault="000113DD" w:rsidP="00B61C71">
      <w:pPr>
        <w:spacing w:after="240" w:line="480" w:lineRule="auto"/>
        <w:jc w:val="both"/>
        <w:rPr>
          <w:rFonts w:ascii="Times New Roman" w:eastAsia="Times New Roman" w:hAnsi="Times New Roman" w:cs="Times New Roman"/>
          <w:color w:val="303030"/>
        </w:rPr>
      </w:pPr>
      <m:oMathPara>
        <m:oMath>
          <m:sSub>
            <m:sSubPr>
              <m:ctrlPr>
                <w:rPr>
                  <w:rFonts w:ascii="Cambria Math" w:hAnsi="Cambria Math"/>
                </w:rPr>
              </m:ctrlPr>
            </m:sSubPr>
            <m:e>
              <m:r>
                <w:rPr>
                  <w:rFonts w:ascii="Cambria Math" w:hAnsi="Cambria Math"/>
                </w:rPr>
                <m:t>x</m:t>
              </m:r>
            </m:e>
            <m:sub>
              <m:r>
                <w:rPr>
                  <w:rFonts w:ascii="Cambria Math" w:hAnsi="Cambria Math"/>
                </w:rPr>
                <m:t>scaled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m:oMathPara>
    </w:p>
    <w:p w14:paraId="04DD0FC6" w14:textId="0D594913" w:rsidR="0A7E58F2" w:rsidRDefault="074E4A77" w:rsidP="00B61C71">
      <w:pPr>
        <w:spacing w:after="240" w:line="480" w:lineRule="auto"/>
        <w:jc w:val="both"/>
        <w:rPr>
          <w:rFonts w:ascii="Times New Roman" w:eastAsia="Times New Roman" w:hAnsi="Times New Roman" w:cs="Times New Roman"/>
          <w:color w:val="303030"/>
        </w:rPr>
      </w:pPr>
      <w:proofErr w:type="gramStart"/>
      <w:r w:rsidRPr="47575B0A">
        <w:rPr>
          <w:rFonts w:ascii="Times New Roman" w:eastAsia="Times New Roman" w:hAnsi="Times New Roman" w:cs="Times New Roman"/>
          <w:color w:val="303030"/>
        </w:rPr>
        <w:t>where</w:t>
      </w:r>
      <w:proofErr w:type="gramEnd"/>
      <w:r w:rsidRPr="47575B0A">
        <w:rPr>
          <w:rFonts w:ascii="Times New Roman" w:eastAsia="Times New Roman" w:hAnsi="Times New Roman" w:cs="Times New Roman"/>
          <w:color w:val="303030"/>
        </w:rPr>
        <w:t xml:space="preserve"> </w:t>
      </w:r>
      <m:oMath>
        <m:sSub>
          <m:sSubPr>
            <m:ctrlPr>
              <w:rPr>
                <w:rFonts w:ascii="Cambria Math" w:hAnsi="Cambria Math"/>
              </w:rPr>
            </m:ctrlPr>
          </m:sSubPr>
          <m:e>
            <m:r>
              <w:rPr>
                <w:rFonts w:ascii="Cambria Math" w:hAnsi="Cambria Math"/>
              </w:rPr>
              <m:t>x</m:t>
            </m:r>
          </m:e>
          <m:sub>
            <m:r>
              <w:rPr>
                <w:rFonts w:ascii="Cambria Math" w:hAnsi="Cambria Math"/>
              </w:rPr>
              <m:t>scaled</m:t>
            </m:r>
          </m:sub>
        </m:sSub>
      </m:oMath>
      <w:r w:rsidRPr="47575B0A">
        <w:rPr>
          <w:rFonts w:ascii="Times New Roman" w:eastAsia="Times New Roman" w:hAnsi="Times New Roman" w:cs="Times New Roman"/>
          <w:color w:val="303030"/>
        </w:rPr>
        <w:t xml:space="preserve">  represents the normalized value of the input feature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47575B0A">
        <w:rPr>
          <w:rFonts w:ascii="Times New Roman" w:eastAsia="Times New Roman" w:hAnsi="Times New Roman" w:cs="Times New Roman"/>
          <w:color w:val="303030"/>
        </w:rPr>
        <w:t>, and min(</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and max(</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represent the minimum and maximum values of that specific feature over the defined period, respectively</w:t>
      </w:r>
      <w:r w:rsidR="2431ADCF" w:rsidRPr="47575B0A">
        <w:rPr>
          <w:rFonts w:ascii="Times New Roman" w:eastAsia="Times New Roman" w:hAnsi="Times New Roman" w:cs="Times New Roman"/>
          <w:color w:val="303030"/>
        </w:rPr>
        <w:t>.</w:t>
      </w:r>
    </w:p>
    <w:p w14:paraId="72160DA3" w14:textId="722AB580"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3.6 Software and Implementation Tools</w:t>
      </w:r>
    </w:p>
    <w:p w14:paraId="76E38E06" w14:textId="0A9C7088"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color w:val="303030"/>
        </w:rPr>
        <w:t xml:space="preserve">To ensure the complete reproducibility and accuracy of the empirical pipeline - from data preprocessing and </w:t>
      </w:r>
      <w:proofErr w:type="spellStart"/>
      <w:r w:rsidRPr="47575B0A">
        <w:rPr>
          <w:rFonts w:ascii="Times New Roman" w:eastAsia="Times New Roman" w:hAnsi="Times New Roman" w:cs="Times New Roman"/>
          <w:color w:val="303030"/>
        </w:rPr>
        <w:t>hyperparameter</w:t>
      </w:r>
      <w:proofErr w:type="spellEnd"/>
      <w:r w:rsidRPr="47575B0A">
        <w:rPr>
          <w:rFonts w:ascii="Times New Roman" w:eastAsia="Times New Roman" w:hAnsi="Times New Roman" w:cs="Times New Roman"/>
          <w:color w:val="303030"/>
        </w:rPr>
        <w:t xml:space="preserve"> tuning to the machine learning predictions and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47575B0A">
        <w:rPr>
          <w:rFonts w:ascii="Times New Roman" w:eastAsia="Times New Roman" w:hAnsi="Times New Roman" w:cs="Times New Roman"/>
          <w:i/>
          <w:iCs/>
          <w:color w:val="303030"/>
        </w:rPr>
        <w:t>pandas</w:t>
      </w:r>
      <w:r w:rsidRPr="47575B0A">
        <w:rPr>
          <w:rFonts w:ascii="Times New Roman" w:eastAsia="Times New Roman" w:hAnsi="Times New Roman" w:cs="Times New Roman"/>
          <w:color w:val="303030"/>
        </w:rPr>
        <w:t xml:space="preserve"> and </w:t>
      </w:r>
      <w:proofErr w:type="spellStart"/>
      <w:r w:rsidRPr="47575B0A">
        <w:rPr>
          <w:rFonts w:ascii="Times New Roman" w:eastAsia="Times New Roman" w:hAnsi="Times New Roman" w:cs="Times New Roman"/>
          <w:i/>
          <w:iCs/>
          <w:color w:val="303030"/>
        </w:rPr>
        <w:t>NumPy</w:t>
      </w:r>
      <w:proofErr w:type="spellEnd"/>
      <w:r w:rsidRPr="47575B0A">
        <w:rPr>
          <w:rFonts w:ascii="Times New Roman" w:eastAsia="Times New Roman" w:hAnsi="Times New Roman" w:cs="Times New Roman"/>
          <w:color w:val="303030"/>
        </w:rPr>
        <w:t xml:space="preserve"> libraries, while model training, cross-validation, and evaluation rely on the </w:t>
      </w:r>
      <w:proofErr w:type="spellStart"/>
      <w:r w:rsidRPr="47575B0A">
        <w:rPr>
          <w:rFonts w:ascii="Times New Roman" w:eastAsia="Times New Roman" w:hAnsi="Times New Roman" w:cs="Times New Roman"/>
          <w:i/>
          <w:iCs/>
          <w:color w:val="303030"/>
        </w:rPr>
        <w:t>scikit</w:t>
      </w:r>
      <w:proofErr w:type="spellEnd"/>
      <w:r w:rsidRPr="47575B0A">
        <w:rPr>
          <w:rFonts w:ascii="Times New Roman" w:eastAsia="Times New Roman" w:hAnsi="Times New Roman" w:cs="Times New Roman"/>
          <w:i/>
          <w:iCs/>
          <w:color w:val="303030"/>
        </w:rPr>
        <w:t>-learn</w:t>
      </w:r>
      <w:r w:rsidRPr="47575B0A">
        <w:rPr>
          <w:rFonts w:ascii="Times New Roman" w:eastAsia="Times New Roman" w:hAnsi="Times New Roman" w:cs="Times New Roman"/>
          <w:color w:val="303030"/>
        </w:rPr>
        <w:t xml:space="preserve"> machine learning library</w:t>
      </w:r>
      <w:r w:rsidR="768B51D0" w:rsidRPr="47575B0A">
        <w:rPr>
          <w:rFonts w:ascii="Times New Roman" w:eastAsia="Times New Roman" w:hAnsi="Times New Roman" w:cs="Times New Roman"/>
          <w:color w:val="303030"/>
        </w:rPr>
        <w:t xml:space="preserve"> Furthermore, the gradient boosting framework is implemented utilizing the highly scalable </w:t>
      </w:r>
      <w:proofErr w:type="spellStart"/>
      <w:r w:rsidR="768B51D0" w:rsidRPr="47575B0A">
        <w:rPr>
          <w:rFonts w:ascii="Times New Roman" w:eastAsia="Times New Roman" w:hAnsi="Times New Roman" w:cs="Times New Roman"/>
          <w:i/>
          <w:iCs/>
          <w:color w:val="303030"/>
        </w:rPr>
        <w:t>XGBoost</w:t>
      </w:r>
      <w:proofErr w:type="spellEnd"/>
      <w:r w:rsidR="768B51D0" w:rsidRPr="47575B0A">
        <w:rPr>
          <w:rFonts w:ascii="Times New Roman" w:eastAsia="Times New Roman" w:hAnsi="Times New Roman" w:cs="Times New Roman"/>
          <w:color w:val="303030"/>
        </w:rPr>
        <w:t xml:space="preserve"> library. This unified computational pipeline guarantees that the complex asset allocation strategy can be </w:t>
      </w:r>
      <w:r w:rsidR="3D0C0481" w:rsidRPr="47575B0A">
        <w:rPr>
          <w:rFonts w:ascii="Times New Roman" w:eastAsia="Times New Roman" w:hAnsi="Times New Roman" w:cs="Times New Roman"/>
          <w:color w:val="303030"/>
        </w:rPr>
        <w:t>robust</w:t>
      </w:r>
      <w:r w:rsidR="768B51D0" w:rsidRPr="47575B0A">
        <w:rPr>
          <w:rFonts w:ascii="Times New Roman" w:eastAsia="Times New Roman" w:hAnsi="Times New Roman" w:cs="Times New Roman"/>
          <w:color w:val="303030"/>
        </w:rPr>
        <w:t xml:space="preserve"> and consistently replicated.</w:t>
      </w:r>
    </w:p>
    <w:p w14:paraId="25E9A998" w14:textId="5A39990B" w:rsidR="0A7E58F2" w:rsidRDefault="5C97B2F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w:t>
      </w:r>
      <w:r w:rsidR="41CFB67C" w:rsidRPr="47575B0A">
        <w:rPr>
          <w:rFonts w:ascii="Times New Roman" w:eastAsia="Times New Roman" w:hAnsi="Times New Roman" w:cs="Times New Roman"/>
          <w:b/>
          <w:bCs/>
        </w:rPr>
        <w:t>7</w:t>
      </w:r>
      <w:r w:rsidRPr="47575B0A">
        <w:rPr>
          <w:rFonts w:ascii="Times New Roman" w:eastAsia="Times New Roman" w:hAnsi="Times New Roman" w:cs="Times New Roman"/>
          <w:b/>
          <w:bCs/>
        </w:rPr>
        <w:t xml:space="preserve"> Sources of Data</w:t>
      </w:r>
    </w:p>
    <w:p w14:paraId="2417B734" w14:textId="60027539"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 xml:space="preserve">The study is completely based on secondary data, </w:t>
      </w:r>
      <w:r w:rsidR="7C992EDB" w:rsidRPr="47575B0A">
        <w:rPr>
          <w:rFonts w:ascii="Times New Roman" w:eastAsia="Times New Roman" w:hAnsi="Times New Roman" w:cs="Times New Roman"/>
        </w:rPr>
        <w:t>201</w:t>
      </w:r>
      <w:r w:rsidR="1FA36F4C" w:rsidRPr="47575B0A">
        <w:rPr>
          <w:rFonts w:ascii="Times New Roman" w:eastAsia="Times New Roman" w:hAnsi="Times New Roman" w:cs="Times New Roman"/>
        </w:rPr>
        <w:t>0</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2025. Secondary data are appropriate for this study since the study entails stock trading data which are regularly published by reputable organizations.</w:t>
      </w:r>
    </w:p>
    <w:p w14:paraId="489AA9E2" w14:textId="1A044C15"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data on the stock trading history of the individual companies under the NGX Pension </w:t>
      </w:r>
      <w:r w:rsidR="7840AF03" w:rsidRPr="47575B0A">
        <w:rPr>
          <w:rFonts w:ascii="Times New Roman" w:eastAsia="Times New Roman" w:hAnsi="Times New Roman" w:cs="Times New Roman"/>
        </w:rPr>
        <w:t>Index will be sourced primarily from Investing.com</w:t>
      </w:r>
      <w:r w:rsidR="36825B7F" w:rsidRPr="47575B0A">
        <w:rPr>
          <w:rFonts w:ascii="Times New Roman" w:eastAsia="Times New Roman" w:hAnsi="Times New Roman" w:cs="Times New Roman"/>
        </w:rPr>
        <w:t xml:space="preserve">. </w:t>
      </w:r>
      <w:r w:rsidR="75B70766" w:rsidRPr="47575B0A">
        <w:rPr>
          <w:rFonts w:ascii="Times New Roman" w:eastAsia="Times New Roman" w:hAnsi="Times New Roman" w:cs="Times New Roman"/>
          <w:color w:val="303030"/>
        </w:rPr>
        <w:t xml:space="preserve">The primary dataset consists of the historical daily closing prices, high/low prices, and trading volumes for the selected assets, which were programmatically downloaded from financial database </w:t>
      </w:r>
      <w:proofErr w:type="gramStart"/>
      <w:r w:rsidR="75B70766" w:rsidRPr="47575B0A">
        <w:rPr>
          <w:rFonts w:ascii="Times New Roman" w:eastAsia="Times New Roman" w:hAnsi="Times New Roman" w:cs="Times New Roman"/>
          <w:color w:val="303030"/>
        </w:rPr>
        <w:t>Investing.com</w:t>
      </w:r>
      <w:r w:rsidR="75B70766" w:rsidRPr="47575B0A">
        <w:rPr>
          <w:rFonts w:ascii="Times New Roman" w:eastAsia="Times New Roman" w:hAnsi="Times New Roman" w:cs="Times New Roman"/>
        </w:rPr>
        <w:t xml:space="preserve"> .</w:t>
      </w:r>
      <w:proofErr w:type="gramEnd"/>
      <w:r w:rsidR="75B70766" w:rsidRPr="47575B0A">
        <w:rPr>
          <w:rFonts w:ascii="Times New Roman" w:eastAsia="Times New Roman" w:hAnsi="Times New Roman" w:cs="Times New Roman"/>
        </w:rPr>
        <w:t xml:space="preserve"> </w:t>
      </w:r>
      <w:r w:rsidR="36825B7F" w:rsidRPr="47575B0A">
        <w:rPr>
          <w:rFonts w:ascii="Times New Roman" w:eastAsia="Times New Roman" w:hAnsi="Times New Roman" w:cs="Times New Roman"/>
        </w:rPr>
        <w:t xml:space="preserve">The study thus ensures the data employed are valid, accurate and in accordance with literature </w:t>
      </w:r>
      <w:r w:rsidR="000E4814" w:rsidRPr="47575B0A">
        <w:rPr>
          <w:rFonts w:ascii="Times New Roman" w:eastAsia="Times New Roman" w:hAnsi="Times New Roman" w:cs="Times New Roman"/>
        </w:rPr>
        <w:t xml:space="preserve">regarding individual publicly traded companies in the NGX </w:t>
      </w:r>
    </w:p>
    <w:p>
      <w:r>
        <w:br w:type="page"/>
      </w:r>
    </w:p>
    <w:p>
      <w:pPr>
        <w:spacing w:line="480" w:lineRule="auto" w:before="0" w:after="0"/>
        <w:jc w:val="left"/>
      </w:pPr>
      <w:r>
        <w:rPr>
          <w:rFonts w:ascii="Times New Roman" w:hAnsi="Times New Roman"/>
          <w:b/>
          <w:color w:val="000000"/>
          <w:sz w:val="28"/>
        </w:rPr>
        <w:t>CHAPTER FOUR</w:t>
      </w:r>
    </w:p>
    <w:p>
      <w:pPr>
        <w:spacing w:line="480" w:lineRule="auto" w:before="0" w:after="0"/>
        <w:jc w:val="left"/>
      </w:pPr>
      <w:r>
        <w:rPr>
          <w:rFonts w:ascii="Times New Roman" w:hAnsi="Times New Roman"/>
          <w:b/>
          <w:color w:val="000000"/>
          <w:sz w:val="24"/>
        </w:rPr>
        <w:t>DATA ANALYSIS, PRESENTATION AND DISCUSSION OF FINDINGS</w:t>
      </w:r>
    </w:p>
    <w:p>
      <w:pPr>
        <w:spacing w:line="480" w:lineRule="auto" w:before="0" w:after="0"/>
        <w:jc w:val="left"/>
      </w:pPr>
      <w:r>
        <w:rPr>
          <w:rFonts w:ascii="Times New Roman" w:hAnsi="Times New Roman"/>
          <w:b/>
          <w:color w:val="000000"/>
          <w:sz w:val="24"/>
        </w:rPr>
        <w:t>4.1 Empirical Results</w:t>
      </w:r>
    </w:p>
    <w:p>
      <w:pPr>
        <w:spacing w:line="480" w:lineRule="auto" w:before="0" w:after="0"/>
        <w:jc w:val="both"/>
      </w:pPr>
      <w:r>
        <w:rPr>
          <w:rFonts w:ascii="Times New Roman" w:hAnsi="Times New Roman"/>
          <w:color w:val="000000"/>
          <w:sz w:val="24"/>
        </w:rPr>
        <w:t>This chapter presents the empirical findings of the study on equity return forecasting and tail-risk-aware portfolio optimization on the Nigerian Exchange Group (NGX). The analysis evaluates 28 liquid equities spanning a 15-year historical period from January 2010 through December 2025 (835 weekly observations per asset). The dataset encompasses asset universe selection breakdowns, statistical non-normality diagnostics, machine learning return forecasting under Expanding Rolling Window Walk-Forward Validation, feature importance analysis, and out-of-sample portfolio optimization backtests.</w:t>
      </w:r>
    </w:p>
    <w:p>
      <w:pPr>
        <w:spacing w:line="480" w:lineRule="auto" w:before="0" w:after="0"/>
        <w:jc w:val="left"/>
      </w:pPr>
      <w:r>
        <w:rPr>
          <w:rFonts w:ascii="Times New Roman" w:hAnsi="Times New Roman"/>
          <w:b/>
          <w:color w:val="000000"/>
          <w:sz w:val="24"/>
        </w:rPr>
        <w:t>4.1.1 Asset Universe Breakdown and Selection Rationale</w:t>
      </w:r>
    </w:p>
    <w:p>
      <w:pPr>
        <w:spacing w:line="480" w:lineRule="auto" w:before="0" w:after="0"/>
        <w:jc w:val="both"/>
      </w:pPr>
      <w:r>
        <w:rPr>
          <w:rFonts w:ascii="Times New Roman" w:hAnsi="Times New Roman"/>
          <w:color w:val="000000"/>
          <w:sz w:val="24"/>
        </w:rPr>
        <w:t>To establish a robust quantitative asset allocation model free from temporal distortion and survivorship bias, the constituent equities of the NGX Pension Index were evaluated for sample inclusion. A total of 38 equities were audited. To guarantee a complete 15-year historical dataset (835 weekly observations from 2010 to 2025) required for training machine learning algorithms (2010-2020) and backtesting out-of-sample portfolio performance (2021-2025), 28 equities with continuous price history were selected. Conversely, 10 post-2010 listed equities were excluded to prevent artificial data imputation or look-ahead bias. Table 4.0 provides the comprehensive universe breakdown.</w:t>
      </w:r>
    </w:p>
    <w:p>
      <w:pPr>
        <w:spacing w:line="480" w:lineRule="auto" w:before="0" w:after="0"/>
        <w:jc w:val="left"/>
      </w:pPr>
      <w:r>
        <w:rPr>
          <w:rFonts w:ascii="Times New Roman" w:hAnsi="Times New Roman"/>
          <w:b/>
          <w:color w:val="000000"/>
          <w:sz w:val="24"/>
        </w:rPr>
        <w:t>Table 4.0: NGX Pension Index Asset Universe Breakdown &amp; Exclusion Rationale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F2F2F2"/>
          </w:tcPr>
          <w:p>
            <w:pPr>
              <w:spacing w:line="276" w:lineRule="auto" w:before="40" w:after="40"/>
              <w:jc w:val="center"/>
            </w:pPr>
            <w:r>
              <w:rPr>
                <w:rFonts w:ascii="Times New Roman" w:hAnsi="Times New Roman"/>
                <w:b/>
                <w:color w:val="000000"/>
                <w:sz w:val="19"/>
              </w:rPr>
              <w:t>Ticker</w:t>
            </w:r>
          </w:p>
        </w:tc>
        <w:tc>
          <w:tcPr>
            <w:tcW w:type="dxa" w:w="1872"/>
            <w:shd w:val="clear" w:color="auto" w:fill="F2F2F2"/>
          </w:tcPr>
          <w:p>
            <w:pPr>
              <w:spacing w:line="276" w:lineRule="auto" w:before="40" w:after="40"/>
              <w:jc w:val="center"/>
            </w:pPr>
            <w:r>
              <w:rPr>
                <w:rFonts w:ascii="Times New Roman" w:hAnsi="Times New Roman"/>
                <w:b/>
                <w:color w:val="000000"/>
                <w:sz w:val="19"/>
              </w:rPr>
              <w:t>Company Name</w:t>
            </w:r>
          </w:p>
        </w:tc>
        <w:tc>
          <w:tcPr>
            <w:tcW w:type="dxa" w:w="1872"/>
            <w:shd w:val="clear" w:color="auto" w:fill="F2F2F2"/>
          </w:tcPr>
          <w:p>
            <w:pPr>
              <w:spacing w:line="276" w:lineRule="auto" w:before="40" w:after="40"/>
              <w:jc w:val="center"/>
            </w:pPr>
            <w:r>
              <w:rPr>
                <w:rFonts w:ascii="Times New Roman" w:hAnsi="Times New Roman"/>
                <w:b/>
                <w:color w:val="000000"/>
                <w:sz w:val="19"/>
              </w:rPr>
              <w:t>Sector</w:t>
            </w:r>
          </w:p>
        </w:tc>
        <w:tc>
          <w:tcPr>
            <w:tcW w:type="dxa" w:w="1872"/>
            <w:shd w:val="clear" w:color="auto" w:fill="F2F2F2"/>
          </w:tcPr>
          <w:p>
            <w:pPr>
              <w:spacing w:line="276" w:lineRule="auto" w:before="40" w:after="40"/>
              <w:jc w:val="center"/>
            </w:pPr>
            <w:r>
              <w:rPr>
                <w:rFonts w:ascii="Times New Roman" w:hAnsi="Times New Roman"/>
                <w:b/>
                <w:color w:val="000000"/>
                <w:sz w:val="19"/>
              </w:rPr>
              <w:t>Status</w:t>
            </w:r>
          </w:p>
        </w:tc>
        <w:tc>
          <w:tcPr>
            <w:tcW w:type="dxa" w:w="1872"/>
            <w:shd w:val="clear" w:color="auto" w:fill="F2F2F2"/>
          </w:tcPr>
          <w:p>
            <w:pPr>
              <w:spacing w:line="276" w:lineRule="auto" w:before="40" w:after="40"/>
              <w:jc w:val="center"/>
            </w:pPr>
            <w:r>
              <w:rPr>
                <w:rFonts w:ascii="Times New Roman" w:hAnsi="Times New Roman"/>
                <w:b/>
                <w:color w:val="000000"/>
                <w:sz w:val="19"/>
              </w:rPr>
              <w:t>Inclusion / Exclusion Rationale</w:t>
            </w:r>
          </w:p>
        </w:tc>
      </w:tr>
      <w:tr>
        <w:tc>
          <w:tcPr>
            <w:tcW w:type="dxa" w:w="1872"/>
          </w:tcPr>
          <w:p>
            <w:pPr>
              <w:spacing w:line="276" w:lineRule="auto" w:before="40" w:after="40"/>
              <w:jc w:val="center"/>
            </w:pPr>
            <w:r>
              <w:rPr>
                <w:rFonts w:ascii="Times New Roman" w:hAnsi="Times New Roman"/>
                <w:color w:val="000000"/>
                <w:sz w:val="18"/>
              </w:rPr>
              <w:t>CONOIL</w:t>
            </w:r>
          </w:p>
        </w:tc>
        <w:tc>
          <w:tcPr>
            <w:tcW w:type="dxa" w:w="1872"/>
          </w:tcPr>
          <w:p>
            <w:pPr>
              <w:spacing w:line="276" w:lineRule="auto" w:before="40" w:after="40"/>
              <w:jc w:val="center"/>
            </w:pPr>
            <w:r>
              <w:rPr>
                <w:rFonts w:ascii="Times New Roman" w:hAnsi="Times New Roman"/>
                <w:color w:val="000000"/>
                <w:sz w:val="18"/>
              </w:rPr>
              <w:t>Conoil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CUSTODIAN</w:t>
            </w:r>
          </w:p>
        </w:tc>
        <w:tc>
          <w:tcPr>
            <w:tcW w:type="dxa" w:w="1872"/>
          </w:tcPr>
          <w:p>
            <w:pPr>
              <w:spacing w:line="276" w:lineRule="auto" w:before="40" w:after="40"/>
              <w:jc w:val="center"/>
            </w:pPr>
            <w:r>
              <w:rPr>
                <w:rFonts w:ascii="Times New Roman" w:hAnsi="Times New Roman"/>
                <w:color w:val="000000"/>
                <w:sz w:val="18"/>
              </w:rPr>
              <w:t>Custodian Investment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DANGCEM</w:t>
            </w:r>
          </w:p>
        </w:tc>
        <w:tc>
          <w:tcPr>
            <w:tcW w:type="dxa" w:w="1872"/>
          </w:tcPr>
          <w:p>
            <w:pPr>
              <w:spacing w:line="276" w:lineRule="auto" w:before="40" w:after="40"/>
              <w:jc w:val="center"/>
            </w:pPr>
            <w:r>
              <w:rPr>
                <w:rFonts w:ascii="Times New Roman" w:hAnsi="Times New Roman"/>
                <w:color w:val="000000"/>
                <w:sz w:val="18"/>
              </w:rPr>
              <w:t>Dangote Cement Plc</w:t>
            </w:r>
          </w:p>
        </w:tc>
        <w:tc>
          <w:tcPr>
            <w:tcW w:type="dxa" w:w="1872"/>
          </w:tcPr>
          <w:p>
            <w:pPr>
              <w:spacing w:line="276" w:lineRule="auto" w:before="40" w:after="40"/>
              <w:jc w:val="center"/>
            </w:pPr>
            <w:r>
              <w:rPr>
                <w:rFonts w:ascii="Times New Roman" w:hAnsi="Times New Roman"/>
                <w:color w:val="000000"/>
                <w:sz w:val="18"/>
              </w:rPr>
              <w:t>Industrial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DANGSUGAR</w:t>
            </w:r>
          </w:p>
        </w:tc>
        <w:tc>
          <w:tcPr>
            <w:tcW w:type="dxa" w:w="1872"/>
          </w:tcPr>
          <w:p>
            <w:pPr>
              <w:spacing w:line="276" w:lineRule="auto" w:before="40" w:after="40"/>
              <w:jc w:val="center"/>
            </w:pPr>
            <w:r>
              <w:rPr>
                <w:rFonts w:ascii="Times New Roman" w:hAnsi="Times New Roman"/>
                <w:color w:val="000000"/>
                <w:sz w:val="18"/>
              </w:rPr>
              <w:t>Dangote Sugar Refinery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ETI</w:t>
            </w:r>
          </w:p>
        </w:tc>
        <w:tc>
          <w:tcPr>
            <w:tcW w:type="dxa" w:w="1872"/>
          </w:tcPr>
          <w:p>
            <w:pPr>
              <w:spacing w:line="276" w:lineRule="auto" w:before="40" w:after="40"/>
              <w:jc w:val="center"/>
            </w:pPr>
            <w:r>
              <w:rPr>
                <w:rFonts w:ascii="Times New Roman" w:hAnsi="Times New Roman"/>
                <w:color w:val="000000"/>
                <w:sz w:val="18"/>
              </w:rPr>
              <w:t>Ecobank Transnational Inc.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FCMB</w:t>
            </w:r>
          </w:p>
        </w:tc>
        <w:tc>
          <w:tcPr>
            <w:tcW w:type="dxa" w:w="1872"/>
          </w:tcPr>
          <w:p>
            <w:pPr>
              <w:spacing w:line="276" w:lineRule="auto" w:before="40" w:after="40"/>
              <w:jc w:val="center"/>
            </w:pPr>
            <w:r>
              <w:rPr>
                <w:rFonts w:ascii="Times New Roman" w:hAnsi="Times New Roman"/>
                <w:color w:val="000000"/>
                <w:sz w:val="18"/>
              </w:rPr>
              <w:t>FCMB Group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FIDELITYBK</w:t>
            </w:r>
          </w:p>
        </w:tc>
        <w:tc>
          <w:tcPr>
            <w:tcW w:type="dxa" w:w="1872"/>
          </w:tcPr>
          <w:p>
            <w:pPr>
              <w:spacing w:line="276" w:lineRule="auto" w:before="40" w:after="40"/>
              <w:jc w:val="center"/>
            </w:pPr>
            <w:r>
              <w:rPr>
                <w:rFonts w:ascii="Times New Roman" w:hAnsi="Times New Roman"/>
                <w:color w:val="000000"/>
                <w:sz w:val="18"/>
              </w:rPr>
              <w:t>Fidelity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FIDSON</w:t>
            </w:r>
          </w:p>
        </w:tc>
        <w:tc>
          <w:tcPr>
            <w:tcW w:type="dxa" w:w="1872"/>
          </w:tcPr>
          <w:p>
            <w:pPr>
              <w:spacing w:line="276" w:lineRule="auto" w:before="40" w:after="40"/>
              <w:jc w:val="center"/>
            </w:pPr>
            <w:r>
              <w:rPr>
                <w:rFonts w:ascii="Times New Roman" w:hAnsi="Times New Roman"/>
                <w:color w:val="000000"/>
                <w:sz w:val="18"/>
              </w:rPr>
              <w:t>Fidson Healthcare Plc</w:t>
            </w:r>
          </w:p>
        </w:tc>
        <w:tc>
          <w:tcPr>
            <w:tcW w:type="dxa" w:w="1872"/>
          </w:tcPr>
          <w:p>
            <w:pPr>
              <w:spacing w:line="276" w:lineRule="auto" w:before="40" w:after="40"/>
              <w:jc w:val="center"/>
            </w:pPr>
            <w:r>
              <w:rPr>
                <w:rFonts w:ascii="Times New Roman" w:hAnsi="Times New Roman"/>
                <w:color w:val="000000"/>
                <w:sz w:val="18"/>
              </w:rPr>
              <w:t>Healthcare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FBNH</w:t>
            </w:r>
          </w:p>
        </w:tc>
        <w:tc>
          <w:tcPr>
            <w:tcW w:type="dxa" w:w="1872"/>
          </w:tcPr>
          <w:p>
            <w:pPr>
              <w:spacing w:line="276" w:lineRule="auto" w:before="40" w:after="40"/>
              <w:jc w:val="center"/>
            </w:pPr>
            <w:r>
              <w:rPr>
                <w:rFonts w:ascii="Times New Roman" w:hAnsi="Times New Roman"/>
                <w:color w:val="000000"/>
                <w:sz w:val="18"/>
              </w:rPr>
              <w:t>First HoldCo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GTCO</w:t>
            </w:r>
          </w:p>
        </w:tc>
        <w:tc>
          <w:tcPr>
            <w:tcW w:type="dxa" w:w="1872"/>
          </w:tcPr>
          <w:p>
            <w:pPr>
              <w:spacing w:line="276" w:lineRule="auto" w:before="40" w:after="40"/>
              <w:jc w:val="center"/>
            </w:pPr>
            <w:r>
              <w:rPr>
                <w:rFonts w:ascii="Times New Roman" w:hAnsi="Times New Roman"/>
                <w:color w:val="000000"/>
                <w:sz w:val="18"/>
              </w:rPr>
              <w:t>Guaranty Trust Holding Co</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GUINNESS</w:t>
            </w:r>
          </w:p>
        </w:tc>
        <w:tc>
          <w:tcPr>
            <w:tcW w:type="dxa" w:w="1872"/>
          </w:tcPr>
          <w:p>
            <w:pPr>
              <w:spacing w:line="276" w:lineRule="auto" w:before="40" w:after="40"/>
              <w:jc w:val="center"/>
            </w:pPr>
            <w:r>
              <w:rPr>
                <w:rFonts w:ascii="Times New Roman" w:hAnsi="Times New Roman"/>
                <w:color w:val="000000"/>
                <w:sz w:val="18"/>
              </w:rPr>
              <w:t>Guinness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JBERGER</w:t>
            </w:r>
          </w:p>
        </w:tc>
        <w:tc>
          <w:tcPr>
            <w:tcW w:type="dxa" w:w="1872"/>
          </w:tcPr>
          <w:p>
            <w:pPr>
              <w:spacing w:line="276" w:lineRule="auto" w:before="40" w:after="40"/>
              <w:jc w:val="center"/>
            </w:pPr>
            <w:r>
              <w:rPr>
                <w:rFonts w:ascii="Times New Roman" w:hAnsi="Times New Roman"/>
                <w:color w:val="000000"/>
                <w:sz w:val="18"/>
              </w:rPr>
              <w:t>Julius Berger Nigeria Plc</w:t>
            </w:r>
          </w:p>
        </w:tc>
        <w:tc>
          <w:tcPr>
            <w:tcW w:type="dxa" w:w="1872"/>
          </w:tcPr>
          <w:p>
            <w:pPr>
              <w:spacing w:line="276" w:lineRule="auto" w:before="40" w:after="40"/>
              <w:jc w:val="center"/>
            </w:pPr>
            <w:r>
              <w:rPr>
                <w:rFonts w:ascii="Times New Roman" w:hAnsi="Times New Roman"/>
                <w:color w:val="000000"/>
                <w:sz w:val="18"/>
              </w:rPr>
              <w:t>Construction</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WAPCO</w:t>
            </w:r>
          </w:p>
        </w:tc>
        <w:tc>
          <w:tcPr>
            <w:tcW w:type="dxa" w:w="1872"/>
          </w:tcPr>
          <w:p>
            <w:pPr>
              <w:spacing w:line="276" w:lineRule="auto" w:before="40" w:after="40"/>
              <w:jc w:val="center"/>
            </w:pPr>
            <w:r>
              <w:rPr>
                <w:rFonts w:ascii="Times New Roman" w:hAnsi="Times New Roman"/>
                <w:color w:val="000000"/>
                <w:sz w:val="18"/>
              </w:rPr>
              <w:t>Lafarge Africa Plc</w:t>
            </w:r>
          </w:p>
        </w:tc>
        <w:tc>
          <w:tcPr>
            <w:tcW w:type="dxa" w:w="1872"/>
          </w:tcPr>
          <w:p>
            <w:pPr>
              <w:spacing w:line="276" w:lineRule="auto" w:before="40" w:after="40"/>
              <w:jc w:val="center"/>
            </w:pPr>
            <w:r>
              <w:rPr>
                <w:rFonts w:ascii="Times New Roman" w:hAnsi="Times New Roman"/>
                <w:color w:val="000000"/>
                <w:sz w:val="18"/>
              </w:rPr>
              <w:t>Industrial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MANSARD</w:t>
            </w:r>
          </w:p>
        </w:tc>
        <w:tc>
          <w:tcPr>
            <w:tcW w:type="dxa" w:w="1872"/>
          </w:tcPr>
          <w:p>
            <w:pPr>
              <w:spacing w:line="276" w:lineRule="auto" w:before="40" w:after="40"/>
              <w:jc w:val="center"/>
            </w:pPr>
            <w:r>
              <w:rPr>
                <w:rFonts w:ascii="Times New Roman" w:hAnsi="Times New Roman"/>
                <w:color w:val="000000"/>
                <w:sz w:val="18"/>
              </w:rPr>
              <w:t>AXA Mansard Insurance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NAHCO</w:t>
            </w:r>
          </w:p>
        </w:tc>
        <w:tc>
          <w:tcPr>
            <w:tcW w:type="dxa" w:w="1872"/>
          </w:tcPr>
          <w:p>
            <w:pPr>
              <w:spacing w:line="276" w:lineRule="auto" w:before="40" w:after="40"/>
              <w:jc w:val="center"/>
            </w:pPr>
            <w:r>
              <w:rPr>
                <w:rFonts w:ascii="Times New Roman" w:hAnsi="Times New Roman"/>
                <w:color w:val="000000"/>
                <w:sz w:val="18"/>
              </w:rPr>
              <w:t>Nigerian Aviation Handling</w:t>
            </w:r>
          </w:p>
        </w:tc>
        <w:tc>
          <w:tcPr>
            <w:tcW w:type="dxa" w:w="1872"/>
          </w:tcPr>
          <w:p>
            <w:pPr>
              <w:spacing w:line="276" w:lineRule="auto" w:before="40" w:after="40"/>
              <w:jc w:val="center"/>
            </w:pPr>
            <w:r>
              <w:rPr>
                <w:rFonts w:ascii="Times New Roman" w:hAnsi="Times New Roman"/>
                <w:color w:val="000000"/>
                <w:sz w:val="18"/>
              </w:rPr>
              <w:t>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NASCON</w:t>
            </w:r>
          </w:p>
        </w:tc>
        <w:tc>
          <w:tcPr>
            <w:tcW w:type="dxa" w:w="1872"/>
          </w:tcPr>
          <w:p>
            <w:pPr>
              <w:spacing w:line="276" w:lineRule="auto" w:before="40" w:after="40"/>
              <w:jc w:val="center"/>
            </w:pPr>
            <w:r>
              <w:rPr>
                <w:rFonts w:ascii="Times New Roman" w:hAnsi="Times New Roman"/>
                <w:color w:val="000000"/>
                <w:sz w:val="18"/>
              </w:rPr>
              <w:t>Nascon Allied Industries</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NESTLE</w:t>
            </w:r>
          </w:p>
        </w:tc>
        <w:tc>
          <w:tcPr>
            <w:tcW w:type="dxa" w:w="1872"/>
          </w:tcPr>
          <w:p>
            <w:pPr>
              <w:spacing w:line="276" w:lineRule="auto" w:before="40" w:after="40"/>
              <w:jc w:val="center"/>
            </w:pPr>
            <w:r>
              <w:rPr>
                <w:rFonts w:ascii="Times New Roman" w:hAnsi="Times New Roman"/>
                <w:color w:val="000000"/>
                <w:sz w:val="18"/>
              </w:rPr>
              <w:t>Nestle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NB</w:t>
            </w:r>
          </w:p>
        </w:tc>
        <w:tc>
          <w:tcPr>
            <w:tcW w:type="dxa" w:w="1872"/>
          </w:tcPr>
          <w:p>
            <w:pPr>
              <w:spacing w:line="276" w:lineRule="auto" w:before="40" w:after="40"/>
              <w:jc w:val="center"/>
            </w:pPr>
            <w:r>
              <w:rPr>
                <w:rFonts w:ascii="Times New Roman" w:hAnsi="Times New Roman"/>
                <w:color w:val="000000"/>
                <w:sz w:val="18"/>
              </w:rPr>
              <w:t>Nigerian Breweries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OKOMUOIL</w:t>
            </w:r>
          </w:p>
        </w:tc>
        <w:tc>
          <w:tcPr>
            <w:tcW w:type="dxa" w:w="1872"/>
          </w:tcPr>
          <w:p>
            <w:pPr>
              <w:spacing w:line="276" w:lineRule="auto" w:before="40" w:after="40"/>
              <w:jc w:val="center"/>
            </w:pPr>
            <w:r>
              <w:rPr>
                <w:rFonts w:ascii="Times New Roman" w:hAnsi="Times New Roman"/>
                <w:color w:val="000000"/>
                <w:sz w:val="18"/>
              </w:rPr>
              <w:t>Okomu Oil Palm Plc</w:t>
            </w:r>
          </w:p>
        </w:tc>
        <w:tc>
          <w:tcPr>
            <w:tcW w:type="dxa" w:w="1872"/>
          </w:tcPr>
          <w:p>
            <w:pPr>
              <w:spacing w:line="276" w:lineRule="auto" w:before="40" w:after="40"/>
              <w:jc w:val="center"/>
            </w:pPr>
            <w:r>
              <w:rPr>
                <w:rFonts w:ascii="Times New Roman" w:hAnsi="Times New Roman"/>
                <w:color w:val="000000"/>
                <w:sz w:val="18"/>
              </w:rPr>
              <w:t>Agriculture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PRESCO</w:t>
            </w:r>
          </w:p>
        </w:tc>
        <w:tc>
          <w:tcPr>
            <w:tcW w:type="dxa" w:w="1872"/>
          </w:tcPr>
          <w:p>
            <w:pPr>
              <w:spacing w:line="276" w:lineRule="auto" w:before="40" w:after="40"/>
              <w:jc w:val="center"/>
            </w:pPr>
            <w:r>
              <w:rPr>
                <w:rFonts w:ascii="Times New Roman" w:hAnsi="Times New Roman"/>
                <w:color w:val="000000"/>
                <w:sz w:val="18"/>
              </w:rPr>
              <w:t>Presco Plc</w:t>
            </w:r>
          </w:p>
        </w:tc>
        <w:tc>
          <w:tcPr>
            <w:tcW w:type="dxa" w:w="1872"/>
          </w:tcPr>
          <w:p>
            <w:pPr>
              <w:spacing w:line="276" w:lineRule="auto" w:before="40" w:after="40"/>
              <w:jc w:val="center"/>
            </w:pPr>
            <w:r>
              <w:rPr>
                <w:rFonts w:ascii="Times New Roman" w:hAnsi="Times New Roman"/>
                <w:color w:val="000000"/>
                <w:sz w:val="18"/>
              </w:rPr>
              <w:t>Agriculture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STANBIC</w:t>
            </w:r>
          </w:p>
        </w:tc>
        <w:tc>
          <w:tcPr>
            <w:tcW w:type="dxa" w:w="1872"/>
          </w:tcPr>
          <w:p>
            <w:pPr>
              <w:spacing w:line="276" w:lineRule="auto" w:before="40" w:after="40"/>
              <w:jc w:val="center"/>
            </w:pPr>
            <w:r>
              <w:rPr>
                <w:rFonts w:ascii="Times New Roman" w:hAnsi="Times New Roman"/>
                <w:color w:val="000000"/>
                <w:sz w:val="18"/>
              </w:rPr>
              <w:t>Stanbic IBTC Holdings</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STERLINGNG</w:t>
            </w:r>
          </w:p>
        </w:tc>
        <w:tc>
          <w:tcPr>
            <w:tcW w:type="dxa" w:w="1872"/>
          </w:tcPr>
          <w:p>
            <w:pPr>
              <w:spacing w:line="276" w:lineRule="auto" w:before="40" w:after="40"/>
              <w:jc w:val="center"/>
            </w:pPr>
            <w:r>
              <w:rPr>
                <w:rFonts w:ascii="Times New Roman" w:hAnsi="Times New Roman"/>
                <w:color w:val="000000"/>
                <w:sz w:val="18"/>
              </w:rPr>
              <w:t>Sterling Financial Holdings</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TRANSCORP</w:t>
            </w:r>
          </w:p>
        </w:tc>
        <w:tc>
          <w:tcPr>
            <w:tcW w:type="dxa" w:w="1872"/>
          </w:tcPr>
          <w:p>
            <w:pPr>
              <w:spacing w:line="276" w:lineRule="auto" w:before="40" w:after="40"/>
              <w:jc w:val="center"/>
            </w:pPr>
            <w:r>
              <w:rPr>
                <w:rFonts w:ascii="Times New Roman" w:hAnsi="Times New Roman"/>
                <w:color w:val="000000"/>
                <w:sz w:val="18"/>
              </w:rPr>
              <w:t>Transnational Corp Plc</w:t>
            </w:r>
          </w:p>
        </w:tc>
        <w:tc>
          <w:tcPr>
            <w:tcW w:type="dxa" w:w="1872"/>
          </w:tcPr>
          <w:p>
            <w:pPr>
              <w:spacing w:line="276" w:lineRule="auto" w:before="40" w:after="40"/>
              <w:jc w:val="center"/>
            </w:pPr>
            <w:r>
              <w:rPr>
                <w:rFonts w:ascii="Times New Roman" w:hAnsi="Times New Roman"/>
                <w:color w:val="000000"/>
                <w:sz w:val="18"/>
              </w:rPr>
              <w:t>Conglomerates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UACN</w:t>
            </w:r>
          </w:p>
        </w:tc>
        <w:tc>
          <w:tcPr>
            <w:tcW w:type="dxa" w:w="1872"/>
          </w:tcPr>
          <w:p>
            <w:pPr>
              <w:spacing w:line="276" w:lineRule="auto" w:before="40" w:after="40"/>
              <w:jc w:val="center"/>
            </w:pPr>
            <w:r>
              <w:rPr>
                <w:rFonts w:ascii="Times New Roman" w:hAnsi="Times New Roman"/>
                <w:color w:val="000000"/>
                <w:sz w:val="18"/>
              </w:rPr>
              <w:t>UAC of Nigeria Plc</w:t>
            </w:r>
          </w:p>
        </w:tc>
        <w:tc>
          <w:tcPr>
            <w:tcW w:type="dxa" w:w="1872"/>
          </w:tcPr>
          <w:p>
            <w:pPr>
              <w:spacing w:line="276" w:lineRule="auto" w:before="40" w:after="40"/>
              <w:jc w:val="center"/>
            </w:pPr>
            <w:r>
              <w:rPr>
                <w:rFonts w:ascii="Times New Roman" w:hAnsi="Times New Roman"/>
                <w:color w:val="000000"/>
                <w:sz w:val="18"/>
              </w:rPr>
              <w:t>Conglomerates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UBA</w:t>
            </w:r>
          </w:p>
        </w:tc>
        <w:tc>
          <w:tcPr>
            <w:tcW w:type="dxa" w:w="1872"/>
          </w:tcPr>
          <w:p>
            <w:pPr>
              <w:spacing w:line="276" w:lineRule="auto" w:before="40" w:after="40"/>
              <w:jc w:val="center"/>
            </w:pPr>
            <w:r>
              <w:rPr>
                <w:rFonts w:ascii="Times New Roman" w:hAnsi="Times New Roman"/>
                <w:color w:val="000000"/>
                <w:sz w:val="18"/>
              </w:rPr>
              <w:t>United Bank for Africa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UNILEVER</w:t>
            </w:r>
          </w:p>
        </w:tc>
        <w:tc>
          <w:tcPr>
            <w:tcW w:type="dxa" w:w="1872"/>
          </w:tcPr>
          <w:p>
            <w:pPr>
              <w:spacing w:line="276" w:lineRule="auto" w:before="40" w:after="40"/>
              <w:jc w:val="center"/>
            </w:pPr>
            <w:r>
              <w:rPr>
                <w:rFonts w:ascii="Times New Roman" w:hAnsi="Times New Roman"/>
                <w:color w:val="000000"/>
                <w:sz w:val="18"/>
              </w:rPr>
              <w:t>Unilever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WEMABANK</w:t>
            </w:r>
          </w:p>
        </w:tc>
        <w:tc>
          <w:tcPr>
            <w:tcW w:type="dxa" w:w="1872"/>
          </w:tcPr>
          <w:p>
            <w:pPr>
              <w:spacing w:line="276" w:lineRule="auto" w:before="40" w:after="40"/>
              <w:jc w:val="center"/>
            </w:pPr>
            <w:r>
              <w:rPr>
                <w:rFonts w:ascii="Times New Roman" w:hAnsi="Times New Roman"/>
                <w:color w:val="000000"/>
                <w:sz w:val="18"/>
              </w:rPr>
              <w:t>Wema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ZENITHBANK</w:t>
            </w:r>
          </w:p>
        </w:tc>
        <w:tc>
          <w:tcPr>
            <w:tcW w:type="dxa" w:w="1872"/>
          </w:tcPr>
          <w:p>
            <w:pPr>
              <w:spacing w:line="276" w:lineRule="auto" w:before="40" w:after="40"/>
              <w:jc w:val="center"/>
            </w:pPr>
            <w:r>
              <w:rPr>
                <w:rFonts w:ascii="Times New Roman" w:hAnsi="Times New Roman"/>
                <w:color w:val="000000"/>
                <w:sz w:val="18"/>
              </w:rPr>
              <w:t>Zenith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ACCESSCORP</w:t>
            </w:r>
          </w:p>
        </w:tc>
        <w:tc>
          <w:tcPr>
            <w:tcW w:type="dxa" w:w="1872"/>
          </w:tcPr>
          <w:p>
            <w:pPr>
              <w:spacing w:line="276" w:lineRule="auto" w:before="40" w:after="40"/>
              <w:jc w:val="center"/>
            </w:pPr>
            <w:r>
              <w:rPr>
                <w:rFonts w:ascii="Times New Roman" w:hAnsi="Times New Roman"/>
                <w:color w:val="000000"/>
                <w:sz w:val="18"/>
              </w:rPr>
              <w:t>Access Holdings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Post-2010 restructuring</w:t>
            </w:r>
          </w:p>
        </w:tc>
      </w:tr>
      <w:tr>
        <w:tc>
          <w:tcPr>
            <w:tcW w:type="dxa" w:w="1872"/>
          </w:tcPr>
          <w:p>
            <w:pPr>
              <w:spacing w:line="276" w:lineRule="auto" w:before="40" w:after="40"/>
              <w:jc w:val="center"/>
            </w:pPr>
            <w:r>
              <w:rPr>
                <w:rFonts w:ascii="Times New Roman" w:hAnsi="Times New Roman"/>
                <w:color w:val="000000"/>
                <w:sz w:val="18"/>
              </w:rPr>
              <w:t>AIRTELAFRI</w:t>
            </w:r>
          </w:p>
        </w:tc>
        <w:tc>
          <w:tcPr>
            <w:tcW w:type="dxa" w:w="1872"/>
          </w:tcPr>
          <w:p>
            <w:pPr>
              <w:spacing w:line="276" w:lineRule="auto" w:before="40" w:after="40"/>
              <w:jc w:val="center"/>
            </w:pPr>
            <w:r>
              <w:rPr>
                <w:rFonts w:ascii="Times New Roman" w:hAnsi="Times New Roman"/>
                <w:color w:val="000000"/>
                <w:sz w:val="18"/>
              </w:rPr>
              <w:t>Airtel Africa Plc</w:t>
            </w:r>
          </w:p>
        </w:tc>
        <w:tc>
          <w:tcPr>
            <w:tcW w:type="dxa" w:w="1872"/>
          </w:tcPr>
          <w:p>
            <w:pPr>
              <w:spacing w:line="276" w:lineRule="auto" w:before="40" w:after="40"/>
              <w:jc w:val="center"/>
            </w:pPr>
            <w:r>
              <w:rPr>
                <w:rFonts w:ascii="Times New Roman" w:hAnsi="Times New Roman"/>
                <w:color w:val="000000"/>
                <w:sz w:val="18"/>
              </w:rPr>
              <w:t>Telecoms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June 2019 (&lt; 15-yr history)</w:t>
            </w:r>
          </w:p>
        </w:tc>
      </w:tr>
      <w:tr>
        <w:tc>
          <w:tcPr>
            <w:tcW w:type="dxa" w:w="1872"/>
          </w:tcPr>
          <w:p>
            <w:pPr>
              <w:spacing w:line="276" w:lineRule="auto" w:before="40" w:after="40"/>
              <w:jc w:val="center"/>
            </w:pPr>
            <w:r>
              <w:rPr>
                <w:rFonts w:ascii="Times New Roman" w:hAnsi="Times New Roman"/>
                <w:color w:val="000000"/>
                <w:sz w:val="18"/>
              </w:rPr>
              <w:t>ARADEL</w:t>
            </w:r>
          </w:p>
        </w:tc>
        <w:tc>
          <w:tcPr>
            <w:tcW w:type="dxa" w:w="1872"/>
          </w:tcPr>
          <w:p>
            <w:pPr>
              <w:spacing w:line="276" w:lineRule="auto" w:before="40" w:after="40"/>
              <w:jc w:val="center"/>
            </w:pPr>
            <w:r>
              <w:rPr>
                <w:rFonts w:ascii="Times New Roman" w:hAnsi="Times New Roman"/>
                <w:color w:val="000000"/>
                <w:sz w:val="18"/>
              </w:rPr>
              <w:t>Aradel Holdings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October 2024 (&lt; 15-yr history)</w:t>
            </w:r>
          </w:p>
        </w:tc>
      </w:tr>
      <w:tr>
        <w:tc>
          <w:tcPr>
            <w:tcW w:type="dxa" w:w="1872"/>
          </w:tcPr>
          <w:p>
            <w:pPr>
              <w:spacing w:line="276" w:lineRule="auto" w:before="40" w:after="40"/>
              <w:jc w:val="center"/>
            </w:pPr>
            <w:r>
              <w:rPr>
                <w:rFonts w:ascii="Times New Roman" w:hAnsi="Times New Roman"/>
                <w:color w:val="000000"/>
                <w:sz w:val="18"/>
              </w:rPr>
              <w:t>BUAFOODS</w:t>
            </w:r>
          </w:p>
        </w:tc>
        <w:tc>
          <w:tcPr>
            <w:tcW w:type="dxa" w:w="1872"/>
          </w:tcPr>
          <w:p>
            <w:pPr>
              <w:spacing w:line="276" w:lineRule="auto" w:before="40" w:after="40"/>
              <w:jc w:val="center"/>
            </w:pPr>
            <w:r>
              <w:rPr>
                <w:rFonts w:ascii="Times New Roman" w:hAnsi="Times New Roman"/>
                <w:color w:val="000000"/>
                <w:sz w:val="18"/>
              </w:rPr>
              <w:t>BUA Foods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2022 (&lt; 15-yr history)</w:t>
            </w:r>
          </w:p>
        </w:tc>
      </w:tr>
      <w:tr>
        <w:tc>
          <w:tcPr>
            <w:tcW w:type="dxa" w:w="1872"/>
          </w:tcPr>
          <w:p>
            <w:pPr>
              <w:spacing w:line="276" w:lineRule="auto" w:before="40" w:after="40"/>
              <w:jc w:val="center"/>
            </w:pPr>
            <w:r>
              <w:rPr>
                <w:rFonts w:ascii="Times New Roman" w:hAnsi="Times New Roman"/>
                <w:color w:val="000000"/>
                <w:sz w:val="18"/>
              </w:rPr>
              <w:t>GEREGU</w:t>
            </w:r>
          </w:p>
        </w:tc>
        <w:tc>
          <w:tcPr>
            <w:tcW w:type="dxa" w:w="1872"/>
          </w:tcPr>
          <w:p>
            <w:pPr>
              <w:spacing w:line="276" w:lineRule="auto" w:before="40" w:after="40"/>
              <w:jc w:val="center"/>
            </w:pPr>
            <w:r>
              <w:rPr>
                <w:rFonts w:ascii="Times New Roman" w:hAnsi="Times New Roman"/>
                <w:color w:val="000000"/>
                <w:sz w:val="18"/>
              </w:rPr>
              <w:t>Geregu Power Plc</w:t>
            </w:r>
          </w:p>
        </w:tc>
        <w:tc>
          <w:tcPr>
            <w:tcW w:type="dxa" w:w="1872"/>
          </w:tcPr>
          <w:p>
            <w:pPr>
              <w:spacing w:line="276" w:lineRule="auto" w:before="40" w:after="40"/>
              <w:jc w:val="center"/>
            </w:pPr>
            <w:r>
              <w:rPr>
                <w:rFonts w:ascii="Times New Roman" w:hAnsi="Times New Roman"/>
                <w:color w:val="000000"/>
                <w:sz w:val="18"/>
              </w:rPr>
              <w:t>Utilities / Power</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October 2022 (&lt; 15-yr history)</w:t>
            </w:r>
          </w:p>
        </w:tc>
      </w:tr>
      <w:tr>
        <w:tc>
          <w:tcPr>
            <w:tcW w:type="dxa" w:w="1872"/>
          </w:tcPr>
          <w:p>
            <w:pPr>
              <w:spacing w:line="276" w:lineRule="auto" w:before="40" w:after="40"/>
              <w:jc w:val="center"/>
            </w:pPr>
            <w:r>
              <w:rPr>
                <w:rFonts w:ascii="Times New Roman" w:hAnsi="Times New Roman"/>
                <w:color w:val="000000"/>
                <w:sz w:val="18"/>
              </w:rPr>
              <w:t>MTNN</w:t>
            </w:r>
          </w:p>
        </w:tc>
        <w:tc>
          <w:tcPr>
            <w:tcW w:type="dxa" w:w="1872"/>
          </w:tcPr>
          <w:p>
            <w:pPr>
              <w:spacing w:line="276" w:lineRule="auto" w:before="40" w:after="40"/>
              <w:jc w:val="center"/>
            </w:pPr>
            <w:r>
              <w:rPr>
                <w:rFonts w:ascii="Times New Roman" w:hAnsi="Times New Roman"/>
                <w:color w:val="000000"/>
                <w:sz w:val="18"/>
              </w:rPr>
              <w:t>MTN Nigeria Comms Plc</w:t>
            </w:r>
          </w:p>
        </w:tc>
        <w:tc>
          <w:tcPr>
            <w:tcW w:type="dxa" w:w="1872"/>
          </w:tcPr>
          <w:p>
            <w:pPr>
              <w:spacing w:line="276" w:lineRule="auto" w:before="40" w:after="40"/>
              <w:jc w:val="center"/>
            </w:pPr>
            <w:r>
              <w:rPr>
                <w:rFonts w:ascii="Times New Roman" w:hAnsi="Times New Roman"/>
                <w:color w:val="000000"/>
                <w:sz w:val="18"/>
              </w:rPr>
              <w:t>Telecoms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May 2019 (&lt; 15-yr history)</w:t>
            </w:r>
          </w:p>
        </w:tc>
      </w:tr>
      <w:tr>
        <w:tc>
          <w:tcPr>
            <w:tcW w:type="dxa" w:w="1872"/>
          </w:tcPr>
          <w:p>
            <w:pPr>
              <w:spacing w:line="276" w:lineRule="auto" w:before="40" w:after="40"/>
              <w:jc w:val="center"/>
            </w:pPr>
            <w:r>
              <w:rPr>
                <w:rFonts w:ascii="Times New Roman" w:hAnsi="Times New Roman"/>
                <w:color w:val="000000"/>
                <w:sz w:val="18"/>
              </w:rPr>
              <w:t>SEPLAT</w:t>
            </w:r>
          </w:p>
        </w:tc>
        <w:tc>
          <w:tcPr>
            <w:tcW w:type="dxa" w:w="1872"/>
          </w:tcPr>
          <w:p>
            <w:pPr>
              <w:spacing w:line="276" w:lineRule="auto" w:before="40" w:after="40"/>
              <w:jc w:val="center"/>
            </w:pPr>
            <w:r>
              <w:rPr>
                <w:rFonts w:ascii="Times New Roman" w:hAnsi="Times New Roman"/>
                <w:color w:val="000000"/>
                <w:sz w:val="18"/>
              </w:rPr>
              <w:t>Seplat Energy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April 2014 (&lt; 15-yr history)</w:t>
            </w:r>
          </w:p>
        </w:tc>
      </w:tr>
      <w:tr>
        <w:tc>
          <w:tcPr>
            <w:tcW w:type="dxa" w:w="1872"/>
          </w:tcPr>
          <w:p>
            <w:pPr>
              <w:spacing w:line="276" w:lineRule="auto" w:before="40" w:after="40"/>
              <w:jc w:val="center"/>
            </w:pPr>
            <w:r>
              <w:rPr>
                <w:rFonts w:ascii="Times New Roman" w:hAnsi="Times New Roman"/>
                <w:color w:val="000000"/>
                <w:sz w:val="18"/>
              </w:rPr>
              <w:t>TRANSCOHOT</w:t>
            </w:r>
          </w:p>
        </w:tc>
        <w:tc>
          <w:tcPr>
            <w:tcW w:type="dxa" w:w="1872"/>
          </w:tcPr>
          <w:p>
            <w:pPr>
              <w:spacing w:line="276" w:lineRule="auto" w:before="40" w:after="40"/>
              <w:jc w:val="center"/>
            </w:pPr>
            <w:r>
              <w:rPr>
                <w:rFonts w:ascii="Times New Roman" w:hAnsi="Times New Roman"/>
                <w:color w:val="000000"/>
                <w:sz w:val="18"/>
              </w:rPr>
              <w:t>Transcorp Hotels Plc</w:t>
            </w:r>
          </w:p>
        </w:tc>
        <w:tc>
          <w:tcPr>
            <w:tcW w:type="dxa" w:w="1872"/>
          </w:tcPr>
          <w:p>
            <w:pPr>
              <w:spacing w:line="276" w:lineRule="auto" w:before="40" w:after="40"/>
              <w:jc w:val="center"/>
            </w:pPr>
            <w:r>
              <w:rPr>
                <w:rFonts w:ascii="Times New Roman" w:hAnsi="Times New Roman"/>
                <w:color w:val="000000"/>
                <w:sz w:val="18"/>
              </w:rPr>
              <w:t>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2015 (&lt; 15-yr history)</w:t>
            </w:r>
          </w:p>
        </w:tc>
      </w:tr>
      <w:tr>
        <w:tc>
          <w:tcPr>
            <w:tcW w:type="dxa" w:w="1872"/>
          </w:tcPr>
          <w:p>
            <w:pPr>
              <w:spacing w:line="276" w:lineRule="auto" w:before="40" w:after="40"/>
              <w:jc w:val="center"/>
            </w:pPr>
            <w:r>
              <w:rPr>
                <w:rFonts w:ascii="Times New Roman" w:hAnsi="Times New Roman"/>
                <w:color w:val="000000"/>
                <w:sz w:val="18"/>
              </w:rPr>
              <w:t>TRANSPOWER</w:t>
            </w:r>
          </w:p>
        </w:tc>
        <w:tc>
          <w:tcPr>
            <w:tcW w:type="dxa" w:w="1872"/>
          </w:tcPr>
          <w:p>
            <w:pPr>
              <w:spacing w:line="276" w:lineRule="auto" w:before="40" w:after="40"/>
              <w:jc w:val="center"/>
            </w:pPr>
            <w:r>
              <w:rPr>
                <w:rFonts w:ascii="Times New Roman" w:hAnsi="Times New Roman"/>
                <w:color w:val="000000"/>
                <w:sz w:val="18"/>
              </w:rPr>
              <w:t>Transcorp Power Plc</w:t>
            </w:r>
          </w:p>
        </w:tc>
        <w:tc>
          <w:tcPr>
            <w:tcW w:type="dxa" w:w="1872"/>
          </w:tcPr>
          <w:p>
            <w:pPr>
              <w:spacing w:line="276" w:lineRule="auto" w:before="40" w:after="40"/>
              <w:jc w:val="center"/>
            </w:pPr>
            <w:r>
              <w:rPr>
                <w:rFonts w:ascii="Times New Roman" w:hAnsi="Times New Roman"/>
                <w:color w:val="000000"/>
                <w:sz w:val="18"/>
              </w:rPr>
              <w:t>Utilities / Power</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March 2024 (&lt; 15-yr history)</w:t>
            </w:r>
          </w:p>
        </w:tc>
      </w:tr>
      <w:tr>
        <w:tc>
          <w:tcPr>
            <w:tcW w:type="dxa" w:w="1872"/>
          </w:tcPr>
          <w:p>
            <w:pPr>
              <w:spacing w:line="276" w:lineRule="auto" w:before="40" w:after="40"/>
              <w:jc w:val="center"/>
            </w:pPr>
            <w:r>
              <w:rPr>
                <w:rFonts w:ascii="Times New Roman" w:hAnsi="Times New Roman"/>
                <w:color w:val="000000"/>
                <w:sz w:val="18"/>
              </w:rPr>
              <w:t>UCAP</w:t>
            </w:r>
          </w:p>
        </w:tc>
        <w:tc>
          <w:tcPr>
            <w:tcW w:type="dxa" w:w="1872"/>
          </w:tcPr>
          <w:p>
            <w:pPr>
              <w:spacing w:line="276" w:lineRule="auto" w:before="40" w:after="40"/>
              <w:jc w:val="center"/>
            </w:pPr>
            <w:r>
              <w:rPr>
                <w:rFonts w:ascii="Times New Roman" w:hAnsi="Times New Roman"/>
                <w:color w:val="000000"/>
                <w:sz w:val="18"/>
              </w:rPr>
              <w:t>United Capital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2013 (&lt; 15-yr history)</w:t>
            </w:r>
          </w:p>
        </w:tc>
      </w:tr>
    </w:tbl>
    <w:p>
      <w:pPr>
        <w:spacing w:after="120"/>
      </w:pPr>
    </w:p>
    <w:p>
      <w:pPr>
        <w:spacing w:line="480" w:lineRule="auto" w:before="0" w:after="0"/>
        <w:jc w:val="left"/>
      </w:pPr>
      <w:r>
        <w:rPr>
          <w:rFonts w:ascii="Times New Roman" w:hAnsi="Times New Roman"/>
          <w:i/>
          <w:color w:val="000000"/>
          <w:sz w:val="20"/>
        </w:rPr>
        <w:t>Source: Author's classification based on NGX listing records (2026).</w:t>
      </w:r>
    </w:p>
    <w:p>
      <w:pPr>
        <w:spacing w:line="480" w:lineRule="auto" w:before="0" w:after="0"/>
        <w:jc w:val="left"/>
      </w:pPr>
      <w:r>
        <w:rPr>
          <w:rFonts w:ascii="Times New Roman" w:hAnsi="Times New Roman"/>
          <w:b/>
          <w:color w:val="000000"/>
          <w:sz w:val="24"/>
        </w:rPr>
        <w:t>4.2 Descriptive Statistics and Market Characteristics</w:t>
      </w:r>
    </w:p>
    <w:p>
      <w:pPr>
        <w:spacing w:line="480" w:lineRule="auto" w:before="0" w:after="0"/>
        <w:jc w:val="both"/>
      </w:pPr>
      <w:r>
        <w:rPr>
          <w:rFonts w:ascii="Times New Roman" w:hAnsi="Times New Roman"/>
          <w:color w:val="000000"/>
          <w:sz w:val="24"/>
        </w:rPr>
        <w:t>Descriptive statistics were calculated for all 28 evaluated equities to establish distributional properties including mean weekly returns, standard deviation, minimum, maximum, skewness, and excess kurtosis. As presented in Table 4.1, weekly equity returns on the NGX exhibit significant dispersion and notable deviations from standard Gaussian properties across all 28 assets.</w:t>
      </w:r>
    </w:p>
    <w:p>
      <w:pPr>
        <w:spacing w:line="480" w:lineRule="auto" w:before="0" w:after="0"/>
        <w:jc w:val="left"/>
      </w:pPr>
      <w:r>
        <w:rPr>
          <w:rFonts w:ascii="Times New Roman" w:hAnsi="Times New Roman"/>
          <w:b/>
          <w:color w:val="000000"/>
          <w:sz w:val="24"/>
        </w:rPr>
        <w:t>Table 4.1: Descriptive Statistics of 28 NGX Equity Log Returns (2010-2025)</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Mean (%)</w:t>
            </w:r>
          </w:p>
        </w:tc>
        <w:tc>
          <w:tcPr>
            <w:tcW w:type="dxa" w:w="1337"/>
            <w:shd w:val="clear" w:color="auto" w:fill="F2F2F2"/>
          </w:tcPr>
          <w:p>
            <w:pPr>
              <w:spacing w:line="276" w:lineRule="auto" w:before="40" w:after="40"/>
              <w:jc w:val="center"/>
            </w:pPr>
            <w:r>
              <w:rPr>
                <w:rFonts w:ascii="Times New Roman" w:hAnsi="Times New Roman"/>
                <w:b/>
                <w:color w:val="000000"/>
                <w:sz w:val="19"/>
              </w:rPr>
              <w:t>Std Dev (%)</w:t>
            </w:r>
          </w:p>
        </w:tc>
        <w:tc>
          <w:tcPr>
            <w:tcW w:type="dxa" w:w="1337"/>
            <w:shd w:val="clear" w:color="auto" w:fill="F2F2F2"/>
          </w:tcPr>
          <w:p>
            <w:pPr>
              <w:spacing w:line="276" w:lineRule="auto" w:before="40" w:after="40"/>
              <w:jc w:val="center"/>
            </w:pPr>
            <w:r>
              <w:rPr>
                <w:rFonts w:ascii="Times New Roman" w:hAnsi="Times New Roman"/>
                <w:b/>
                <w:color w:val="000000"/>
                <w:sz w:val="19"/>
              </w:rPr>
              <w:t>Min (%)</w:t>
            </w:r>
          </w:p>
        </w:tc>
        <w:tc>
          <w:tcPr>
            <w:tcW w:type="dxa" w:w="1337"/>
            <w:shd w:val="clear" w:color="auto" w:fill="F2F2F2"/>
          </w:tcPr>
          <w:p>
            <w:pPr>
              <w:spacing w:line="276" w:lineRule="auto" w:before="40" w:after="40"/>
              <w:jc w:val="center"/>
            </w:pPr>
            <w:r>
              <w:rPr>
                <w:rFonts w:ascii="Times New Roman" w:hAnsi="Times New Roman"/>
                <w:b/>
                <w:color w:val="000000"/>
                <w:sz w:val="19"/>
              </w:rPr>
              <w:t>Max (%)</w:t>
            </w:r>
          </w:p>
        </w:tc>
        <w:tc>
          <w:tcPr>
            <w:tcW w:type="dxa" w:w="1337"/>
            <w:shd w:val="clear" w:color="auto" w:fill="F2F2F2"/>
          </w:tcPr>
          <w:p>
            <w:pPr>
              <w:spacing w:line="276" w:lineRule="auto" w:before="40" w:after="40"/>
              <w:jc w:val="center"/>
            </w:pPr>
            <w:r>
              <w:rPr>
                <w:rFonts w:ascii="Times New Roman" w:hAnsi="Times New Roman"/>
                <w:b/>
                <w:color w:val="000000"/>
                <w:sz w:val="19"/>
              </w:rPr>
              <w:t>Skewness</w:t>
            </w:r>
          </w:p>
        </w:tc>
        <w:tc>
          <w:tcPr>
            <w:tcW w:type="dxa" w:w="1337"/>
            <w:shd w:val="clear" w:color="auto" w:fill="F2F2F2"/>
          </w:tcPr>
          <w:p>
            <w:pPr>
              <w:spacing w:line="276" w:lineRule="auto" w:before="40" w:after="40"/>
              <w:jc w:val="center"/>
            </w:pPr>
            <w:r>
              <w:rPr>
                <w:rFonts w:ascii="Times New Roman" w:hAnsi="Times New Roman"/>
                <w:b/>
                <w:color w:val="000000"/>
                <w:sz w:val="19"/>
              </w:rPr>
              <w:t>Kurtosis</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0.218</w:t>
            </w:r>
          </w:p>
        </w:tc>
        <w:tc>
          <w:tcPr>
            <w:tcW w:type="dxa" w:w="1337"/>
          </w:tcPr>
          <w:p>
            <w:pPr>
              <w:spacing w:line="276" w:lineRule="auto" w:before="40" w:after="40"/>
              <w:jc w:val="center"/>
            </w:pPr>
            <w:r>
              <w:rPr>
                <w:rFonts w:ascii="Times New Roman" w:hAnsi="Times New Roman"/>
                <w:color w:val="000000"/>
                <w:sz w:val="18"/>
              </w:rPr>
              <w:t>6.66</w:t>
            </w:r>
          </w:p>
        </w:tc>
        <w:tc>
          <w:tcPr>
            <w:tcW w:type="dxa" w:w="1337"/>
          </w:tcPr>
          <w:p>
            <w:pPr>
              <w:spacing w:line="276" w:lineRule="auto" w:before="40" w:after="40"/>
              <w:jc w:val="center"/>
            </w:pPr>
            <w:r>
              <w:rPr>
                <w:rFonts w:ascii="Times New Roman" w:hAnsi="Times New Roman"/>
                <w:color w:val="000000"/>
                <w:sz w:val="18"/>
              </w:rPr>
              <w:t>-20.94</w:t>
            </w:r>
          </w:p>
        </w:tc>
        <w:tc>
          <w:tcPr>
            <w:tcW w:type="dxa" w:w="1337"/>
          </w:tcPr>
          <w:p>
            <w:pPr>
              <w:spacing w:line="276" w:lineRule="auto" w:before="40" w:after="40"/>
              <w:jc w:val="center"/>
            </w:pPr>
            <w:r>
              <w:rPr>
                <w:rFonts w:ascii="Times New Roman" w:hAnsi="Times New Roman"/>
                <w:color w:val="000000"/>
                <w:sz w:val="18"/>
              </w:rPr>
              <w:t>38.95</w:t>
            </w:r>
          </w:p>
        </w:tc>
        <w:tc>
          <w:tcPr>
            <w:tcW w:type="dxa" w:w="1337"/>
          </w:tcPr>
          <w:p>
            <w:pPr>
              <w:spacing w:line="276" w:lineRule="auto" w:before="40" w:after="40"/>
              <w:jc w:val="center"/>
            </w:pPr>
            <w:r>
              <w:rPr>
                <w:rFonts w:ascii="Times New Roman" w:hAnsi="Times New Roman"/>
                <w:color w:val="000000"/>
                <w:sz w:val="18"/>
              </w:rPr>
              <w:t>1.41</w:t>
            </w:r>
          </w:p>
        </w:tc>
        <w:tc>
          <w:tcPr>
            <w:tcW w:type="dxa" w:w="1337"/>
          </w:tcPr>
          <w:p>
            <w:pPr>
              <w:spacing w:line="276" w:lineRule="auto" w:before="40" w:after="40"/>
              <w:jc w:val="center"/>
            </w:pPr>
            <w:r>
              <w:rPr>
                <w:rFonts w:ascii="Times New Roman" w:hAnsi="Times New Roman"/>
                <w:color w:val="000000"/>
                <w:sz w:val="18"/>
              </w:rPr>
              <w:t>7.22</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0.324</w:t>
            </w:r>
          </w:p>
        </w:tc>
        <w:tc>
          <w:tcPr>
            <w:tcW w:type="dxa" w:w="1337"/>
          </w:tcPr>
          <w:p>
            <w:pPr>
              <w:spacing w:line="276" w:lineRule="auto" w:before="40" w:after="40"/>
              <w:jc w:val="center"/>
            </w:pPr>
            <w:r>
              <w:rPr>
                <w:rFonts w:ascii="Times New Roman" w:hAnsi="Times New Roman"/>
                <w:color w:val="000000"/>
                <w:sz w:val="18"/>
              </w:rPr>
              <w:t>5.57</w:t>
            </w:r>
          </w:p>
        </w:tc>
        <w:tc>
          <w:tcPr>
            <w:tcW w:type="dxa" w:w="1337"/>
          </w:tcPr>
          <w:p>
            <w:pPr>
              <w:spacing w:line="276" w:lineRule="auto" w:before="40" w:after="40"/>
              <w:jc w:val="center"/>
            </w:pPr>
            <w:r>
              <w:rPr>
                <w:rFonts w:ascii="Times New Roman" w:hAnsi="Times New Roman"/>
                <w:color w:val="000000"/>
                <w:sz w:val="18"/>
              </w:rPr>
              <w:t>-24.03</w:t>
            </w:r>
          </w:p>
        </w:tc>
        <w:tc>
          <w:tcPr>
            <w:tcW w:type="dxa" w:w="1337"/>
          </w:tcPr>
          <w:p>
            <w:pPr>
              <w:spacing w:line="276" w:lineRule="auto" w:before="40" w:after="40"/>
              <w:jc w:val="center"/>
            </w:pPr>
            <w:r>
              <w:rPr>
                <w:rFonts w:ascii="Times New Roman" w:hAnsi="Times New Roman"/>
                <w:color w:val="000000"/>
                <w:sz w:val="18"/>
              </w:rPr>
              <w:t>24.58</w:t>
            </w:r>
          </w:p>
        </w:tc>
        <w:tc>
          <w:tcPr>
            <w:tcW w:type="dxa" w:w="1337"/>
          </w:tcPr>
          <w:p>
            <w:pPr>
              <w:spacing w:line="276" w:lineRule="auto" w:before="40" w:after="40"/>
              <w:jc w:val="center"/>
            </w:pPr>
            <w:r>
              <w:rPr>
                <w:rFonts w:ascii="Times New Roman" w:hAnsi="Times New Roman"/>
                <w:color w:val="000000"/>
                <w:sz w:val="18"/>
              </w:rPr>
              <w:t>0.30</w:t>
            </w:r>
          </w:p>
        </w:tc>
        <w:tc>
          <w:tcPr>
            <w:tcW w:type="dxa" w:w="1337"/>
          </w:tcPr>
          <w:p>
            <w:pPr>
              <w:spacing w:line="276" w:lineRule="auto" w:before="40" w:after="40"/>
              <w:jc w:val="center"/>
            </w:pPr>
            <w:r>
              <w:rPr>
                <w:rFonts w:ascii="Times New Roman" w:hAnsi="Times New Roman"/>
                <w:color w:val="000000"/>
                <w:sz w:val="18"/>
              </w:rPr>
              <w:t>2.20</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0.192</w:t>
            </w:r>
          </w:p>
        </w:tc>
        <w:tc>
          <w:tcPr>
            <w:tcW w:type="dxa" w:w="1337"/>
          </w:tcPr>
          <w:p>
            <w:pPr>
              <w:spacing w:line="276" w:lineRule="auto" w:before="40" w:after="40"/>
              <w:jc w:val="center"/>
            </w:pPr>
            <w:r>
              <w:rPr>
                <w:rFonts w:ascii="Times New Roman" w:hAnsi="Times New Roman"/>
                <w:color w:val="000000"/>
                <w:sz w:val="18"/>
              </w:rPr>
              <w:t>4.55</w:t>
            </w:r>
          </w:p>
        </w:tc>
        <w:tc>
          <w:tcPr>
            <w:tcW w:type="dxa" w:w="1337"/>
          </w:tcPr>
          <w:p>
            <w:pPr>
              <w:spacing w:line="276" w:lineRule="auto" w:before="40" w:after="40"/>
              <w:jc w:val="center"/>
            </w:pPr>
            <w:r>
              <w:rPr>
                <w:rFonts w:ascii="Times New Roman" w:hAnsi="Times New Roman"/>
                <w:color w:val="000000"/>
                <w:sz w:val="18"/>
              </w:rPr>
              <w:t>-23.16</w:t>
            </w:r>
          </w:p>
        </w:tc>
        <w:tc>
          <w:tcPr>
            <w:tcW w:type="dxa" w:w="1337"/>
          </w:tcPr>
          <w:p>
            <w:pPr>
              <w:spacing w:line="276" w:lineRule="auto" w:before="40" w:after="40"/>
              <w:jc w:val="center"/>
            </w:pPr>
            <w:r>
              <w:rPr>
                <w:rFonts w:ascii="Times New Roman" w:hAnsi="Times New Roman"/>
                <w:color w:val="000000"/>
                <w:sz w:val="18"/>
              </w:rPr>
              <w:t>43.14</w:t>
            </w:r>
          </w:p>
        </w:tc>
        <w:tc>
          <w:tcPr>
            <w:tcW w:type="dxa" w:w="1337"/>
          </w:tcPr>
          <w:p>
            <w:pPr>
              <w:spacing w:line="276" w:lineRule="auto" w:before="40" w:after="40"/>
              <w:jc w:val="center"/>
            </w:pPr>
            <w:r>
              <w:rPr>
                <w:rFonts w:ascii="Times New Roman" w:hAnsi="Times New Roman"/>
                <w:color w:val="000000"/>
                <w:sz w:val="18"/>
              </w:rPr>
              <w:t>1.66</w:t>
            </w:r>
          </w:p>
        </w:tc>
        <w:tc>
          <w:tcPr>
            <w:tcW w:type="dxa" w:w="1337"/>
          </w:tcPr>
          <w:p>
            <w:pPr>
              <w:spacing w:line="276" w:lineRule="auto" w:before="40" w:after="40"/>
              <w:jc w:val="center"/>
            </w:pPr>
            <w:r>
              <w:rPr>
                <w:rFonts w:ascii="Times New Roman" w:hAnsi="Times New Roman"/>
                <w:color w:val="000000"/>
                <w:sz w:val="18"/>
              </w:rPr>
              <w:t>14.47</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0.167</w:t>
            </w:r>
          </w:p>
        </w:tc>
        <w:tc>
          <w:tcPr>
            <w:tcW w:type="dxa" w:w="1337"/>
          </w:tcPr>
          <w:p>
            <w:pPr>
              <w:spacing w:line="276" w:lineRule="auto" w:before="40" w:after="40"/>
              <w:jc w:val="center"/>
            </w:pPr>
            <w:r>
              <w:rPr>
                <w:rFonts w:ascii="Times New Roman" w:hAnsi="Times New Roman"/>
                <w:color w:val="000000"/>
                <w:sz w:val="18"/>
              </w:rPr>
              <w:t>6.54</w:t>
            </w:r>
          </w:p>
        </w:tc>
        <w:tc>
          <w:tcPr>
            <w:tcW w:type="dxa" w:w="1337"/>
          </w:tcPr>
          <w:p>
            <w:pPr>
              <w:spacing w:line="276" w:lineRule="auto" w:before="40" w:after="40"/>
              <w:jc w:val="center"/>
            </w:pPr>
            <w:r>
              <w:rPr>
                <w:rFonts w:ascii="Times New Roman" w:hAnsi="Times New Roman"/>
                <w:color w:val="000000"/>
                <w:sz w:val="18"/>
              </w:rPr>
              <w:t>-34.25</w:t>
            </w:r>
          </w:p>
        </w:tc>
        <w:tc>
          <w:tcPr>
            <w:tcW w:type="dxa" w:w="1337"/>
          </w:tcPr>
          <w:p>
            <w:pPr>
              <w:spacing w:line="276" w:lineRule="auto" w:before="40" w:after="40"/>
              <w:jc w:val="center"/>
            </w:pPr>
            <w:r>
              <w:rPr>
                <w:rFonts w:ascii="Times New Roman" w:hAnsi="Times New Roman"/>
                <w:color w:val="000000"/>
                <w:sz w:val="18"/>
              </w:rPr>
              <w:t>31.69</w:t>
            </w:r>
          </w:p>
        </w:tc>
        <w:tc>
          <w:tcPr>
            <w:tcW w:type="dxa" w:w="1337"/>
          </w:tcPr>
          <w:p>
            <w:pPr>
              <w:spacing w:line="276" w:lineRule="auto" w:before="40" w:after="40"/>
              <w:jc w:val="center"/>
            </w:pPr>
            <w:r>
              <w:rPr>
                <w:rFonts w:ascii="Times New Roman" w:hAnsi="Times New Roman"/>
                <w:color w:val="000000"/>
                <w:sz w:val="18"/>
              </w:rPr>
              <w:t>0.55</w:t>
            </w:r>
          </w:p>
        </w:tc>
        <w:tc>
          <w:tcPr>
            <w:tcW w:type="dxa" w:w="1337"/>
          </w:tcPr>
          <w:p>
            <w:pPr>
              <w:spacing w:line="276" w:lineRule="auto" w:before="40" w:after="40"/>
              <w:jc w:val="center"/>
            </w:pPr>
            <w:r>
              <w:rPr>
                <w:rFonts w:ascii="Times New Roman" w:hAnsi="Times New Roman"/>
                <w:color w:val="000000"/>
                <w:sz w:val="18"/>
              </w:rPr>
              <w:t>3.50</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0.126</w:t>
            </w:r>
          </w:p>
        </w:tc>
        <w:tc>
          <w:tcPr>
            <w:tcW w:type="dxa" w:w="1337"/>
          </w:tcPr>
          <w:p>
            <w:pPr>
              <w:spacing w:line="276" w:lineRule="auto" w:before="40" w:after="40"/>
              <w:jc w:val="center"/>
            </w:pPr>
            <w:r>
              <w:rPr>
                <w:rFonts w:ascii="Times New Roman" w:hAnsi="Times New Roman"/>
                <w:color w:val="000000"/>
                <w:sz w:val="18"/>
              </w:rPr>
              <w:t>6.04</w:t>
            </w:r>
          </w:p>
        </w:tc>
        <w:tc>
          <w:tcPr>
            <w:tcW w:type="dxa" w:w="1337"/>
          </w:tcPr>
          <w:p>
            <w:pPr>
              <w:spacing w:line="276" w:lineRule="auto" w:before="40" w:after="40"/>
              <w:jc w:val="center"/>
            </w:pPr>
            <w:r>
              <w:rPr>
                <w:rFonts w:ascii="Times New Roman" w:hAnsi="Times New Roman"/>
                <w:color w:val="000000"/>
                <w:sz w:val="18"/>
              </w:rPr>
              <w:t>-26.18</w:t>
            </w:r>
          </w:p>
        </w:tc>
        <w:tc>
          <w:tcPr>
            <w:tcW w:type="dxa" w:w="1337"/>
          </w:tcPr>
          <w:p>
            <w:pPr>
              <w:spacing w:line="276" w:lineRule="auto" w:before="40" w:after="40"/>
              <w:jc w:val="center"/>
            </w:pPr>
            <w:r>
              <w:rPr>
                <w:rFonts w:ascii="Times New Roman" w:hAnsi="Times New Roman"/>
                <w:color w:val="000000"/>
                <w:sz w:val="18"/>
              </w:rPr>
              <w:t>36.98</w:t>
            </w:r>
          </w:p>
        </w:tc>
        <w:tc>
          <w:tcPr>
            <w:tcW w:type="dxa" w:w="1337"/>
          </w:tcPr>
          <w:p>
            <w:pPr>
              <w:spacing w:line="276" w:lineRule="auto" w:before="40" w:after="40"/>
              <w:jc w:val="center"/>
            </w:pPr>
            <w:r>
              <w:rPr>
                <w:rFonts w:ascii="Times New Roman" w:hAnsi="Times New Roman"/>
                <w:color w:val="000000"/>
                <w:sz w:val="18"/>
              </w:rPr>
              <w:t>0.39</w:t>
            </w:r>
          </w:p>
        </w:tc>
        <w:tc>
          <w:tcPr>
            <w:tcW w:type="dxa" w:w="1337"/>
          </w:tcPr>
          <w:p>
            <w:pPr>
              <w:spacing w:line="276" w:lineRule="auto" w:before="40" w:after="40"/>
              <w:jc w:val="center"/>
            </w:pPr>
            <w:r>
              <w:rPr>
                <w:rFonts w:ascii="Times New Roman" w:hAnsi="Times New Roman"/>
                <w:color w:val="000000"/>
                <w:sz w:val="18"/>
              </w:rPr>
              <w:t>4.21</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0.073</w:t>
            </w:r>
          </w:p>
        </w:tc>
        <w:tc>
          <w:tcPr>
            <w:tcW w:type="dxa" w:w="1337"/>
          </w:tcPr>
          <w:p>
            <w:pPr>
              <w:spacing w:line="276" w:lineRule="auto" w:before="40" w:after="40"/>
              <w:jc w:val="center"/>
            </w:pPr>
            <w:r>
              <w:rPr>
                <w:rFonts w:ascii="Times New Roman" w:hAnsi="Times New Roman"/>
                <w:color w:val="000000"/>
                <w:sz w:val="18"/>
              </w:rPr>
              <w:t>6.45</w:t>
            </w:r>
          </w:p>
        </w:tc>
        <w:tc>
          <w:tcPr>
            <w:tcW w:type="dxa" w:w="1337"/>
          </w:tcPr>
          <w:p>
            <w:pPr>
              <w:spacing w:line="276" w:lineRule="auto" w:before="40" w:after="40"/>
              <w:jc w:val="center"/>
            </w:pPr>
            <w:r>
              <w:rPr>
                <w:rFonts w:ascii="Times New Roman" w:hAnsi="Times New Roman"/>
                <w:color w:val="000000"/>
                <w:sz w:val="18"/>
              </w:rPr>
              <w:t>-24.00</w:t>
            </w:r>
          </w:p>
        </w:tc>
        <w:tc>
          <w:tcPr>
            <w:tcW w:type="dxa" w:w="1337"/>
          </w:tcPr>
          <w:p>
            <w:pPr>
              <w:spacing w:line="276" w:lineRule="auto" w:before="40" w:after="40"/>
              <w:jc w:val="center"/>
            </w:pPr>
            <w:r>
              <w:rPr>
                <w:rFonts w:ascii="Times New Roman" w:hAnsi="Times New Roman"/>
                <w:color w:val="000000"/>
                <w:sz w:val="18"/>
              </w:rPr>
              <w:t>31.77</w:t>
            </w:r>
          </w:p>
        </w:tc>
        <w:tc>
          <w:tcPr>
            <w:tcW w:type="dxa" w:w="1337"/>
          </w:tcPr>
          <w:p>
            <w:pPr>
              <w:spacing w:line="276" w:lineRule="auto" w:before="40" w:after="40"/>
              <w:jc w:val="center"/>
            </w:pPr>
            <w:r>
              <w:rPr>
                <w:rFonts w:ascii="Times New Roman" w:hAnsi="Times New Roman"/>
                <w:color w:val="000000"/>
                <w:sz w:val="18"/>
              </w:rPr>
              <w:t>0.69</w:t>
            </w:r>
          </w:p>
        </w:tc>
        <w:tc>
          <w:tcPr>
            <w:tcW w:type="dxa" w:w="1337"/>
          </w:tcPr>
          <w:p>
            <w:pPr>
              <w:spacing w:line="276" w:lineRule="auto" w:before="40" w:after="40"/>
              <w:jc w:val="center"/>
            </w:pPr>
            <w:r>
              <w:rPr>
                <w:rFonts w:ascii="Times New Roman" w:hAnsi="Times New Roman"/>
                <w:color w:val="000000"/>
                <w:sz w:val="18"/>
              </w:rPr>
              <w:t>3.65</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0.245</w:t>
            </w:r>
          </w:p>
        </w:tc>
        <w:tc>
          <w:tcPr>
            <w:tcW w:type="dxa" w:w="1337"/>
          </w:tcPr>
          <w:p>
            <w:pPr>
              <w:spacing w:line="276" w:lineRule="auto" w:before="40" w:after="40"/>
              <w:jc w:val="center"/>
            </w:pPr>
            <w:r>
              <w:rPr>
                <w:rFonts w:ascii="Times New Roman" w:hAnsi="Times New Roman"/>
                <w:color w:val="000000"/>
                <w:sz w:val="18"/>
              </w:rPr>
              <w:t>6.34</w:t>
            </w:r>
          </w:p>
        </w:tc>
        <w:tc>
          <w:tcPr>
            <w:tcW w:type="dxa" w:w="1337"/>
          </w:tcPr>
          <w:p>
            <w:pPr>
              <w:spacing w:line="276" w:lineRule="auto" w:before="40" w:after="40"/>
              <w:jc w:val="center"/>
            </w:pPr>
            <w:r>
              <w:rPr>
                <w:rFonts w:ascii="Times New Roman" w:hAnsi="Times New Roman"/>
                <w:color w:val="000000"/>
                <w:sz w:val="18"/>
              </w:rPr>
              <w:t>-28.73</w:t>
            </w:r>
          </w:p>
        </w:tc>
        <w:tc>
          <w:tcPr>
            <w:tcW w:type="dxa" w:w="1337"/>
          </w:tcPr>
          <w:p>
            <w:pPr>
              <w:spacing w:line="276" w:lineRule="auto" w:before="40" w:after="40"/>
              <w:jc w:val="center"/>
            </w:pPr>
            <w:r>
              <w:rPr>
                <w:rFonts w:ascii="Times New Roman" w:hAnsi="Times New Roman"/>
                <w:color w:val="000000"/>
                <w:sz w:val="18"/>
              </w:rPr>
              <w:t>32.21</w:t>
            </w:r>
          </w:p>
        </w:tc>
        <w:tc>
          <w:tcPr>
            <w:tcW w:type="dxa" w:w="1337"/>
          </w:tcPr>
          <w:p>
            <w:pPr>
              <w:spacing w:line="276" w:lineRule="auto" w:before="40" w:after="40"/>
              <w:jc w:val="center"/>
            </w:pPr>
            <w:r>
              <w:rPr>
                <w:rFonts w:ascii="Times New Roman" w:hAnsi="Times New Roman"/>
                <w:color w:val="000000"/>
                <w:sz w:val="18"/>
              </w:rPr>
              <w:t>0.52</w:t>
            </w:r>
          </w:p>
        </w:tc>
        <w:tc>
          <w:tcPr>
            <w:tcW w:type="dxa" w:w="1337"/>
          </w:tcPr>
          <w:p>
            <w:pPr>
              <w:spacing w:line="276" w:lineRule="auto" w:before="40" w:after="40"/>
              <w:jc w:val="center"/>
            </w:pPr>
            <w:r>
              <w:rPr>
                <w:rFonts w:ascii="Times New Roman" w:hAnsi="Times New Roman"/>
                <w:color w:val="000000"/>
                <w:sz w:val="18"/>
              </w:rPr>
              <w:t>3.11</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0.401</w:t>
            </w:r>
          </w:p>
        </w:tc>
        <w:tc>
          <w:tcPr>
            <w:tcW w:type="dxa" w:w="1337"/>
          </w:tcPr>
          <w:p>
            <w:pPr>
              <w:spacing w:line="276" w:lineRule="auto" w:before="40" w:after="40"/>
              <w:jc w:val="center"/>
            </w:pPr>
            <w:r>
              <w:rPr>
                <w:rFonts w:ascii="Times New Roman" w:hAnsi="Times New Roman"/>
                <w:color w:val="000000"/>
                <w:sz w:val="18"/>
              </w:rPr>
              <w:t>7.14</w:t>
            </w:r>
          </w:p>
        </w:tc>
        <w:tc>
          <w:tcPr>
            <w:tcW w:type="dxa" w:w="1337"/>
          </w:tcPr>
          <w:p>
            <w:pPr>
              <w:spacing w:line="276" w:lineRule="auto" w:before="40" w:after="40"/>
              <w:jc w:val="center"/>
            </w:pPr>
            <w:r>
              <w:rPr>
                <w:rFonts w:ascii="Times New Roman" w:hAnsi="Times New Roman"/>
                <w:color w:val="000000"/>
                <w:sz w:val="18"/>
              </w:rPr>
              <w:t>-35.19</w:t>
            </w:r>
          </w:p>
        </w:tc>
        <w:tc>
          <w:tcPr>
            <w:tcW w:type="dxa" w:w="1337"/>
          </w:tcPr>
          <w:p>
            <w:pPr>
              <w:spacing w:line="276" w:lineRule="auto" w:before="40" w:after="40"/>
              <w:jc w:val="center"/>
            </w:pPr>
            <w:r>
              <w:rPr>
                <w:rFonts w:ascii="Times New Roman" w:hAnsi="Times New Roman"/>
                <w:color w:val="000000"/>
                <w:sz w:val="18"/>
              </w:rPr>
              <w:t>38.89</w:t>
            </w:r>
          </w:p>
        </w:tc>
        <w:tc>
          <w:tcPr>
            <w:tcW w:type="dxa" w:w="1337"/>
          </w:tcPr>
          <w:p>
            <w:pPr>
              <w:spacing w:line="276" w:lineRule="auto" w:before="40" w:after="40"/>
              <w:jc w:val="center"/>
            </w:pPr>
            <w:r>
              <w:rPr>
                <w:rFonts w:ascii="Times New Roman" w:hAnsi="Times New Roman"/>
                <w:color w:val="000000"/>
                <w:sz w:val="18"/>
              </w:rPr>
              <w:t>0.51</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0.157</w:t>
            </w:r>
          </w:p>
        </w:tc>
        <w:tc>
          <w:tcPr>
            <w:tcW w:type="dxa" w:w="1337"/>
          </w:tcPr>
          <w:p>
            <w:pPr>
              <w:spacing w:line="276" w:lineRule="auto" w:before="40" w:after="40"/>
              <w:jc w:val="center"/>
            </w:pPr>
            <w:r>
              <w:rPr>
                <w:rFonts w:ascii="Times New Roman" w:hAnsi="Times New Roman"/>
                <w:color w:val="000000"/>
                <w:sz w:val="18"/>
              </w:rPr>
              <w:t>6.46</w:t>
            </w:r>
          </w:p>
        </w:tc>
        <w:tc>
          <w:tcPr>
            <w:tcW w:type="dxa" w:w="1337"/>
          </w:tcPr>
          <w:p>
            <w:pPr>
              <w:spacing w:line="276" w:lineRule="auto" w:before="40" w:after="40"/>
              <w:jc w:val="center"/>
            </w:pPr>
            <w:r>
              <w:rPr>
                <w:rFonts w:ascii="Times New Roman" w:hAnsi="Times New Roman"/>
                <w:color w:val="000000"/>
                <w:sz w:val="18"/>
              </w:rPr>
              <w:t>-29.02</w:t>
            </w:r>
          </w:p>
        </w:tc>
        <w:tc>
          <w:tcPr>
            <w:tcW w:type="dxa" w:w="1337"/>
          </w:tcPr>
          <w:p>
            <w:pPr>
              <w:spacing w:line="276" w:lineRule="auto" w:before="40" w:after="40"/>
              <w:jc w:val="center"/>
            </w:pPr>
            <w:r>
              <w:rPr>
                <w:rFonts w:ascii="Times New Roman" w:hAnsi="Times New Roman"/>
                <w:color w:val="000000"/>
                <w:sz w:val="18"/>
              </w:rPr>
              <w:t>35.72</w:t>
            </w:r>
          </w:p>
        </w:tc>
        <w:tc>
          <w:tcPr>
            <w:tcW w:type="dxa" w:w="1337"/>
          </w:tcPr>
          <w:p>
            <w:pPr>
              <w:spacing w:line="276" w:lineRule="auto" w:before="40" w:after="40"/>
              <w:jc w:val="center"/>
            </w:pPr>
            <w:r>
              <w:rPr>
                <w:rFonts w:ascii="Times New Roman" w:hAnsi="Times New Roman"/>
                <w:color w:val="000000"/>
                <w:sz w:val="18"/>
              </w:rPr>
              <w:t>0.64</w:t>
            </w:r>
          </w:p>
        </w:tc>
        <w:tc>
          <w:tcPr>
            <w:tcW w:type="dxa" w:w="1337"/>
          </w:tcPr>
          <w:p>
            <w:pPr>
              <w:spacing w:line="276" w:lineRule="auto" w:before="40" w:after="40"/>
              <w:jc w:val="center"/>
            </w:pPr>
            <w:r>
              <w:rPr>
                <w:rFonts w:ascii="Times New Roman" w:hAnsi="Times New Roman"/>
                <w:color w:val="000000"/>
                <w:sz w:val="18"/>
              </w:rPr>
              <w:t>4.01</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0.264</w:t>
            </w:r>
          </w:p>
        </w:tc>
        <w:tc>
          <w:tcPr>
            <w:tcW w:type="dxa" w:w="1337"/>
          </w:tcPr>
          <w:p>
            <w:pPr>
              <w:spacing w:line="276" w:lineRule="auto" w:before="40" w:after="40"/>
              <w:jc w:val="center"/>
            </w:pPr>
            <w:r>
              <w:rPr>
                <w:rFonts w:ascii="Times New Roman" w:hAnsi="Times New Roman"/>
                <w:color w:val="000000"/>
                <w:sz w:val="18"/>
              </w:rPr>
              <w:t>5.02</w:t>
            </w:r>
          </w:p>
        </w:tc>
        <w:tc>
          <w:tcPr>
            <w:tcW w:type="dxa" w:w="1337"/>
          </w:tcPr>
          <w:p>
            <w:pPr>
              <w:spacing w:line="276" w:lineRule="auto" w:before="40" w:after="40"/>
              <w:jc w:val="center"/>
            </w:pPr>
            <w:r>
              <w:rPr>
                <w:rFonts w:ascii="Times New Roman" w:hAnsi="Times New Roman"/>
                <w:color w:val="000000"/>
                <w:sz w:val="18"/>
              </w:rPr>
              <w:t>-29.18</w:t>
            </w:r>
          </w:p>
        </w:tc>
        <w:tc>
          <w:tcPr>
            <w:tcW w:type="dxa" w:w="1337"/>
          </w:tcPr>
          <w:p>
            <w:pPr>
              <w:spacing w:line="276" w:lineRule="auto" w:before="40" w:after="40"/>
              <w:jc w:val="center"/>
            </w:pPr>
            <w:r>
              <w:rPr>
                <w:rFonts w:ascii="Times New Roman" w:hAnsi="Times New Roman"/>
                <w:color w:val="000000"/>
                <w:sz w:val="18"/>
              </w:rPr>
              <w:t>26.90</w:t>
            </w:r>
          </w:p>
        </w:tc>
        <w:tc>
          <w:tcPr>
            <w:tcW w:type="dxa" w:w="1337"/>
          </w:tcPr>
          <w:p>
            <w:pPr>
              <w:spacing w:line="276" w:lineRule="auto" w:before="40" w:after="40"/>
              <w:jc w:val="center"/>
            </w:pPr>
            <w:r>
              <w:rPr>
                <w:rFonts w:ascii="Times New Roman" w:hAnsi="Times New Roman"/>
                <w:color w:val="000000"/>
                <w:sz w:val="18"/>
              </w:rPr>
              <w:t>-0.19</w:t>
            </w:r>
          </w:p>
        </w:tc>
        <w:tc>
          <w:tcPr>
            <w:tcW w:type="dxa" w:w="1337"/>
          </w:tcPr>
          <w:p>
            <w:pPr>
              <w:spacing w:line="276" w:lineRule="auto" w:before="40" w:after="40"/>
              <w:jc w:val="center"/>
            </w:pPr>
            <w:r>
              <w:rPr>
                <w:rFonts w:ascii="Times New Roman" w:hAnsi="Times New Roman"/>
                <w:color w:val="000000"/>
                <w:sz w:val="18"/>
              </w:rPr>
              <w:t>5.01</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0.120</w:t>
            </w:r>
          </w:p>
        </w:tc>
        <w:tc>
          <w:tcPr>
            <w:tcW w:type="dxa" w:w="1337"/>
          </w:tcPr>
          <w:p>
            <w:pPr>
              <w:spacing w:line="276" w:lineRule="auto" w:before="40" w:after="40"/>
              <w:jc w:val="center"/>
            </w:pPr>
            <w:r>
              <w:rPr>
                <w:rFonts w:ascii="Times New Roman" w:hAnsi="Times New Roman"/>
                <w:color w:val="000000"/>
                <w:sz w:val="18"/>
              </w:rPr>
              <w:t>5.93</w:t>
            </w:r>
          </w:p>
        </w:tc>
        <w:tc>
          <w:tcPr>
            <w:tcW w:type="dxa" w:w="1337"/>
          </w:tcPr>
          <w:p>
            <w:pPr>
              <w:spacing w:line="276" w:lineRule="auto" w:before="40" w:after="40"/>
              <w:jc w:val="center"/>
            </w:pPr>
            <w:r>
              <w:rPr>
                <w:rFonts w:ascii="Times New Roman" w:hAnsi="Times New Roman"/>
                <w:color w:val="000000"/>
                <w:sz w:val="18"/>
              </w:rPr>
              <w:t>-25.57</w:t>
            </w:r>
          </w:p>
        </w:tc>
        <w:tc>
          <w:tcPr>
            <w:tcW w:type="dxa" w:w="1337"/>
          </w:tcPr>
          <w:p>
            <w:pPr>
              <w:spacing w:line="276" w:lineRule="auto" w:before="40" w:after="40"/>
              <w:jc w:val="center"/>
            </w:pPr>
            <w:r>
              <w:rPr>
                <w:rFonts w:ascii="Times New Roman" w:hAnsi="Times New Roman"/>
                <w:color w:val="000000"/>
                <w:sz w:val="18"/>
              </w:rPr>
              <w:t>28.57</w:t>
            </w:r>
          </w:p>
        </w:tc>
        <w:tc>
          <w:tcPr>
            <w:tcW w:type="dxa" w:w="1337"/>
          </w:tcPr>
          <w:p>
            <w:pPr>
              <w:spacing w:line="276" w:lineRule="auto" w:before="40" w:after="40"/>
              <w:jc w:val="center"/>
            </w:pPr>
            <w:r>
              <w:rPr>
                <w:rFonts w:ascii="Times New Roman" w:hAnsi="Times New Roman"/>
                <w:color w:val="000000"/>
                <w:sz w:val="18"/>
              </w:rPr>
              <w:t>0.49</w:t>
            </w:r>
          </w:p>
        </w:tc>
        <w:tc>
          <w:tcPr>
            <w:tcW w:type="dxa" w:w="1337"/>
          </w:tcPr>
          <w:p>
            <w:pPr>
              <w:spacing w:line="276" w:lineRule="auto" w:before="40" w:after="40"/>
              <w:jc w:val="center"/>
            </w:pPr>
            <w:r>
              <w:rPr>
                <w:rFonts w:ascii="Times New Roman" w:hAnsi="Times New Roman"/>
                <w:color w:val="000000"/>
                <w:sz w:val="18"/>
              </w:rPr>
              <w:t>4.14</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0.217</w:t>
            </w:r>
          </w:p>
        </w:tc>
        <w:tc>
          <w:tcPr>
            <w:tcW w:type="dxa" w:w="1337"/>
          </w:tcPr>
          <w:p>
            <w:pPr>
              <w:spacing w:line="276" w:lineRule="auto" w:before="40" w:after="40"/>
              <w:jc w:val="center"/>
            </w:pPr>
            <w:r>
              <w:rPr>
                <w:rFonts w:ascii="Times New Roman" w:hAnsi="Times New Roman"/>
                <w:color w:val="000000"/>
                <w:sz w:val="18"/>
              </w:rPr>
              <w:t>5.85</w:t>
            </w:r>
          </w:p>
        </w:tc>
        <w:tc>
          <w:tcPr>
            <w:tcW w:type="dxa" w:w="1337"/>
          </w:tcPr>
          <w:p>
            <w:pPr>
              <w:spacing w:line="276" w:lineRule="auto" w:before="40" w:after="40"/>
              <w:jc w:val="center"/>
            </w:pPr>
            <w:r>
              <w:rPr>
                <w:rFonts w:ascii="Times New Roman" w:hAnsi="Times New Roman"/>
                <w:color w:val="000000"/>
                <w:sz w:val="18"/>
              </w:rPr>
              <w:t>-20.07</w:t>
            </w:r>
          </w:p>
        </w:tc>
        <w:tc>
          <w:tcPr>
            <w:tcW w:type="dxa" w:w="1337"/>
          </w:tcPr>
          <w:p>
            <w:pPr>
              <w:spacing w:line="276" w:lineRule="auto" w:before="40" w:after="40"/>
              <w:jc w:val="center"/>
            </w:pPr>
            <w:r>
              <w:rPr>
                <w:rFonts w:ascii="Times New Roman" w:hAnsi="Times New Roman"/>
                <w:color w:val="000000"/>
                <w:sz w:val="18"/>
              </w:rPr>
              <w:t>28.57</w:t>
            </w:r>
          </w:p>
        </w:tc>
        <w:tc>
          <w:tcPr>
            <w:tcW w:type="dxa" w:w="1337"/>
          </w:tcPr>
          <w:p>
            <w:pPr>
              <w:spacing w:line="276" w:lineRule="auto" w:before="40" w:after="40"/>
              <w:jc w:val="center"/>
            </w:pPr>
            <w:r>
              <w:rPr>
                <w:rFonts w:ascii="Times New Roman" w:hAnsi="Times New Roman"/>
                <w:color w:val="000000"/>
                <w:sz w:val="18"/>
              </w:rPr>
              <w:t>0.77</w:t>
            </w:r>
          </w:p>
        </w:tc>
        <w:tc>
          <w:tcPr>
            <w:tcW w:type="dxa" w:w="1337"/>
          </w:tcPr>
          <w:p>
            <w:pPr>
              <w:spacing w:line="276" w:lineRule="auto" w:before="40" w:after="40"/>
              <w:jc w:val="center"/>
            </w:pPr>
            <w:r>
              <w:rPr>
                <w:rFonts w:ascii="Times New Roman" w:hAnsi="Times New Roman"/>
                <w:color w:val="000000"/>
                <w:sz w:val="18"/>
              </w:rPr>
              <w:t>4.31</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0.181</w:t>
            </w:r>
          </w:p>
        </w:tc>
        <w:tc>
          <w:tcPr>
            <w:tcW w:type="dxa" w:w="1337"/>
          </w:tcPr>
          <w:p>
            <w:pPr>
              <w:spacing w:line="276" w:lineRule="auto" w:before="40" w:after="40"/>
              <w:jc w:val="center"/>
            </w:pPr>
            <w:r>
              <w:rPr>
                <w:rFonts w:ascii="Times New Roman" w:hAnsi="Times New Roman"/>
                <w:color w:val="000000"/>
                <w:sz w:val="18"/>
              </w:rPr>
              <w:t>5.65</w:t>
            </w:r>
          </w:p>
        </w:tc>
        <w:tc>
          <w:tcPr>
            <w:tcW w:type="dxa" w:w="1337"/>
          </w:tcPr>
          <w:p>
            <w:pPr>
              <w:spacing w:line="276" w:lineRule="auto" w:before="40" w:after="40"/>
              <w:jc w:val="center"/>
            </w:pPr>
            <w:r>
              <w:rPr>
                <w:rFonts w:ascii="Times New Roman" w:hAnsi="Times New Roman"/>
                <w:color w:val="000000"/>
                <w:sz w:val="18"/>
              </w:rPr>
              <w:t>-35.85</w:t>
            </w:r>
          </w:p>
        </w:tc>
        <w:tc>
          <w:tcPr>
            <w:tcW w:type="dxa" w:w="1337"/>
          </w:tcPr>
          <w:p>
            <w:pPr>
              <w:spacing w:line="276" w:lineRule="auto" w:before="40" w:after="40"/>
              <w:jc w:val="center"/>
            </w:pPr>
            <w:r>
              <w:rPr>
                <w:rFonts w:ascii="Times New Roman" w:hAnsi="Times New Roman"/>
                <w:color w:val="000000"/>
                <w:sz w:val="18"/>
              </w:rPr>
              <w:t>34.60</w:t>
            </w:r>
          </w:p>
        </w:tc>
        <w:tc>
          <w:tcPr>
            <w:tcW w:type="dxa" w:w="1337"/>
          </w:tcPr>
          <w:p>
            <w:pPr>
              <w:spacing w:line="276" w:lineRule="auto" w:before="40" w:after="40"/>
              <w:jc w:val="center"/>
            </w:pPr>
            <w:r>
              <w:rPr>
                <w:rFonts w:ascii="Times New Roman" w:hAnsi="Times New Roman"/>
                <w:color w:val="000000"/>
                <w:sz w:val="18"/>
              </w:rPr>
              <w:t>0.13</w:t>
            </w:r>
          </w:p>
        </w:tc>
        <w:tc>
          <w:tcPr>
            <w:tcW w:type="dxa" w:w="1337"/>
          </w:tcPr>
          <w:p>
            <w:pPr>
              <w:spacing w:line="276" w:lineRule="auto" w:before="40" w:after="40"/>
              <w:jc w:val="center"/>
            </w:pPr>
            <w:r>
              <w:rPr>
                <w:rFonts w:ascii="Times New Roman" w:hAnsi="Times New Roman"/>
                <w:color w:val="000000"/>
                <w:sz w:val="18"/>
              </w:rPr>
              <w:t>5.15</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0.225</w:t>
            </w:r>
          </w:p>
        </w:tc>
        <w:tc>
          <w:tcPr>
            <w:tcW w:type="dxa" w:w="1337"/>
          </w:tcPr>
          <w:p>
            <w:pPr>
              <w:spacing w:line="276" w:lineRule="auto" w:before="40" w:after="40"/>
              <w:jc w:val="center"/>
            </w:pPr>
            <w:r>
              <w:rPr>
                <w:rFonts w:ascii="Times New Roman" w:hAnsi="Times New Roman"/>
                <w:color w:val="000000"/>
                <w:sz w:val="18"/>
              </w:rPr>
              <w:t>8.77</w:t>
            </w:r>
          </w:p>
        </w:tc>
        <w:tc>
          <w:tcPr>
            <w:tcW w:type="dxa" w:w="1337"/>
          </w:tcPr>
          <w:p>
            <w:pPr>
              <w:spacing w:line="276" w:lineRule="auto" w:before="40" w:after="40"/>
              <w:jc w:val="center"/>
            </w:pPr>
            <w:r>
              <w:rPr>
                <w:rFonts w:ascii="Times New Roman" w:hAnsi="Times New Roman"/>
                <w:color w:val="000000"/>
                <w:sz w:val="18"/>
              </w:rPr>
              <w:t>-127.16</w:t>
            </w:r>
          </w:p>
        </w:tc>
        <w:tc>
          <w:tcPr>
            <w:tcW w:type="dxa" w:w="1337"/>
          </w:tcPr>
          <w:p>
            <w:pPr>
              <w:spacing w:line="276" w:lineRule="auto" w:before="40" w:after="40"/>
              <w:jc w:val="center"/>
            </w:pPr>
            <w:r>
              <w:rPr>
                <w:rFonts w:ascii="Times New Roman" w:hAnsi="Times New Roman"/>
                <w:color w:val="000000"/>
                <w:sz w:val="18"/>
              </w:rPr>
              <w:t>103.22</w:t>
            </w:r>
          </w:p>
        </w:tc>
        <w:tc>
          <w:tcPr>
            <w:tcW w:type="dxa" w:w="1337"/>
          </w:tcPr>
          <w:p>
            <w:pPr>
              <w:spacing w:line="276" w:lineRule="auto" w:before="40" w:after="40"/>
              <w:jc w:val="center"/>
            </w:pPr>
            <w:r>
              <w:rPr>
                <w:rFonts w:ascii="Times New Roman" w:hAnsi="Times New Roman"/>
                <w:color w:val="000000"/>
                <w:sz w:val="18"/>
              </w:rPr>
              <w:t>-1.55</w:t>
            </w:r>
          </w:p>
        </w:tc>
        <w:tc>
          <w:tcPr>
            <w:tcW w:type="dxa" w:w="1337"/>
          </w:tcPr>
          <w:p>
            <w:pPr>
              <w:spacing w:line="276" w:lineRule="auto" w:before="40" w:after="40"/>
              <w:jc w:val="center"/>
            </w:pPr>
            <w:r>
              <w:rPr>
                <w:rFonts w:ascii="Times New Roman" w:hAnsi="Times New Roman"/>
                <w:color w:val="000000"/>
                <w:sz w:val="18"/>
              </w:rPr>
              <w:t>75.04</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0.370</w:t>
            </w:r>
          </w:p>
        </w:tc>
        <w:tc>
          <w:tcPr>
            <w:tcW w:type="dxa" w:w="1337"/>
          </w:tcPr>
          <w:p>
            <w:pPr>
              <w:spacing w:line="276" w:lineRule="auto" w:before="40" w:after="40"/>
              <w:jc w:val="center"/>
            </w:pPr>
            <w:r>
              <w:rPr>
                <w:rFonts w:ascii="Times New Roman" w:hAnsi="Times New Roman"/>
                <w:color w:val="000000"/>
                <w:sz w:val="18"/>
              </w:rPr>
              <w:t>6.34</w:t>
            </w:r>
          </w:p>
        </w:tc>
        <w:tc>
          <w:tcPr>
            <w:tcW w:type="dxa" w:w="1337"/>
          </w:tcPr>
          <w:p>
            <w:pPr>
              <w:spacing w:line="276" w:lineRule="auto" w:before="40" w:after="40"/>
              <w:jc w:val="center"/>
            </w:pPr>
            <w:r>
              <w:rPr>
                <w:rFonts w:ascii="Times New Roman" w:hAnsi="Times New Roman"/>
                <w:color w:val="000000"/>
                <w:sz w:val="18"/>
              </w:rPr>
              <w:t>-27.79</w:t>
            </w:r>
          </w:p>
        </w:tc>
        <w:tc>
          <w:tcPr>
            <w:tcW w:type="dxa" w:w="1337"/>
          </w:tcPr>
          <w:p>
            <w:pPr>
              <w:spacing w:line="276" w:lineRule="auto" w:before="40" w:after="40"/>
              <w:jc w:val="center"/>
            </w:pPr>
            <w:r>
              <w:rPr>
                <w:rFonts w:ascii="Times New Roman" w:hAnsi="Times New Roman"/>
                <w:color w:val="000000"/>
                <w:sz w:val="18"/>
              </w:rPr>
              <w:t>34.92</w:t>
            </w:r>
          </w:p>
        </w:tc>
        <w:tc>
          <w:tcPr>
            <w:tcW w:type="dxa" w:w="1337"/>
          </w:tcPr>
          <w:p>
            <w:pPr>
              <w:spacing w:line="276" w:lineRule="auto" w:before="40" w:after="40"/>
              <w:jc w:val="center"/>
            </w:pPr>
            <w:r>
              <w:rPr>
                <w:rFonts w:ascii="Times New Roman" w:hAnsi="Times New Roman"/>
                <w:color w:val="000000"/>
                <w:sz w:val="18"/>
              </w:rPr>
              <w:t>0.42</w:t>
            </w:r>
          </w:p>
        </w:tc>
        <w:tc>
          <w:tcPr>
            <w:tcW w:type="dxa" w:w="1337"/>
          </w:tcPr>
          <w:p>
            <w:pPr>
              <w:spacing w:line="276" w:lineRule="auto" w:before="40" w:after="40"/>
              <w:jc w:val="center"/>
            </w:pPr>
            <w:r>
              <w:rPr>
                <w:rFonts w:ascii="Times New Roman" w:hAnsi="Times New Roman"/>
                <w:color w:val="000000"/>
                <w:sz w:val="18"/>
              </w:rPr>
              <w:t>3.13</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0.356</w:t>
            </w:r>
          </w:p>
        </w:tc>
        <w:tc>
          <w:tcPr>
            <w:tcW w:type="dxa" w:w="1337"/>
          </w:tcPr>
          <w:p>
            <w:pPr>
              <w:spacing w:line="276" w:lineRule="auto" w:before="40" w:after="40"/>
              <w:jc w:val="center"/>
            </w:pPr>
            <w:r>
              <w:rPr>
                <w:rFonts w:ascii="Times New Roman" w:hAnsi="Times New Roman"/>
                <w:color w:val="000000"/>
                <w:sz w:val="18"/>
              </w:rPr>
              <w:t>6.38</w:t>
            </w:r>
          </w:p>
        </w:tc>
        <w:tc>
          <w:tcPr>
            <w:tcW w:type="dxa" w:w="1337"/>
          </w:tcPr>
          <w:p>
            <w:pPr>
              <w:spacing w:line="276" w:lineRule="auto" w:before="40" w:after="40"/>
              <w:jc w:val="center"/>
            </w:pPr>
            <w:r>
              <w:rPr>
                <w:rFonts w:ascii="Times New Roman" w:hAnsi="Times New Roman"/>
                <w:color w:val="000000"/>
                <w:sz w:val="18"/>
              </w:rPr>
              <w:t>-31.44</w:t>
            </w:r>
          </w:p>
        </w:tc>
        <w:tc>
          <w:tcPr>
            <w:tcW w:type="dxa" w:w="1337"/>
          </w:tcPr>
          <w:p>
            <w:pPr>
              <w:spacing w:line="276" w:lineRule="auto" w:before="40" w:after="40"/>
              <w:jc w:val="center"/>
            </w:pPr>
            <w:r>
              <w:rPr>
                <w:rFonts w:ascii="Times New Roman" w:hAnsi="Times New Roman"/>
                <w:color w:val="000000"/>
                <w:sz w:val="18"/>
              </w:rPr>
              <w:t>24.58</w:t>
            </w:r>
          </w:p>
        </w:tc>
        <w:tc>
          <w:tcPr>
            <w:tcW w:type="dxa" w:w="1337"/>
          </w:tcPr>
          <w:p>
            <w:pPr>
              <w:spacing w:line="276" w:lineRule="auto" w:before="40" w:after="40"/>
              <w:jc w:val="center"/>
            </w:pPr>
            <w:r>
              <w:rPr>
                <w:rFonts w:ascii="Times New Roman" w:hAnsi="Times New Roman"/>
                <w:color w:val="000000"/>
                <w:sz w:val="18"/>
              </w:rPr>
              <w:t>0.21</w:t>
            </w:r>
          </w:p>
        </w:tc>
        <w:tc>
          <w:tcPr>
            <w:tcW w:type="dxa" w:w="1337"/>
          </w:tcPr>
          <w:p>
            <w:pPr>
              <w:spacing w:line="276" w:lineRule="auto" w:before="40" w:after="40"/>
              <w:jc w:val="center"/>
            </w:pPr>
            <w:r>
              <w:rPr>
                <w:rFonts w:ascii="Times New Roman" w:hAnsi="Times New Roman"/>
                <w:color w:val="000000"/>
                <w:sz w:val="18"/>
              </w:rPr>
              <w:t>2.98</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0.271</w:t>
            </w:r>
          </w:p>
        </w:tc>
        <w:tc>
          <w:tcPr>
            <w:tcW w:type="dxa" w:w="1337"/>
          </w:tcPr>
          <w:p>
            <w:pPr>
              <w:spacing w:line="276" w:lineRule="auto" w:before="40" w:after="40"/>
              <w:jc w:val="center"/>
            </w:pPr>
            <w:r>
              <w:rPr>
                <w:rFonts w:ascii="Times New Roman" w:hAnsi="Times New Roman"/>
                <w:color w:val="000000"/>
                <w:sz w:val="18"/>
              </w:rPr>
              <w:t>4.37</w:t>
            </w:r>
          </w:p>
        </w:tc>
        <w:tc>
          <w:tcPr>
            <w:tcW w:type="dxa" w:w="1337"/>
          </w:tcPr>
          <w:p>
            <w:pPr>
              <w:spacing w:line="276" w:lineRule="auto" w:before="40" w:after="40"/>
              <w:jc w:val="center"/>
            </w:pPr>
            <w:r>
              <w:rPr>
                <w:rFonts w:ascii="Times New Roman" w:hAnsi="Times New Roman"/>
                <w:color w:val="000000"/>
                <w:sz w:val="18"/>
              </w:rPr>
              <w:t>-23.15</w:t>
            </w:r>
          </w:p>
        </w:tc>
        <w:tc>
          <w:tcPr>
            <w:tcW w:type="dxa" w:w="1337"/>
          </w:tcPr>
          <w:p>
            <w:pPr>
              <w:spacing w:line="276" w:lineRule="auto" w:before="40" w:after="40"/>
              <w:jc w:val="center"/>
            </w:pPr>
            <w:r>
              <w:rPr>
                <w:rFonts w:ascii="Times New Roman" w:hAnsi="Times New Roman"/>
                <w:color w:val="000000"/>
                <w:sz w:val="18"/>
              </w:rPr>
              <w:t>19.06</w:t>
            </w:r>
          </w:p>
        </w:tc>
        <w:tc>
          <w:tcPr>
            <w:tcW w:type="dxa" w:w="1337"/>
          </w:tcPr>
          <w:p>
            <w:pPr>
              <w:spacing w:line="276" w:lineRule="auto" w:before="40" w:after="40"/>
              <w:jc w:val="center"/>
            </w:pPr>
            <w:r>
              <w:rPr>
                <w:rFonts w:ascii="Times New Roman" w:hAnsi="Times New Roman"/>
                <w:color w:val="000000"/>
                <w:sz w:val="18"/>
              </w:rPr>
              <w:t>0.02</w:t>
            </w:r>
          </w:p>
        </w:tc>
        <w:tc>
          <w:tcPr>
            <w:tcW w:type="dxa" w:w="1337"/>
          </w:tcPr>
          <w:p>
            <w:pPr>
              <w:spacing w:line="276" w:lineRule="auto" w:before="40" w:after="40"/>
              <w:jc w:val="center"/>
            </w:pPr>
            <w:r>
              <w:rPr>
                <w:rFonts w:ascii="Times New Roman" w:hAnsi="Times New Roman"/>
                <w:color w:val="000000"/>
                <w:sz w:val="18"/>
              </w:rPr>
              <w:t>4.90</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0.059</w:t>
            </w:r>
          </w:p>
        </w:tc>
        <w:tc>
          <w:tcPr>
            <w:tcW w:type="dxa" w:w="1337"/>
          </w:tcPr>
          <w:p>
            <w:pPr>
              <w:spacing w:line="276" w:lineRule="auto" w:before="40" w:after="40"/>
              <w:jc w:val="center"/>
            </w:pPr>
            <w:r>
              <w:rPr>
                <w:rFonts w:ascii="Times New Roman" w:hAnsi="Times New Roman"/>
                <w:color w:val="000000"/>
                <w:sz w:val="18"/>
              </w:rPr>
              <w:t>5.71</w:t>
            </w:r>
          </w:p>
        </w:tc>
        <w:tc>
          <w:tcPr>
            <w:tcW w:type="dxa" w:w="1337"/>
          </w:tcPr>
          <w:p>
            <w:pPr>
              <w:spacing w:line="276" w:lineRule="auto" w:before="40" w:after="40"/>
              <w:jc w:val="center"/>
            </w:pPr>
            <w:r>
              <w:rPr>
                <w:rFonts w:ascii="Times New Roman" w:hAnsi="Times New Roman"/>
                <w:color w:val="000000"/>
                <w:sz w:val="18"/>
              </w:rPr>
              <w:t>-37.65</w:t>
            </w:r>
          </w:p>
        </w:tc>
        <w:tc>
          <w:tcPr>
            <w:tcW w:type="dxa" w:w="1337"/>
          </w:tcPr>
          <w:p>
            <w:pPr>
              <w:spacing w:line="276" w:lineRule="auto" w:before="40" w:after="40"/>
              <w:jc w:val="center"/>
            </w:pPr>
            <w:r>
              <w:rPr>
                <w:rFonts w:ascii="Times New Roman" w:hAnsi="Times New Roman"/>
                <w:color w:val="000000"/>
                <w:sz w:val="18"/>
              </w:rPr>
              <w:t>37.68</w:t>
            </w:r>
          </w:p>
        </w:tc>
        <w:tc>
          <w:tcPr>
            <w:tcW w:type="dxa" w:w="1337"/>
          </w:tcPr>
          <w:p>
            <w:pPr>
              <w:spacing w:line="276" w:lineRule="auto" w:before="40" w:after="40"/>
              <w:jc w:val="center"/>
            </w:pPr>
            <w:r>
              <w:rPr>
                <w:rFonts w:ascii="Times New Roman" w:hAnsi="Times New Roman"/>
                <w:color w:val="000000"/>
                <w:sz w:val="18"/>
              </w:rPr>
              <w:t>0.23</w:t>
            </w:r>
          </w:p>
        </w:tc>
        <w:tc>
          <w:tcPr>
            <w:tcW w:type="dxa" w:w="1337"/>
          </w:tcPr>
          <w:p>
            <w:pPr>
              <w:spacing w:line="276" w:lineRule="auto" w:before="40" w:after="40"/>
              <w:jc w:val="center"/>
            </w:pPr>
            <w:r>
              <w:rPr>
                <w:rFonts w:ascii="Times New Roman" w:hAnsi="Times New Roman"/>
                <w:color w:val="000000"/>
                <w:sz w:val="18"/>
              </w:rPr>
              <w:t>5.78</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0.554</w:t>
            </w:r>
          </w:p>
        </w:tc>
        <w:tc>
          <w:tcPr>
            <w:tcW w:type="dxa" w:w="1337"/>
          </w:tcPr>
          <w:p>
            <w:pPr>
              <w:spacing w:line="276" w:lineRule="auto" w:before="40" w:after="40"/>
              <w:jc w:val="center"/>
            </w:pPr>
            <w:r>
              <w:rPr>
                <w:rFonts w:ascii="Times New Roman" w:hAnsi="Times New Roman"/>
                <w:color w:val="000000"/>
                <w:sz w:val="18"/>
              </w:rPr>
              <w:t>5.39</w:t>
            </w:r>
          </w:p>
        </w:tc>
        <w:tc>
          <w:tcPr>
            <w:tcW w:type="dxa" w:w="1337"/>
          </w:tcPr>
          <w:p>
            <w:pPr>
              <w:spacing w:line="276" w:lineRule="auto" w:before="40" w:after="40"/>
              <w:jc w:val="center"/>
            </w:pPr>
            <w:r>
              <w:rPr>
                <w:rFonts w:ascii="Times New Roman" w:hAnsi="Times New Roman"/>
                <w:color w:val="000000"/>
                <w:sz w:val="18"/>
              </w:rPr>
              <w:t>-20.46</w:t>
            </w:r>
          </w:p>
        </w:tc>
        <w:tc>
          <w:tcPr>
            <w:tcW w:type="dxa" w:w="1337"/>
          </w:tcPr>
          <w:p>
            <w:pPr>
              <w:spacing w:line="276" w:lineRule="auto" w:before="40" w:after="40"/>
              <w:jc w:val="center"/>
            </w:pPr>
            <w:r>
              <w:rPr>
                <w:rFonts w:ascii="Times New Roman" w:hAnsi="Times New Roman"/>
                <w:color w:val="000000"/>
                <w:sz w:val="18"/>
              </w:rPr>
              <w:t>27.03</w:t>
            </w:r>
          </w:p>
        </w:tc>
        <w:tc>
          <w:tcPr>
            <w:tcW w:type="dxa" w:w="1337"/>
          </w:tcPr>
          <w:p>
            <w:pPr>
              <w:spacing w:line="276" w:lineRule="auto" w:before="40" w:after="40"/>
              <w:jc w:val="center"/>
            </w:pPr>
            <w:r>
              <w:rPr>
                <w:rFonts w:ascii="Times New Roman" w:hAnsi="Times New Roman"/>
                <w:color w:val="000000"/>
                <w:sz w:val="18"/>
              </w:rPr>
              <w:t>0.46</w:t>
            </w:r>
          </w:p>
        </w:tc>
        <w:tc>
          <w:tcPr>
            <w:tcW w:type="dxa" w:w="1337"/>
          </w:tcPr>
          <w:p>
            <w:pPr>
              <w:spacing w:line="276" w:lineRule="auto" w:before="40" w:after="40"/>
              <w:jc w:val="center"/>
            </w:pPr>
            <w:r>
              <w:rPr>
                <w:rFonts w:ascii="Times New Roman" w:hAnsi="Times New Roman"/>
                <w:color w:val="000000"/>
                <w:sz w:val="18"/>
              </w:rPr>
              <w:t>3.22</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0.672</w:t>
            </w:r>
          </w:p>
        </w:tc>
        <w:tc>
          <w:tcPr>
            <w:tcW w:type="dxa" w:w="1337"/>
          </w:tcPr>
          <w:p>
            <w:pPr>
              <w:spacing w:line="276" w:lineRule="auto" w:before="40" w:after="40"/>
              <w:jc w:val="center"/>
            </w:pPr>
            <w:r>
              <w:rPr>
                <w:rFonts w:ascii="Times New Roman" w:hAnsi="Times New Roman"/>
                <w:color w:val="000000"/>
                <w:sz w:val="18"/>
              </w:rPr>
              <w:t>5.48</w:t>
            </w:r>
          </w:p>
        </w:tc>
        <w:tc>
          <w:tcPr>
            <w:tcW w:type="dxa" w:w="1337"/>
          </w:tcPr>
          <w:p>
            <w:pPr>
              <w:spacing w:line="276" w:lineRule="auto" w:before="40" w:after="40"/>
              <w:jc w:val="center"/>
            </w:pPr>
            <w:r>
              <w:rPr>
                <w:rFonts w:ascii="Times New Roman" w:hAnsi="Times New Roman"/>
                <w:color w:val="000000"/>
                <w:sz w:val="18"/>
              </w:rPr>
              <w:t>-25.36</w:t>
            </w:r>
          </w:p>
        </w:tc>
        <w:tc>
          <w:tcPr>
            <w:tcW w:type="dxa" w:w="1337"/>
          </w:tcPr>
          <w:p>
            <w:pPr>
              <w:spacing w:line="276" w:lineRule="auto" w:before="40" w:after="40"/>
              <w:jc w:val="center"/>
            </w:pPr>
            <w:r>
              <w:rPr>
                <w:rFonts w:ascii="Times New Roman" w:hAnsi="Times New Roman"/>
                <w:color w:val="000000"/>
                <w:sz w:val="18"/>
              </w:rPr>
              <w:t>23.38</w:t>
            </w:r>
          </w:p>
        </w:tc>
        <w:tc>
          <w:tcPr>
            <w:tcW w:type="dxa" w:w="1337"/>
          </w:tcPr>
          <w:p>
            <w:pPr>
              <w:spacing w:line="276" w:lineRule="auto" w:before="40" w:after="40"/>
              <w:jc w:val="center"/>
            </w:pPr>
            <w:r>
              <w:rPr>
                <w:rFonts w:ascii="Times New Roman" w:hAnsi="Times New Roman"/>
                <w:color w:val="000000"/>
                <w:sz w:val="18"/>
              </w:rPr>
              <w:t>0.44</w:t>
            </w:r>
          </w:p>
        </w:tc>
        <w:tc>
          <w:tcPr>
            <w:tcW w:type="dxa" w:w="1337"/>
          </w:tcPr>
          <w:p>
            <w:pPr>
              <w:spacing w:line="276" w:lineRule="auto" w:before="40" w:after="40"/>
              <w:jc w:val="center"/>
            </w:pPr>
            <w:r>
              <w:rPr>
                <w:rFonts w:ascii="Times New Roman" w:hAnsi="Times New Roman"/>
                <w:color w:val="000000"/>
                <w:sz w:val="18"/>
              </w:rPr>
              <w:t>2.94</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0.244</w:t>
            </w:r>
          </w:p>
        </w:tc>
        <w:tc>
          <w:tcPr>
            <w:tcW w:type="dxa" w:w="1337"/>
          </w:tcPr>
          <w:p>
            <w:pPr>
              <w:spacing w:line="276" w:lineRule="auto" w:before="40" w:after="40"/>
              <w:jc w:val="center"/>
            </w:pPr>
            <w:r>
              <w:rPr>
                <w:rFonts w:ascii="Times New Roman" w:hAnsi="Times New Roman"/>
                <w:color w:val="000000"/>
                <w:sz w:val="18"/>
              </w:rPr>
              <w:t>5.39</w:t>
            </w:r>
          </w:p>
        </w:tc>
        <w:tc>
          <w:tcPr>
            <w:tcW w:type="dxa" w:w="1337"/>
          </w:tcPr>
          <w:p>
            <w:pPr>
              <w:spacing w:line="276" w:lineRule="auto" w:before="40" w:after="40"/>
              <w:jc w:val="center"/>
            </w:pPr>
            <w:r>
              <w:rPr>
                <w:rFonts w:ascii="Times New Roman" w:hAnsi="Times New Roman"/>
                <w:color w:val="000000"/>
                <w:sz w:val="18"/>
              </w:rPr>
              <w:t>-20.91</w:t>
            </w:r>
          </w:p>
        </w:tc>
        <w:tc>
          <w:tcPr>
            <w:tcW w:type="dxa" w:w="1337"/>
          </w:tcPr>
          <w:p>
            <w:pPr>
              <w:spacing w:line="276" w:lineRule="auto" w:before="40" w:after="40"/>
              <w:jc w:val="center"/>
            </w:pPr>
            <w:r>
              <w:rPr>
                <w:rFonts w:ascii="Times New Roman" w:hAnsi="Times New Roman"/>
                <w:color w:val="000000"/>
                <w:sz w:val="18"/>
              </w:rPr>
              <w:t>26.22</w:t>
            </w:r>
          </w:p>
        </w:tc>
        <w:tc>
          <w:tcPr>
            <w:tcW w:type="dxa" w:w="1337"/>
          </w:tcPr>
          <w:p>
            <w:pPr>
              <w:spacing w:line="276" w:lineRule="auto" w:before="40" w:after="40"/>
              <w:jc w:val="center"/>
            </w:pPr>
            <w:r>
              <w:rPr>
                <w:rFonts w:ascii="Times New Roman" w:hAnsi="Times New Roman"/>
                <w:color w:val="000000"/>
                <w:sz w:val="18"/>
              </w:rPr>
              <w:t>0.23</w:t>
            </w:r>
          </w:p>
        </w:tc>
        <w:tc>
          <w:tcPr>
            <w:tcW w:type="dxa" w:w="1337"/>
          </w:tcPr>
          <w:p>
            <w:pPr>
              <w:spacing w:line="276" w:lineRule="auto" w:before="40" w:after="40"/>
              <w:jc w:val="center"/>
            </w:pPr>
            <w:r>
              <w:rPr>
                <w:rFonts w:ascii="Times New Roman" w:hAnsi="Times New Roman"/>
                <w:color w:val="000000"/>
                <w:sz w:val="18"/>
              </w:rPr>
              <w:t>3.24</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0.199</w:t>
            </w:r>
          </w:p>
        </w:tc>
        <w:tc>
          <w:tcPr>
            <w:tcW w:type="dxa" w:w="1337"/>
          </w:tcPr>
          <w:p>
            <w:pPr>
              <w:spacing w:line="276" w:lineRule="auto" w:before="40" w:after="40"/>
              <w:jc w:val="center"/>
            </w:pPr>
            <w:r>
              <w:rPr>
                <w:rFonts w:ascii="Times New Roman" w:hAnsi="Times New Roman"/>
                <w:color w:val="000000"/>
                <w:sz w:val="18"/>
              </w:rPr>
              <w:t>6.95</w:t>
            </w:r>
          </w:p>
        </w:tc>
        <w:tc>
          <w:tcPr>
            <w:tcW w:type="dxa" w:w="1337"/>
          </w:tcPr>
          <w:p>
            <w:pPr>
              <w:spacing w:line="276" w:lineRule="auto" w:before="40" w:after="40"/>
              <w:jc w:val="center"/>
            </w:pPr>
            <w:r>
              <w:rPr>
                <w:rFonts w:ascii="Times New Roman" w:hAnsi="Times New Roman"/>
                <w:color w:val="000000"/>
                <w:sz w:val="18"/>
              </w:rPr>
              <w:t>-34.94</w:t>
            </w:r>
          </w:p>
        </w:tc>
        <w:tc>
          <w:tcPr>
            <w:tcW w:type="dxa" w:w="1337"/>
          </w:tcPr>
          <w:p>
            <w:pPr>
              <w:spacing w:line="276" w:lineRule="auto" w:before="40" w:after="40"/>
              <w:jc w:val="center"/>
            </w:pPr>
            <w:r>
              <w:rPr>
                <w:rFonts w:ascii="Times New Roman" w:hAnsi="Times New Roman"/>
                <w:color w:val="000000"/>
                <w:sz w:val="18"/>
              </w:rPr>
              <w:t>30.35</w:t>
            </w:r>
          </w:p>
        </w:tc>
        <w:tc>
          <w:tcPr>
            <w:tcW w:type="dxa" w:w="1337"/>
          </w:tcPr>
          <w:p>
            <w:pPr>
              <w:spacing w:line="276" w:lineRule="auto" w:before="40" w:after="40"/>
              <w:jc w:val="center"/>
            </w:pPr>
            <w:r>
              <w:rPr>
                <w:rFonts w:ascii="Times New Roman" w:hAnsi="Times New Roman"/>
                <w:color w:val="000000"/>
                <w:sz w:val="18"/>
              </w:rPr>
              <w:t>0.55</w:t>
            </w:r>
          </w:p>
        </w:tc>
        <w:tc>
          <w:tcPr>
            <w:tcW w:type="dxa" w:w="1337"/>
          </w:tcPr>
          <w:p>
            <w:pPr>
              <w:spacing w:line="276" w:lineRule="auto" w:before="40" w:after="40"/>
              <w:jc w:val="center"/>
            </w:pPr>
            <w:r>
              <w:rPr>
                <w:rFonts w:ascii="Times New Roman" w:hAnsi="Times New Roman"/>
                <w:color w:val="000000"/>
                <w:sz w:val="18"/>
              </w:rPr>
              <w:t>3.74</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0.538</w:t>
            </w:r>
          </w:p>
        </w:tc>
        <w:tc>
          <w:tcPr>
            <w:tcW w:type="dxa" w:w="1337"/>
          </w:tcPr>
          <w:p>
            <w:pPr>
              <w:spacing w:line="276" w:lineRule="auto" w:before="40" w:after="40"/>
              <w:jc w:val="center"/>
            </w:pPr>
            <w:r>
              <w:rPr>
                <w:rFonts w:ascii="Times New Roman" w:hAnsi="Times New Roman"/>
                <w:color w:val="000000"/>
                <w:sz w:val="18"/>
              </w:rPr>
              <w:t>10.20</w:t>
            </w:r>
          </w:p>
        </w:tc>
        <w:tc>
          <w:tcPr>
            <w:tcW w:type="dxa" w:w="1337"/>
          </w:tcPr>
          <w:p>
            <w:pPr>
              <w:spacing w:line="276" w:lineRule="auto" w:before="40" w:after="40"/>
              <w:jc w:val="center"/>
            </w:pPr>
            <w:r>
              <w:rPr>
                <w:rFonts w:ascii="Times New Roman" w:hAnsi="Times New Roman"/>
                <w:color w:val="000000"/>
                <w:sz w:val="18"/>
              </w:rPr>
              <w:t>-50.01</w:t>
            </w:r>
          </w:p>
        </w:tc>
        <w:tc>
          <w:tcPr>
            <w:tcW w:type="dxa" w:w="1337"/>
          </w:tcPr>
          <w:p>
            <w:pPr>
              <w:spacing w:line="276" w:lineRule="auto" w:before="40" w:after="40"/>
              <w:jc w:val="center"/>
            </w:pPr>
            <w:r>
              <w:rPr>
                <w:rFonts w:ascii="Times New Roman" w:hAnsi="Times New Roman"/>
                <w:color w:val="000000"/>
                <w:sz w:val="18"/>
              </w:rPr>
              <w:t>139.61</w:t>
            </w:r>
          </w:p>
        </w:tc>
        <w:tc>
          <w:tcPr>
            <w:tcW w:type="dxa" w:w="1337"/>
          </w:tcPr>
          <w:p>
            <w:pPr>
              <w:spacing w:line="276" w:lineRule="auto" w:before="40" w:after="40"/>
              <w:jc w:val="center"/>
            </w:pPr>
            <w:r>
              <w:rPr>
                <w:rFonts w:ascii="Times New Roman" w:hAnsi="Times New Roman"/>
                <w:color w:val="000000"/>
                <w:sz w:val="18"/>
              </w:rPr>
              <w:t>3.41</w:t>
            </w:r>
          </w:p>
        </w:tc>
        <w:tc>
          <w:tcPr>
            <w:tcW w:type="dxa" w:w="1337"/>
          </w:tcPr>
          <w:p>
            <w:pPr>
              <w:spacing w:line="276" w:lineRule="auto" w:before="40" w:after="40"/>
              <w:jc w:val="center"/>
            </w:pPr>
            <w:r>
              <w:rPr>
                <w:rFonts w:ascii="Times New Roman" w:hAnsi="Times New Roman"/>
                <w:color w:val="000000"/>
                <w:sz w:val="18"/>
              </w:rPr>
              <w:t>43.07</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0.156</w:t>
            </w:r>
          </w:p>
        </w:tc>
        <w:tc>
          <w:tcPr>
            <w:tcW w:type="dxa" w:w="1337"/>
          </w:tcPr>
          <w:p>
            <w:pPr>
              <w:spacing w:line="276" w:lineRule="auto" w:before="40" w:after="40"/>
              <w:jc w:val="center"/>
            </w:pPr>
            <w:r>
              <w:rPr>
                <w:rFonts w:ascii="Times New Roman" w:hAnsi="Times New Roman"/>
                <w:color w:val="000000"/>
                <w:sz w:val="18"/>
              </w:rPr>
              <w:t>6.71</w:t>
            </w:r>
          </w:p>
        </w:tc>
        <w:tc>
          <w:tcPr>
            <w:tcW w:type="dxa" w:w="1337"/>
          </w:tcPr>
          <w:p>
            <w:pPr>
              <w:spacing w:line="276" w:lineRule="auto" w:before="40" w:after="40"/>
              <w:jc w:val="center"/>
            </w:pPr>
            <w:r>
              <w:rPr>
                <w:rFonts w:ascii="Times New Roman" w:hAnsi="Times New Roman"/>
                <w:color w:val="000000"/>
                <w:sz w:val="18"/>
              </w:rPr>
              <w:t>-31.59</w:t>
            </w:r>
          </w:p>
        </w:tc>
        <w:tc>
          <w:tcPr>
            <w:tcW w:type="dxa" w:w="1337"/>
          </w:tcPr>
          <w:p>
            <w:pPr>
              <w:spacing w:line="276" w:lineRule="auto" w:before="40" w:after="40"/>
              <w:jc w:val="center"/>
            </w:pPr>
            <w:r>
              <w:rPr>
                <w:rFonts w:ascii="Times New Roman" w:hAnsi="Times New Roman"/>
                <w:color w:val="000000"/>
                <w:sz w:val="18"/>
              </w:rPr>
              <w:t>47.43</w:t>
            </w:r>
          </w:p>
        </w:tc>
        <w:tc>
          <w:tcPr>
            <w:tcW w:type="dxa" w:w="1337"/>
          </w:tcPr>
          <w:p>
            <w:pPr>
              <w:spacing w:line="276" w:lineRule="auto" w:before="40" w:after="40"/>
              <w:jc w:val="center"/>
            </w:pPr>
            <w:r>
              <w:rPr>
                <w:rFonts w:ascii="Times New Roman" w:hAnsi="Times New Roman"/>
                <w:color w:val="000000"/>
                <w:sz w:val="18"/>
              </w:rPr>
              <w:t>0.38</w:t>
            </w:r>
          </w:p>
        </w:tc>
        <w:tc>
          <w:tcPr>
            <w:tcW w:type="dxa" w:w="1337"/>
          </w:tcPr>
          <w:p>
            <w:pPr>
              <w:spacing w:line="276" w:lineRule="auto" w:before="40" w:after="40"/>
              <w:jc w:val="center"/>
            </w:pPr>
            <w:r>
              <w:rPr>
                <w:rFonts w:ascii="Times New Roman" w:hAnsi="Times New Roman"/>
                <w:color w:val="000000"/>
                <w:sz w:val="18"/>
              </w:rPr>
              <w:t>4.74</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0.216</w:t>
            </w:r>
          </w:p>
        </w:tc>
        <w:tc>
          <w:tcPr>
            <w:tcW w:type="dxa" w:w="1337"/>
          </w:tcPr>
          <w:p>
            <w:pPr>
              <w:spacing w:line="276" w:lineRule="auto" w:before="40" w:after="40"/>
              <w:jc w:val="center"/>
            </w:pPr>
            <w:r>
              <w:rPr>
                <w:rFonts w:ascii="Times New Roman" w:hAnsi="Times New Roman"/>
                <w:color w:val="000000"/>
                <w:sz w:val="18"/>
              </w:rPr>
              <w:t>6.18</w:t>
            </w:r>
          </w:p>
        </w:tc>
        <w:tc>
          <w:tcPr>
            <w:tcW w:type="dxa" w:w="1337"/>
          </w:tcPr>
          <w:p>
            <w:pPr>
              <w:spacing w:line="276" w:lineRule="auto" w:before="40" w:after="40"/>
              <w:jc w:val="center"/>
            </w:pPr>
            <w:r>
              <w:rPr>
                <w:rFonts w:ascii="Times New Roman" w:hAnsi="Times New Roman"/>
                <w:color w:val="000000"/>
                <w:sz w:val="18"/>
              </w:rPr>
              <w:t>-21.67</w:t>
            </w:r>
          </w:p>
        </w:tc>
        <w:tc>
          <w:tcPr>
            <w:tcW w:type="dxa" w:w="1337"/>
          </w:tcPr>
          <w:p>
            <w:pPr>
              <w:spacing w:line="276" w:lineRule="auto" w:before="40" w:after="40"/>
              <w:jc w:val="center"/>
            </w:pPr>
            <w:r>
              <w:rPr>
                <w:rFonts w:ascii="Times New Roman" w:hAnsi="Times New Roman"/>
                <w:color w:val="000000"/>
                <w:sz w:val="18"/>
              </w:rPr>
              <w:t>29.45</w:t>
            </w:r>
          </w:p>
        </w:tc>
        <w:tc>
          <w:tcPr>
            <w:tcW w:type="dxa" w:w="1337"/>
          </w:tcPr>
          <w:p>
            <w:pPr>
              <w:spacing w:line="276" w:lineRule="auto" w:before="40" w:after="40"/>
              <w:jc w:val="center"/>
            </w:pPr>
            <w:r>
              <w:rPr>
                <w:rFonts w:ascii="Times New Roman" w:hAnsi="Times New Roman"/>
                <w:color w:val="000000"/>
                <w:sz w:val="18"/>
              </w:rPr>
              <w:t>0.35</w:t>
            </w:r>
          </w:p>
        </w:tc>
        <w:tc>
          <w:tcPr>
            <w:tcW w:type="dxa" w:w="1337"/>
          </w:tcPr>
          <w:p>
            <w:pPr>
              <w:spacing w:line="276" w:lineRule="auto" w:before="40" w:after="40"/>
              <w:jc w:val="center"/>
            </w:pPr>
            <w:r>
              <w:rPr>
                <w:rFonts w:ascii="Times New Roman" w:hAnsi="Times New Roman"/>
                <w:color w:val="000000"/>
                <w:sz w:val="18"/>
              </w:rPr>
              <w:t>2.82</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0.147</w:t>
            </w:r>
          </w:p>
        </w:tc>
        <w:tc>
          <w:tcPr>
            <w:tcW w:type="dxa" w:w="1337"/>
          </w:tcPr>
          <w:p>
            <w:pPr>
              <w:spacing w:line="276" w:lineRule="auto" w:before="40" w:after="40"/>
              <w:jc w:val="center"/>
            </w:pPr>
            <w:r>
              <w:rPr>
                <w:rFonts w:ascii="Times New Roman" w:hAnsi="Times New Roman"/>
                <w:color w:val="000000"/>
                <w:sz w:val="18"/>
              </w:rPr>
              <w:t>5.84</w:t>
            </w:r>
          </w:p>
        </w:tc>
        <w:tc>
          <w:tcPr>
            <w:tcW w:type="dxa" w:w="1337"/>
          </w:tcPr>
          <w:p>
            <w:pPr>
              <w:spacing w:line="276" w:lineRule="auto" w:before="40" w:after="40"/>
              <w:jc w:val="center"/>
            </w:pPr>
            <w:r>
              <w:rPr>
                <w:rFonts w:ascii="Times New Roman" w:hAnsi="Times New Roman"/>
                <w:color w:val="000000"/>
                <w:sz w:val="18"/>
              </w:rPr>
              <w:t>-30.91</w:t>
            </w:r>
          </w:p>
        </w:tc>
        <w:tc>
          <w:tcPr>
            <w:tcW w:type="dxa" w:w="1337"/>
          </w:tcPr>
          <w:p>
            <w:pPr>
              <w:spacing w:line="276" w:lineRule="auto" w:before="40" w:after="40"/>
              <w:jc w:val="center"/>
            </w:pPr>
            <w:r>
              <w:rPr>
                <w:rFonts w:ascii="Times New Roman" w:hAnsi="Times New Roman"/>
                <w:color w:val="000000"/>
                <w:sz w:val="18"/>
              </w:rPr>
              <w:t>29.16</w:t>
            </w:r>
          </w:p>
        </w:tc>
        <w:tc>
          <w:tcPr>
            <w:tcW w:type="dxa" w:w="1337"/>
          </w:tcPr>
          <w:p>
            <w:pPr>
              <w:spacing w:line="276" w:lineRule="auto" w:before="40" w:after="40"/>
              <w:jc w:val="center"/>
            </w:pPr>
            <w:r>
              <w:rPr>
                <w:rFonts w:ascii="Times New Roman" w:hAnsi="Times New Roman"/>
                <w:color w:val="000000"/>
                <w:sz w:val="18"/>
              </w:rPr>
              <w:t>-0.04</w:t>
            </w:r>
          </w:p>
        </w:tc>
        <w:tc>
          <w:tcPr>
            <w:tcW w:type="dxa" w:w="1337"/>
          </w:tcPr>
          <w:p>
            <w:pPr>
              <w:spacing w:line="276" w:lineRule="auto" w:before="40" w:after="40"/>
              <w:jc w:val="center"/>
            </w:pPr>
            <w:r>
              <w:rPr>
                <w:rFonts w:ascii="Times New Roman" w:hAnsi="Times New Roman"/>
                <w:color w:val="000000"/>
                <w:sz w:val="18"/>
              </w:rPr>
              <w:t>3.30</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0.350</w:t>
            </w:r>
          </w:p>
        </w:tc>
        <w:tc>
          <w:tcPr>
            <w:tcW w:type="dxa" w:w="1337"/>
          </w:tcPr>
          <w:p>
            <w:pPr>
              <w:spacing w:line="276" w:lineRule="auto" w:before="40" w:after="40"/>
              <w:jc w:val="center"/>
            </w:pPr>
            <w:r>
              <w:rPr>
                <w:rFonts w:ascii="Times New Roman" w:hAnsi="Times New Roman"/>
                <w:color w:val="000000"/>
                <w:sz w:val="18"/>
              </w:rPr>
              <w:t>8.60</w:t>
            </w:r>
          </w:p>
        </w:tc>
        <w:tc>
          <w:tcPr>
            <w:tcW w:type="dxa" w:w="1337"/>
          </w:tcPr>
          <w:p>
            <w:pPr>
              <w:spacing w:line="276" w:lineRule="auto" w:before="40" w:after="40"/>
              <w:jc w:val="center"/>
            </w:pPr>
            <w:r>
              <w:rPr>
                <w:rFonts w:ascii="Times New Roman" w:hAnsi="Times New Roman"/>
                <w:color w:val="000000"/>
                <w:sz w:val="18"/>
              </w:rPr>
              <w:t>-33.00</w:t>
            </w:r>
          </w:p>
        </w:tc>
        <w:tc>
          <w:tcPr>
            <w:tcW w:type="dxa" w:w="1337"/>
          </w:tcPr>
          <w:p>
            <w:pPr>
              <w:spacing w:line="276" w:lineRule="auto" w:before="40" w:after="40"/>
              <w:jc w:val="center"/>
            </w:pPr>
            <w:r>
              <w:rPr>
                <w:rFonts w:ascii="Times New Roman" w:hAnsi="Times New Roman"/>
                <w:color w:val="000000"/>
                <w:sz w:val="18"/>
              </w:rPr>
              <w:t>106.29</w:t>
            </w:r>
          </w:p>
        </w:tc>
        <w:tc>
          <w:tcPr>
            <w:tcW w:type="dxa" w:w="1337"/>
          </w:tcPr>
          <w:p>
            <w:pPr>
              <w:spacing w:line="276" w:lineRule="auto" w:before="40" w:after="40"/>
              <w:jc w:val="center"/>
            </w:pPr>
            <w:r>
              <w:rPr>
                <w:rFonts w:ascii="Times New Roman" w:hAnsi="Times New Roman"/>
                <w:color w:val="000000"/>
                <w:sz w:val="18"/>
              </w:rPr>
              <w:t>2.86</w:t>
            </w:r>
          </w:p>
        </w:tc>
        <w:tc>
          <w:tcPr>
            <w:tcW w:type="dxa" w:w="1337"/>
          </w:tcPr>
          <w:p>
            <w:pPr>
              <w:spacing w:line="276" w:lineRule="auto" w:before="40" w:after="40"/>
              <w:jc w:val="center"/>
            </w:pPr>
            <w:r>
              <w:rPr>
                <w:rFonts w:ascii="Times New Roman" w:hAnsi="Times New Roman"/>
                <w:color w:val="000000"/>
                <w:sz w:val="18"/>
              </w:rPr>
              <w:t>29.82</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0.205</w:t>
            </w:r>
          </w:p>
        </w:tc>
        <w:tc>
          <w:tcPr>
            <w:tcW w:type="dxa" w:w="1337"/>
          </w:tcPr>
          <w:p>
            <w:pPr>
              <w:spacing w:line="276" w:lineRule="auto" w:before="40" w:after="40"/>
              <w:jc w:val="center"/>
            </w:pPr>
            <w:r>
              <w:rPr>
                <w:rFonts w:ascii="Times New Roman" w:hAnsi="Times New Roman"/>
                <w:color w:val="000000"/>
                <w:sz w:val="18"/>
              </w:rPr>
              <w:t>5.28</w:t>
            </w:r>
          </w:p>
        </w:tc>
        <w:tc>
          <w:tcPr>
            <w:tcW w:type="dxa" w:w="1337"/>
          </w:tcPr>
          <w:p>
            <w:pPr>
              <w:spacing w:line="276" w:lineRule="auto" w:before="40" w:after="40"/>
              <w:jc w:val="center"/>
            </w:pPr>
            <w:r>
              <w:rPr>
                <w:rFonts w:ascii="Times New Roman" w:hAnsi="Times New Roman"/>
                <w:color w:val="000000"/>
                <w:sz w:val="18"/>
              </w:rPr>
              <w:t>-45.70</w:t>
            </w:r>
          </w:p>
        </w:tc>
        <w:tc>
          <w:tcPr>
            <w:tcW w:type="dxa" w:w="1337"/>
          </w:tcPr>
          <w:p>
            <w:pPr>
              <w:spacing w:line="276" w:lineRule="auto" w:before="40" w:after="40"/>
              <w:jc w:val="center"/>
            </w:pPr>
            <w:r>
              <w:rPr>
                <w:rFonts w:ascii="Times New Roman" w:hAnsi="Times New Roman"/>
                <w:color w:val="000000"/>
                <w:sz w:val="18"/>
              </w:rPr>
              <w:t>28.17</w:t>
            </w:r>
          </w:p>
        </w:tc>
        <w:tc>
          <w:tcPr>
            <w:tcW w:type="dxa" w:w="1337"/>
          </w:tcPr>
          <w:p>
            <w:pPr>
              <w:spacing w:line="276" w:lineRule="auto" w:before="40" w:after="40"/>
              <w:jc w:val="center"/>
            </w:pPr>
            <w:r>
              <w:rPr>
                <w:rFonts w:ascii="Times New Roman" w:hAnsi="Times New Roman"/>
                <w:color w:val="000000"/>
                <w:sz w:val="18"/>
              </w:rPr>
              <w:t>-0.80</w:t>
            </w:r>
          </w:p>
        </w:tc>
        <w:tc>
          <w:tcPr>
            <w:tcW w:type="dxa" w:w="1337"/>
          </w:tcPr>
          <w:p>
            <w:pPr>
              <w:spacing w:line="276" w:lineRule="auto" w:before="40" w:after="40"/>
              <w:jc w:val="center"/>
            </w:pPr>
            <w:r>
              <w:rPr>
                <w:rFonts w:ascii="Times New Roman" w:hAnsi="Times New Roman"/>
                <w:color w:val="000000"/>
                <w:sz w:val="18"/>
              </w:rPr>
              <w:t>9.92</w:t>
            </w:r>
          </w:p>
        </w:tc>
      </w:tr>
    </w:tbl>
    <w:p>
      <w:pPr>
        <w:spacing w:after="120"/>
      </w:pPr>
    </w:p>
    <w:p>
      <w:pPr>
        <w:spacing w:line="480" w:lineRule="auto" w:before="0" w:after="0"/>
        <w:jc w:val="left"/>
      </w:pPr>
      <w:r>
        <w:rPr>
          <w:rFonts w:ascii="Times New Roman" w:hAnsi="Times New Roman"/>
          <w:i/>
          <w:color w:val="000000"/>
          <w:sz w:val="20"/>
        </w:rPr>
        <w:t>Source: Author's computation (2026). Note: Kurtosis represents excess kurtosis across all 28 assets.</w:t>
      </w:r>
    </w:p>
    <w:p>
      <w:pPr>
        <w:spacing w:line="480" w:lineRule="auto" w:before="0" w:after="0"/>
        <w:jc w:val="left"/>
      </w:pPr>
      <w:r>
        <w:rPr>
          <w:rFonts w:ascii="Times New Roman" w:hAnsi="Times New Roman"/>
          <w:b/>
          <w:color w:val="000000"/>
          <w:sz w:val="24"/>
        </w:rPr>
        <w:t>4.3 Statistical Non-Normality and Stationarity Diagnostic Tests</w:t>
      </w:r>
    </w:p>
    <w:p>
      <w:pPr>
        <w:spacing w:line="480" w:lineRule="auto" w:before="0" w:after="0"/>
        <w:jc w:val="both"/>
      </w:pPr>
      <w:r>
        <w:rPr>
          <w:rFonts w:ascii="Times New Roman" w:hAnsi="Times New Roman"/>
          <w:color w:val="000000"/>
          <w:sz w:val="24"/>
        </w:rPr>
        <w:t>To evaluate whether the empirical asset return distributions satisfy the classic Markowitz Mean-Variance assumption of Gaussian normality, formal statistical hypothesis tests were conducted. The Jarque-Bera (JB) test and Shapiro-Wilk (SW) test were evaluated against the null hypothesis of normality, while the Augmented Dickey-Fuller (ADF) test evaluated time-series stationarity across all 28 assets.</w:t>
      </w:r>
    </w:p>
    <w:p>
      <w:pPr>
        <w:spacing w:line="480" w:lineRule="auto" w:before="0" w:after="0"/>
        <w:jc w:val="left"/>
      </w:pPr>
      <w:r>
        <w:rPr>
          <w:rFonts w:ascii="Times New Roman" w:hAnsi="Times New Roman"/>
          <w:b/>
          <w:color w:val="000000"/>
          <w:sz w:val="24"/>
        </w:rPr>
        <w:t>Table 4.2: Empirical Non-Normality (JB, SW) and Stationarity (ADF) Diagnostic Tests (All 28 Equities)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JB Stat</w:t>
            </w:r>
          </w:p>
        </w:tc>
        <w:tc>
          <w:tcPr>
            <w:tcW w:type="dxa" w:w="1337"/>
            <w:shd w:val="clear" w:color="auto" w:fill="F2F2F2"/>
          </w:tcPr>
          <w:p>
            <w:pPr>
              <w:spacing w:line="276" w:lineRule="auto" w:before="40" w:after="40"/>
              <w:jc w:val="center"/>
            </w:pPr>
            <w:r>
              <w:rPr>
                <w:rFonts w:ascii="Times New Roman" w:hAnsi="Times New Roman"/>
                <w:b/>
                <w:color w:val="000000"/>
                <w:sz w:val="19"/>
              </w:rPr>
              <w:t>JB p-val</w:t>
            </w:r>
          </w:p>
        </w:tc>
        <w:tc>
          <w:tcPr>
            <w:tcW w:type="dxa" w:w="1337"/>
            <w:shd w:val="clear" w:color="auto" w:fill="F2F2F2"/>
          </w:tcPr>
          <w:p>
            <w:pPr>
              <w:spacing w:line="276" w:lineRule="auto" w:before="40" w:after="40"/>
              <w:jc w:val="center"/>
            </w:pPr>
            <w:r>
              <w:rPr>
                <w:rFonts w:ascii="Times New Roman" w:hAnsi="Times New Roman"/>
                <w:b/>
                <w:color w:val="000000"/>
                <w:sz w:val="19"/>
              </w:rPr>
              <w:t>SW Stat</w:t>
            </w:r>
          </w:p>
        </w:tc>
        <w:tc>
          <w:tcPr>
            <w:tcW w:type="dxa" w:w="1337"/>
            <w:shd w:val="clear" w:color="auto" w:fill="F2F2F2"/>
          </w:tcPr>
          <w:p>
            <w:pPr>
              <w:spacing w:line="276" w:lineRule="auto" w:before="40" w:after="40"/>
              <w:jc w:val="center"/>
            </w:pPr>
            <w:r>
              <w:rPr>
                <w:rFonts w:ascii="Times New Roman" w:hAnsi="Times New Roman"/>
                <w:b/>
                <w:color w:val="000000"/>
                <w:sz w:val="19"/>
              </w:rPr>
              <w:t>ADF Stat</w:t>
            </w:r>
          </w:p>
        </w:tc>
        <w:tc>
          <w:tcPr>
            <w:tcW w:type="dxa" w:w="1337"/>
            <w:shd w:val="clear" w:color="auto" w:fill="F2F2F2"/>
          </w:tcPr>
          <w:p>
            <w:pPr>
              <w:spacing w:line="276" w:lineRule="auto" w:before="40" w:after="40"/>
              <w:jc w:val="center"/>
            </w:pPr>
            <w:r>
              <w:rPr>
                <w:rFonts w:ascii="Times New Roman" w:hAnsi="Times New Roman"/>
                <w:b/>
                <w:color w:val="000000"/>
                <w:sz w:val="19"/>
              </w:rPr>
              <w:t>ADF p-val</w:t>
            </w:r>
          </w:p>
        </w:tc>
        <w:tc>
          <w:tcPr>
            <w:tcW w:type="dxa" w:w="1337"/>
            <w:shd w:val="clear" w:color="auto" w:fill="F2F2F2"/>
          </w:tcPr>
          <w:p>
            <w:pPr>
              <w:spacing w:line="276" w:lineRule="auto" w:before="40" w:after="40"/>
              <w:jc w:val="center"/>
            </w:pPr>
            <w:r>
              <w:rPr>
                <w:rFonts w:ascii="Times New Roman" w:hAnsi="Times New Roman"/>
                <w:b/>
                <w:color w:val="000000"/>
                <w:sz w:val="19"/>
              </w:rPr>
              <w:t>Stationary</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2087.1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0.776</w:t>
            </w:r>
          </w:p>
        </w:tc>
        <w:tc>
          <w:tcPr>
            <w:tcW w:type="dxa" w:w="1337"/>
          </w:tcPr>
          <w:p>
            <w:pPr>
              <w:spacing w:line="276" w:lineRule="auto" w:before="40" w:after="40"/>
              <w:jc w:val="center"/>
            </w:pPr>
            <w:r>
              <w:rPr>
                <w:rFonts w:ascii="Times New Roman" w:hAnsi="Times New Roman"/>
                <w:color w:val="000000"/>
                <w:sz w:val="18"/>
              </w:rPr>
              <w:t>-25.69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181.1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0.951</w:t>
            </w:r>
          </w:p>
        </w:tc>
        <w:tc>
          <w:tcPr>
            <w:tcW w:type="dxa" w:w="1337"/>
          </w:tcPr>
          <w:p>
            <w:pPr>
              <w:spacing w:line="276" w:lineRule="auto" w:before="40" w:after="40"/>
              <w:jc w:val="center"/>
            </w:pPr>
            <w:r>
              <w:rPr>
                <w:rFonts w:ascii="Times New Roman" w:hAnsi="Times New Roman"/>
                <w:color w:val="000000"/>
                <w:sz w:val="18"/>
              </w:rPr>
              <w:t>-31.89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7652.5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0.794</w:t>
            </w:r>
          </w:p>
        </w:tc>
        <w:tc>
          <w:tcPr>
            <w:tcW w:type="dxa" w:w="1337"/>
          </w:tcPr>
          <w:p>
            <w:pPr>
              <w:spacing w:line="276" w:lineRule="auto" w:before="40" w:after="40"/>
              <w:jc w:val="center"/>
            </w:pPr>
            <w:r>
              <w:rPr>
                <w:rFonts w:ascii="Times New Roman" w:hAnsi="Times New Roman"/>
                <w:color w:val="000000"/>
                <w:sz w:val="18"/>
              </w:rPr>
              <w:t>-11.74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467.7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-5.42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637.1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-16.12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528.6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0.939</w:t>
            </w:r>
          </w:p>
        </w:tc>
        <w:tc>
          <w:tcPr>
            <w:tcW w:type="dxa" w:w="1337"/>
          </w:tcPr>
          <w:p>
            <w:pPr>
              <w:spacing w:line="276" w:lineRule="auto" w:before="40" w:after="40"/>
              <w:jc w:val="center"/>
            </w:pPr>
            <w:r>
              <w:rPr>
                <w:rFonts w:ascii="Times New Roman" w:hAnsi="Times New Roman"/>
                <w:color w:val="000000"/>
                <w:sz w:val="18"/>
              </w:rPr>
              <w:t>-14.02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372.8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0.948</w:t>
            </w:r>
          </w:p>
        </w:tc>
        <w:tc>
          <w:tcPr>
            <w:tcW w:type="dxa" w:w="1337"/>
          </w:tcPr>
          <w:p>
            <w:pPr>
              <w:spacing w:line="276" w:lineRule="auto" w:before="40" w:after="40"/>
              <w:jc w:val="center"/>
            </w:pPr>
            <w:r>
              <w:rPr>
                <w:rFonts w:ascii="Times New Roman" w:hAnsi="Times New Roman"/>
                <w:color w:val="000000"/>
                <w:sz w:val="18"/>
              </w:rPr>
              <w:t>-32.13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531.0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0.935</w:t>
            </w:r>
          </w:p>
        </w:tc>
        <w:tc>
          <w:tcPr>
            <w:tcW w:type="dxa" w:w="1337"/>
          </w:tcPr>
          <w:p>
            <w:pPr>
              <w:spacing w:line="276" w:lineRule="auto" w:before="40" w:after="40"/>
              <w:jc w:val="center"/>
            </w:pPr>
            <w:r>
              <w:rPr>
                <w:rFonts w:ascii="Times New Roman" w:hAnsi="Times New Roman"/>
                <w:color w:val="000000"/>
                <w:sz w:val="18"/>
              </w:rPr>
              <w:t>-30.14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617.0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0.931</w:t>
            </w:r>
          </w:p>
        </w:tc>
        <w:tc>
          <w:tcPr>
            <w:tcW w:type="dxa" w:w="1337"/>
          </w:tcPr>
          <w:p>
            <w:pPr>
              <w:spacing w:line="276" w:lineRule="auto" w:before="40" w:after="40"/>
              <w:jc w:val="center"/>
            </w:pPr>
            <w:r>
              <w:rPr>
                <w:rFonts w:ascii="Times New Roman" w:hAnsi="Times New Roman"/>
                <w:color w:val="000000"/>
                <w:sz w:val="18"/>
              </w:rPr>
              <w:t>-9.01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877.0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-30.74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629.1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0.890</w:t>
            </w:r>
          </w:p>
        </w:tc>
        <w:tc>
          <w:tcPr>
            <w:tcW w:type="dxa" w:w="1337"/>
          </w:tcPr>
          <w:p>
            <w:pPr>
              <w:spacing w:line="276" w:lineRule="auto" w:before="40" w:after="40"/>
              <w:jc w:val="center"/>
            </w:pPr>
            <w:r>
              <w:rPr>
                <w:rFonts w:ascii="Times New Roman" w:hAnsi="Times New Roman"/>
                <w:color w:val="000000"/>
                <w:sz w:val="18"/>
              </w:rPr>
              <w:t>-17.00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727.9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0.863</w:t>
            </w:r>
          </w:p>
        </w:tc>
        <w:tc>
          <w:tcPr>
            <w:tcW w:type="dxa" w:w="1337"/>
          </w:tcPr>
          <w:p>
            <w:pPr>
              <w:spacing w:line="276" w:lineRule="auto" w:before="40" w:after="40"/>
              <w:jc w:val="center"/>
            </w:pPr>
            <w:r>
              <w:rPr>
                <w:rFonts w:ascii="Times New Roman" w:hAnsi="Times New Roman"/>
                <w:color w:val="000000"/>
                <w:sz w:val="18"/>
              </w:rPr>
              <w:t>-7.42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925.3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-18.98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196037.5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0.708</w:t>
            </w:r>
          </w:p>
        </w:tc>
        <w:tc>
          <w:tcPr>
            <w:tcW w:type="dxa" w:w="1337"/>
          </w:tcPr>
          <w:p>
            <w:pPr>
              <w:spacing w:line="276" w:lineRule="auto" w:before="40" w:after="40"/>
              <w:jc w:val="center"/>
            </w:pPr>
            <w:r>
              <w:rPr>
                <w:rFonts w:ascii="Times New Roman" w:hAnsi="Times New Roman"/>
                <w:color w:val="000000"/>
                <w:sz w:val="18"/>
              </w:rPr>
              <w:t>-30.94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364.9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0.949</w:t>
            </w:r>
          </w:p>
        </w:tc>
        <w:tc>
          <w:tcPr>
            <w:tcW w:type="dxa" w:w="1337"/>
          </w:tcPr>
          <w:p>
            <w:pPr>
              <w:spacing w:line="276" w:lineRule="auto" w:before="40" w:after="40"/>
              <w:jc w:val="center"/>
            </w:pPr>
            <w:r>
              <w:rPr>
                <w:rFonts w:ascii="Times New Roman" w:hAnsi="Times New Roman"/>
                <w:color w:val="000000"/>
                <w:sz w:val="18"/>
              </w:rPr>
              <w:t>-31.30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315.8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0.930</w:t>
            </w:r>
          </w:p>
        </w:tc>
        <w:tc>
          <w:tcPr>
            <w:tcW w:type="dxa" w:w="1337"/>
          </w:tcPr>
          <w:p>
            <w:pPr>
              <w:spacing w:line="276" w:lineRule="auto" w:before="40" w:after="40"/>
              <w:jc w:val="center"/>
            </w:pPr>
            <w:r>
              <w:rPr>
                <w:rFonts w:ascii="Times New Roman" w:hAnsi="Times New Roman"/>
                <w:color w:val="000000"/>
                <w:sz w:val="18"/>
              </w:rPr>
              <w:t>-21.59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834.9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0.850</w:t>
            </w:r>
          </w:p>
        </w:tc>
        <w:tc>
          <w:tcPr>
            <w:tcW w:type="dxa" w:w="1337"/>
          </w:tcPr>
          <w:p>
            <w:pPr>
              <w:spacing w:line="276" w:lineRule="auto" w:before="40" w:after="40"/>
              <w:jc w:val="center"/>
            </w:pPr>
            <w:r>
              <w:rPr>
                <w:rFonts w:ascii="Times New Roman" w:hAnsi="Times New Roman"/>
                <w:color w:val="000000"/>
                <w:sz w:val="18"/>
              </w:rPr>
              <w:t>-28.24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1166.5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0.929</w:t>
            </w:r>
          </w:p>
        </w:tc>
        <w:tc>
          <w:tcPr>
            <w:tcW w:type="dxa" w:w="1337"/>
          </w:tcPr>
          <w:p>
            <w:pPr>
              <w:spacing w:line="276" w:lineRule="auto" w:before="40" w:after="40"/>
              <w:jc w:val="center"/>
            </w:pPr>
            <w:r>
              <w:rPr>
                <w:rFonts w:ascii="Times New Roman" w:hAnsi="Times New Roman"/>
                <w:color w:val="000000"/>
                <w:sz w:val="18"/>
              </w:rPr>
              <w:t>-12.18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389.3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0.879</w:t>
            </w:r>
          </w:p>
        </w:tc>
        <w:tc>
          <w:tcPr>
            <w:tcW w:type="dxa" w:w="1337"/>
          </w:tcPr>
          <w:p>
            <w:pPr>
              <w:spacing w:line="276" w:lineRule="auto" w:before="40" w:after="40"/>
              <w:jc w:val="center"/>
            </w:pPr>
            <w:r>
              <w:rPr>
                <w:rFonts w:ascii="Times New Roman" w:hAnsi="Times New Roman"/>
                <w:color w:val="000000"/>
                <w:sz w:val="18"/>
              </w:rPr>
              <w:t>-27.00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328.3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0.894</w:t>
            </w:r>
          </w:p>
        </w:tc>
        <w:tc>
          <w:tcPr>
            <w:tcW w:type="dxa" w:w="1337"/>
          </w:tcPr>
          <w:p>
            <w:pPr>
              <w:spacing w:line="276" w:lineRule="auto" w:before="40" w:after="40"/>
              <w:jc w:val="center"/>
            </w:pPr>
            <w:r>
              <w:rPr>
                <w:rFonts w:ascii="Times New Roman" w:hAnsi="Times New Roman"/>
                <w:color w:val="000000"/>
                <w:sz w:val="18"/>
              </w:rPr>
              <w:t>-27.49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371.5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-30.53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528.5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0.935</w:t>
            </w:r>
          </w:p>
        </w:tc>
        <w:tc>
          <w:tcPr>
            <w:tcW w:type="dxa" w:w="1337"/>
          </w:tcPr>
          <w:p>
            <w:pPr>
              <w:spacing w:line="276" w:lineRule="auto" w:before="40" w:after="40"/>
              <w:jc w:val="center"/>
            </w:pPr>
            <w:r>
              <w:rPr>
                <w:rFonts w:ascii="Times New Roman" w:hAnsi="Times New Roman"/>
                <w:color w:val="000000"/>
                <w:sz w:val="18"/>
              </w:rPr>
              <w:t>-15.62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66065.8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0.794</w:t>
            </w:r>
          </w:p>
        </w:tc>
        <w:tc>
          <w:tcPr>
            <w:tcW w:type="dxa" w:w="1337"/>
          </w:tcPr>
          <w:p>
            <w:pPr>
              <w:spacing w:line="276" w:lineRule="auto" w:before="40" w:after="40"/>
              <w:jc w:val="center"/>
            </w:pPr>
            <w:r>
              <w:rPr>
                <w:rFonts w:ascii="Times New Roman" w:hAnsi="Times New Roman"/>
                <w:color w:val="000000"/>
                <w:sz w:val="18"/>
              </w:rPr>
              <w:t>-29.66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799.3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-31.63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293.6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0.955</w:t>
            </w:r>
          </w:p>
        </w:tc>
        <w:tc>
          <w:tcPr>
            <w:tcW w:type="dxa" w:w="1337"/>
          </w:tcPr>
          <w:p>
            <w:pPr>
              <w:spacing w:line="276" w:lineRule="auto" w:before="40" w:after="40"/>
              <w:jc w:val="center"/>
            </w:pPr>
            <w:r>
              <w:rPr>
                <w:rFonts w:ascii="Times New Roman" w:hAnsi="Times New Roman"/>
                <w:color w:val="000000"/>
                <w:sz w:val="18"/>
              </w:rPr>
              <w:t>-5.73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379.6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0.942</w:t>
            </w:r>
          </w:p>
        </w:tc>
        <w:tc>
          <w:tcPr>
            <w:tcW w:type="dxa" w:w="1337"/>
          </w:tcPr>
          <w:p>
            <w:pPr>
              <w:spacing w:line="276" w:lineRule="auto" w:before="40" w:after="40"/>
              <w:jc w:val="center"/>
            </w:pPr>
            <w:r>
              <w:rPr>
                <w:rFonts w:ascii="Times New Roman" w:hAnsi="Times New Roman"/>
                <w:color w:val="000000"/>
                <w:sz w:val="18"/>
              </w:rPr>
              <w:t>-28.97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32045.0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0.825</w:t>
            </w:r>
          </w:p>
        </w:tc>
        <w:tc>
          <w:tcPr>
            <w:tcW w:type="dxa" w:w="1337"/>
          </w:tcPr>
          <w:p>
            <w:pPr>
              <w:spacing w:line="276" w:lineRule="auto" w:before="40" w:after="40"/>
              <w:jc w:val="center"/>
            </w:pPr>
            <w:r>
              <w:rPr>
                <w:rFonts w:ascii="Times New Roman" w:hAnsi="Times New Roman"/>
                <w:color w:val="000000"/>
                <w:sz w:val="18"/>
              </w:rPr>
              <w:t>-30.03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3504.8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0.917</w:t>
            </w:r>
          </w:p>
        </w:tc>
        <w:tc>
          <w:tcPr>
            <w:tcW w:type="dxa" w:w="1337"/>
          </w:tcPr>
          <w:p>
            <w:pPr>
              <w:spacing w:line="276" w:lineRule="auto" w:before="40" w:after="40"/>
              <w:jc w:val="center"/>
            </w:pPr>
            <w:r>
              <w:rPr>
                <w:rFonts w:ascii="Times New Roman" w:hAnsi="Times New Roman"/>
                <w:color w:val="000000"/>
                <w:sz w:val="18"/>
              </w:rPr>
              <w:t>-21.97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bl>
    <w:p>
      <w:pPr>
        <w:spacing w:after="120"/>
      </w:pPr>
    </w:p>
    <w:p>
      <w:pPr>
        <w:spacing w:line="480" w:lineRule="auto" w:before="0" w:after="0"/>
        <w:jc w:val="left"/>
      </w:pPr>
      <w:r>
        <w:rPr>
          <w:rFonts w:ascii="Times New Roman" w:hAnsi="Times New Roman"/>
          <w:i/>
          <w:color w:val="000000"/>
          <w:sz w:val="20"/>
        </w:rPr>
        <w:t>Source: Author's computation (2026). Rejection of normality across 100% of 28 equities at p &lt; 0.001.</w:t>
      </w:r>
    </w:p>
    <w:p>
      <w:pPr>
        <w:spacing w:line="480" w:lineRule="auto" w:before="0" w:after="0"/>
        <w:jc w:val="left"/>
      </w:pPr>
      <w:r>
        <w:rPr>
          <w:rFonts w:ascii="Times New Roman" w:hAnsi="Times New Roman"/>
          <w:b/>
          <w:color w:val="000000"/>
          <w:sz w:val="24"/>
        </w:rPr>
        <w:t>4.4 Sectoral Correlation and Multi-Asset Diversification</w:t>
      </w:r>
    </w:p>
    <w:p>
      <w:pPr>
        <w:spacing w:line="480" w:lineRule="auto" w:before="0" w:after="0"/>
        <w:jc w:val="both"/>
      </w:pPr>
      <w:r>
        <w:rPr>
          <w:rFonts w:ascii="Times New Roman" w:hAnsi="Times New Roman"/>
          <w:color w:val="000000"/>
          <w:sz w:val="24"/>
        </w:rPr>
        <w:t>Figure 4.1 displays the 28x28 pairwise return correlation matrix across the sample period. Intra-sector equities (such as Tier-1 Banks GTCO, ZENITHBANK, and UBA) exhibit strong positive pairwise correlation (ranging from 0.55 to 0.78). Conversely, cross-sector correlations between Industrial Goods (DANGCEM, WAPCO) and Consumer Goods (NESTLE, DANGSUGAR) remain moderate (0.15 to 0.35), offering substantial structural diversification benefits for multi-asset portfolio construction.</w:t>
      </w:r>
    </w:p>
    <w:p>
      <w:pPr>
        <w:jc w:val="center"/>
      </w:pPr>
      <w:r>
        <w:drawing>
          <wp:inline xmlns:a="http://schemas.openxmlformats.org/drawingml/2006/main" xmlns:pic="http://schemas.openxmlformats.org/drawingml/2006/picture">
            <wp:extent cx="5486400" cy="4800600"/>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8"/>
                    <a:stretch>
                      <a:fillRect/>
                    </a:stretch>
                  </pic:blipFill>
                  <pic:spPr>
                    <a:xfrm>
                      <a:off x="0" y="0"/>
                      <a:ext cx="5486400" cy="4800600"/>
                    </a:xfrm>
                    <a:prstGeom prst="rect"/>
                  </pic:spPr>
                </pic:pic>
              </a:graphicData>
            </a:graphic>
          </wp:inline>
        </w:drawing>
      </w:r>
    </w:p>
    <w:p>
      <w:pPr>
        <w:spacing w:line="480" w:lineRule="auto" w:before="0" w:after="0"/>
        <w:jc w:val="left"/>
      </w:pPr>
      <w:r>
        <w:rPr>
          <w:rFonts w:ascii="Times New Roman" w:hAnsi="Times New Roman"/>
          <w:i/>
          <w:color w:val="000000"/>
          <w:sz w:val="20"/>
        </w:rPr>
        <w:t>Figure 4.1: NGX 28 Equity Log Return Pairwise Correlation Matrix (2010-2025)</w:t>
      </w:r>
    </w:p>
    <w:p>
      <w:pPr>
        <w:spacing w:line="480" w:lineRule="auto" w:before="0" w:after="0"/>
        <w:jc w:val="left"/>
      </w:pPr>
      <w:r>
        <w:rPr>
          <w:rFonts w:ascii="Times New Roman" w:hAnsi="Times New Roman"/>
          <w:b/>
          <w:color w:val="000000"/>
          <w:sz w:val="24"/>
        </w:rPr>
        <w:t>4.5 Machine Learning Return Forecasting Results (Walk-Forward Validation)</w:t>
      </w:r>
    </w:p>
    <w:p>
      <w:pPr>
        <w:spacing w:line="480" w:lineRule="auto" w:before="0" w:after="0"/>
        <w:jc w:val="both"/>
      </w:pPr>
      <w:r>
        <w:rPr>
          <w:rFonts w:ascii="Times New Roman" w:hAnsi="Times New Roman"/>
          <w:color w:val="000000"/>
          <w:sz w:val="24"/>
        </w:rPr>
        <w:t>Machine learning models (Random Forest and XGBoost Regressors) were evaluated under a rigorous Expanding Rolling Window Walk-Forward Validation protocol. To guarantee zero temporal data leakage, feature Min-Max scaling was fit strictly on expanding training windows, and model hyperparameters were optimized using 5-fold TimeSeriesSplit cross-validation on the initial 2010-2020 training period. Out-of-sample forecasting was conducted across 2021-2025 (~260 weekly steps) with quarterly model refitting. Table 4.3 presents the predictive performance comparison across all 28 equities against the Historical Mean baseline.</w:t>
      </w:r>
    </w:p>
    <w:p>
      <w:pPr>
        <w:spacing w:line="480" w:lineRule="auto" w:before="0" w:after="0"/>
        <w:jc w:val="left"/>
      </w:pPr>
      <w:r>
        <w:rPr>
          <w:rFonts w:ascii="Times New Roman" w:hAnsi="Times New Roman"/>
          <w:b/>
          <w:color w:val="000000"/>
          <w:sz w:val="24"/>
        </w:rPr>
        <w:t>Table 4.3: Out-of-Sample Predictive Performance Metrics across All 28 NGX Equities (2021-2025 Walk-Forward)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Base RMSE</w:t>
            </w:r>
          </w:p>
        </w:tc>
        <w:tc>
          <w:tcPr>
            <w:tcW w:type="dxa" w:w="1337"/>
            <w:shd w:val="clear" w:color="auto" w:fill="F2F2F2"/>
          </w:tcPr>
          <w:p>
            <w:pPr>
              <w:spacing w:line="276" w:lineRule="auto" w:before="40" w:after="40"/>
              <w:jc w:val="center"/>
            </w:pPr>
            <w:r>
              <w:rPr>
                <w:rFonts w:ascii="Times New Roman" w:hAnsi="Times New Roman"/>
                <w:b/>
                <w:color w:val="000000"/>
                <w:sz w:val="19"/>
              </w:rPr>
              <w:t>RF RMSE</w:t>
            </w:r>
          </w:p>
        </w:tc>
        <w:tc>
          <w:tcPr>
            <w:tcW w:type="dxa" w:w="1337"/>
            <w:shd w:val="clear" w:color="auto" w:fill="F2F2F2"/>
          </w:tcPr>
          <w:p>
            <w:pPr>
              <w:spacing w:line="276" w:lineRule="auto" w:before="40" w:after="40"/>
              <w:jc w:val="center"/>
            </w:pPr>
            <w:r>
              <w:rPr>
                <w:rFonts w:ascii="Times New Roman" w:hAnsi="Times New Roman"/>
                <w:b/>
                <w:color w:val="000000"/>
                <w:sz w:val="19"/>
              </w:rPr>
              <w:t>XGB RMSE</w:t>
            </w:r>
          </w:p>
        </w:tc>
        <w:tc>
          <w:tcPr>
            <w:tcW w:type="dxa" w:w="1337"/>
            <w:shd w:val="clear" w:color="auto" w:fill="F2F2F2"/>
          </w:tcPr>
          <w:p>
            <w:pPr>
              <w:spacing w:line="276" w:lineRule="auto" w:before="40" w:after="40"/>
              <w:jc w:val="center"/>
            </w:pPr>
            <w:r>
              <w:rPr>
                <w:rFonts w:ascii="Times New Roman" w:hAnsi="Times New Roman"/>
                <w:b/>
                <w:color w:val="000000"/>
                <w:sz w:val="19"/>
              </w:rPr>
              <w:t>Base DA (%)</w:t>
            </w:r>
          </w:p>
        </w:tc>
        <w:tc>
          <w:tcPr>
            <w:tcW w:type="dxa" w:w="1337"/>
            <w:shd w:val="clear" w:color="auto" w:fill="F2F2F2"/>
          </w:tcPr>
          <w:p>
            <w:pPr>
              <w:spacing w:line="276" w:lineRule="auto" w:before="40" w:after="40"/>
              <w:jc w:val="center"/>
            </w:pPr>
            <w:r>
              <w:rPr>
                <w:rFonts w:ascii="Times New Roman" w:hAnsi="Times New Roman"/>
                <w:b/>
                <w:color w:val="000000"/>
                <w:sz w:val="19"/>
              </w:rPr>
              <w:t>RF DA (%)</w:t>
            </w:r>
          </w:p>
        </w:tc>
        <w:tc>
          <w:tcPr>
            <w:tcW w:type="dxa" w:w="1337"/>
            <w:shd w:val="clear" w:color="auto" w:fill="F2F2F2"/>
          </w:tcPr>
          <w:p>
            <w:pPr>
              <w:spacing w:line="276" w:lineRule="auto" w:before="40" w:after="40"/>
              <w:jc w:val="center"/>
            </w:pPr>
            <w:r>
              <w:rPr>
                <w:rFonts w:ascii="Times New Roman" w:hAnsi="Times New Roman"/>
                <w:b/>
                <w:color w:val="000000"/>
                <w:sz w:val="19"/>
              </w:rPr>
              <w:t>XGB DA (%)</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0.0650</w:t>
            </w:r>
          </w:p>
        </w:tc>
        <w:tc>
          <w:tcPr>
            <w:tcW w:type="dxa" w:w="1337"/>
          </w:tcPr>
          <w:p>
            <w:pPr>
              <w:spacing w:line="276" w:lineRule="auto" w:before="40" w:after="40"/>
              <w:jc w:val="center"/>
            </w:pPr>
            <w:r>
              <w:rPr>
                <w:rFonts w:ascii="Times New Roman" w:hAnsi="Times New Roman"/>
                <w:color w:val="000000"/>
                <w:sz w:val="18"/>
              </w:rPr>
              <w:t>0.0680</w:t>
            </w:r>
          </w:p>
        </w:tc>
        <w:tc>
          <w:tcPr>
            <w:tcW w:type="dxa" w:w="1337"/>
          </w:tcPr>
          <w:p>
            <w:pPr>
              <w:spacing w:line="276" w:lineRule="auto" w:before="40" w:after="40"/>
              <w:jc w:val="center"/>
            </w:pPr>
            <w:r>
              <w:rPr>
                <w:rFonts w:ascii="Times New Roman" w:hAnsi="Times New Roman"/>
                <w:color w:val="000000"/>
                <w:sz w:val="18"/>
              </w:rPr>
              <w:t>0.0674</w:t>
            </w:r>
          </w:p>
        </w:tc>
        <w:tc>
          <w:tcPr>
            <w:tcW w:type="dxa" w:w="1337"/>
          </w:tcPr>
          <w:p>
            <w:pPr>
              <w:spacing w:line="276" w:lineRule="auto" w:before="40" w:after="40"/>
              <w:jc w:val="center"/>
            </w:pPr>
            <w:r>
              <w:rPr>
                <w:rFonts w:ascii="Times New Roman" w:hAnsi="Times New Roman"/>
                <w:color w:val="000000"/>
                <w:sz w:val="18"/>
              </w:rPr>
              <w:t>13.8%</w:t>
            </w:r>
          </w:p>
        </w:tc>
        <w:tc>
          <w:tcPr>
            <w:tcW w:type="dxa" w:w="1337"/>
          </w:tcPr>
          <w:p>
            <w:pPr>
              <w:spacing w:line="276" w:lineRule="auto" w:before="40" w:after="40"/>
              <w:jc w:val="center"/>
            </w:pPr>
            <w:r>
              <w:rPr>
                <w:rFonts w:ascii="Times New Roman" w:hAnsi="Times New Roman"/>
                <w:color w:val="000000"/>
                <w:sz w:val="18"/>
              </w:rPr>
              <w:t>13.5%</w:t>
            </w:r>
          </w:p>
        </w:tc>
        <w:tc>
          <w:tcPr>
            <w:tcW w:type="dxa" w:w="1337"/>
          </w:tcPr>
          <w:p>
            <w:pPr>
              <w:spacing w:line="276" w:lineRule="auto" w:before="40" w:after="40"/>
              <w:jc w:val="center"/>
            </w:pPr>
            <w:r>
              <w:rPr>
                <w:rFonts w:ascii="Times New Roman" w:hAnsi="Times New Roman"/>
                <w:color w:val="000000"/>
                <w:sz w:val="18"/>
              </w:rPr>
              <w:t>11.5%</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0.0548</w:t>
            </w:r>
          </w:p>
        </w:tc>
        <w:tc>
          <w:tcPr>
            <w:tcW w:type="dxa" w:w="1337"/>
          </w:tcPr>
          <w:p>
            <w:pPr>
              <w:spacing w:line="276" w:lineRule="auto" w:before="40" w:after="40"/>
              <w:jc w:val="center"/>
            </w:pPr>
            <w:r>
              <w:rPr>
                <w:rFonts w:ascii="Times New Roman" w:hAnsi="Times New Roman"/>
                <w:color w:val="000000"/>
                <w:sz w:val="18"/>
              </w:rPr>
              <w:t>0.0571</w:t>
            </w:r>
          </w:p>
        </w:tc>
        <w:tc>
          <w:tcPr>
            <w:tcW w:type="dxa" w:w="1337"/>
          </w:tcPr>
          <w:p>
            <w:pPr>
              <w:spacing w:line="276" w:lineRule="auto" w:before="40" w:after="40"/>
              <w:jc w:val="center"/>
            </w:pPr>
            <w:r>
              <w:rPr>
                <w:rFonts w:ascii="Times New Roman" w:hAnsi="Times New Roman"/>
                <w:color w:val="000000"/>
                <w:sz w:val="18"/>
              </w:rPr>
              <w:t>0.0552</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36.9%</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0.0497</w:t>
            </w:r>
          </w:p>
        </w:tc>
        <w:tc>
          <w:tcPr>
            <w:tcW w:type="dxa" w:w="1337"/>
          </w:tcPr>
          <w:p>
            <w:pPr>
              <w:spacing w:line="276" w:lineRule="auto" w:before="40" w:after="40"/>
              <w:jc w:val="center"/>
            </w:pPr>
            <w:r>
              <w:rPr>
                <w:rFonts w:ascii="Times New Roman" w:hAnsi="Times New Roman"/>
                <w:color w:val="000000"/>
                <w:sz w:val="18"/>
              </w:rPr>
              <w:t>0.0515</w:t>
            </w:r>
          </w:p>
        </w:tc>
        <w:tc>
          <w:tcPr>
            <w:tcW w:type="dxa" w:w="1337"/>
          </w:tcPr>
          <w:p>
            <w:pPr>
              <w:spacing w:line="276" w:lineRule="auto" w:before="40" w:after="40"/>
              <w:jc w:val="center"/>
            </w:pPr>
            <w:r>
              <w:rPr>
                <w:rFonts w:ascii="Times New Roman" w:hAnsi="Times New Roman"/>
                <w:color w:val="000000"/>
                <w:sz w:val="18"/>
              </w:rPr>
              <w:t>0.0502</w:t>
            </w:r>
          </w:p>
        </w:tc>
        <w:tc>
          <w:tcPr>
            <w:tcW w:type="dxa" w:w="1337"/>
          </w:tcPr>
          <w:p>
            <w:pPr>
              <w:spacing w:line="276" w:lineRule="auto" w:before="40" w:after="40"/>
              <w:jc w:val="center"/>
            </w:pPr>
            <w:r>
              <w:rPr>
                <w:rFonts w:ascii="Times New Roman" w:hAnsi="Times New Roman"/>
                <w:color w:val="000000"/>
                <w:sz w:val="18"/>
              </w:rPr>
              <w:t>23.6%</w:t>
            </w:r>
          </w:p>
        </w:tc>
        <w:tc>
          <w:tcPr>
            <w:tcW w:type="dxa" w:w="1337"/>
          </w:tcPr>
          <w:p>
            <w:pPr>
              <w:spacing w:line="276" w:lineRule="auto" w:before="40" w:after="40"/>
              <w:jc w:val="center"/>
            </w:pPr>
            <w:r>
              <w:rPr>
                <w:rFonts w:ascii="Times New Roman" w:hAnsi="Times New Roman"/>
                <w:color w:val="000000"/>
                <w:sz w:val="18"/>
              </w:rPr>
              <w:t>21.3%</w:t>
            </w:r>
          </w:p>
        </w:tc>
        <w:tc>
          <w:tcPr>
            <w:tcW w:type="dxa" w:w="1337"/>
          </w:tcPr>
          <w:p>
            <w:pPr>
              <w:spacing w:line="276" w:lineRule="auto" w:before="40" w:after="40"/>
              <w:jc w:val="center"/>
            </w:pPr>
            <w:r>
              <w:rPr>
                <w:rFonts w:ascii="Times New Roman" w:hAnsi="Times New Roman"/>
                <w:color w:val="000000"/>
                <w:sz w:val="18"/>
              </w:rPr>
              <w:t>21.7%</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0.0623</w:t>
            </w:r>
          </w:p>
        </w:tc>
        <w:tc>
          <w:tcPr>
            <w:tcW w:type="dxa" w:w="1337"/>
          </w:tcPr>
          <w:p>
            <w:pPr>
              <w:spacing w:line="276" w:lineRule="auto" w:before="40" w:after="40"/>
              <w:jc w:val="center"/>
            </w:pPr>
            <w:r>
              <w:rPr>
                <w:rFonts w:ascii="Times New Roman" w:hAnsi="Times New Roman"/>
                <w:color w:val="000000"/>
                <w:sz w:val="18"/>
              </w:rPr>
              <w:t>0.0630</w:t>
            </w:r>
          </w:p>
        </w:tc>
        <w:tc>
          <w:tcPr>
            <w:tcW w:type="dxa" w:w="1337"/>
          </w:tcPr>
          <w:p>
            <w:pPr>
              <w:spacing w:line="276" w:lineRule="auto" w:before="40" w:after="40"/>
              <w:jc w:val="center"/>
            </w:pPr>
            <w:r>
              <w:rPr>
                <w:rFonts w:ascii="Times New Roman" w:hAnsi="Times New Roman"/>
                <w:color w:val="000000"/>
                <w:sz w:val="18"/>
              </w:rPr>
              <w:t>0.0623</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45.0%</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0.0655</w:t>
            </w:r>
          </w:p>
        </w:tc>
        <w:tc>
          <w:tcPr>
            <w:tcW w:type="dxa" w:w="1337"/>
          </w:tcPr>
          <w:p>
            <w:pPr>
              <w:spacing w:line="276" w:lineRule="auto" w:before="40" w:after="40"/>
              <w:jc w:val="center"/>
            </w:pPr>
            <w:r>
              <w:rPr>
                <w:rFonts w:ascii="Times New Roman" w:hAnsi="Times New Roman"/>
                <w:color w:val="000000"/>
                <w:sz w:val="18"/>
              </w:rPr>
              <w:t>0.0663</w:t>
            </w:r>
          </w:p>
        </w:tc>
        <w:tc>
          <w:tcPr>
            <w:tcW w:type="dxa" w:w="1337"/>
          </w:tcPr>
          <w:p>
            <w:pPr>
              <w:spacing w:line="276" w:lineRule="auto" w:before="40" w:after="40"/>
              <w:jc w:val="center"/>
            </w:pPr>
            <w:r>
              <w:rPr>
                <w:rFonts w:ascii="Times New Roman" w:hAnsi="Times New Roman"/>
                <w:color w:val="000000"/>
                <w:sz w:val="18"/>
              </w:rPr>
              <w:t>0.0655</w:t>
            </w:r>
          </w:p>
        </w:tc>
        <w:tc>
          <w:tcPr>
            <w:tcW w:type="dxa" w:w="1337"/>
          </w:tcPr>
          <w:p>
            <w:pPr>
              <w:spacing w:line="276" w:lineRule="auto" w:before="40" w:after="40"/>
              <w:jc w:val="center"/>
            </w:pPr>
            <w:r>
              <w:rPr>
                <w:rFonts w:ascii="Times New Roman" w:hAnsi="Times New Roman"/>
                <w:color w:val="000000"/>
                <w:sz w:val="18"/>
              </w:rPr>
              <w:t>40.0%</w:t>
            </w:r>
          </w:p>
        </w:tc>
        <w:tc>
          <w:tcPr>
            <w:tcW w:type="dxa" w:w="1337"/>
          </w:tcPr>
          <w:p>
            <w:pPr>
              <w:spacing w:line="276" w:lineRule="auto" w:before="40" w:after="40"/>
              <w:jc w:val="center"/>
            </w:pPr>
            <w:r>
              <w:rPr>
                <w:rFonts w:ascii="Times New Roman" w:hAnsi="Times New Roman"/>
                <w:color w:val="000000"/>
                <w:sz w:val="18"/>
              </w:rPr>
              <w:t>31.9%</w:t>
            </w:r>
          </w:p>
        </w:tc>
        <w:tc>
          <w:tcPr>
            <w:tcW w:type="dxa" w:w="1337"/>
          </w:tcPr>
          <w:p>
            <w:pPr>
              <w:spacing w:line="276" w:lineRule="auto" w:before="40" w:after="40"/>
              <w:jc w:val="center"/>
            </w:pPr>
            <w:r>
              <w:rPr>
                <w:rFonts w:ascii="Times New Roman" w:hAnsi="Times New Roman"/>
                <w:color w:val="000000"/>
                <w:sz w:val="18"/>
              </w:rPr>
              <w:t>38.1%</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0.0560</w:t>
            </w:r>
          </w:p>
        </w:tc>
        <w:tc>
          <w:tcPr>
            <w:tcW w:type="dxa" w:w="1337"/>
          </w:tcPr>
          <w:p>
            <w:pPr>
              <w:spacing w:line="276" w:lineRule="auto" w:before="40" w:after="40"/>
              <w:jc w:val="center"/>
            </w:pPr>
            <w:r>
              <w:rPr>
                <w:rFonts w:ascii="Times New Roman" w:hAnsi="Times New Roman"/>
                <w:color w:val="000000"/>
                <w:sz w:val="18"/>
              </w:rPr>
              <w:t>0.0647</w:t>
            </w:r>
          </w:p>
        </w:tc>
        <w:tc>
          <w:tcPr>
            <w:tcW w:type="dxa" w:w="1337"/>
          </w:tcPr>
          <w:p>
            <w:pPr>
              <w:spacing w:line="276" w:lineRule="auto" w:before="40" w:after="40"/>
              <w:jc w:val="center"/>
            </w:pPr>
            <w:r>
              <w:rPr>
                <w:rFonts w:ascii="Times New Roman" w:hAnsi="Times New Roman"/>
                <w:color w:val="000000"/>
                <w:sz w:val="18"/>
              </w:rPr>
              <w:t>0.0567</w:t>
            </w:r>
          </w:p>
        </w:tc>
        <w:tc>
          <w:tcPr>
            <w:tcW w:type="dxa" w:w="1337"/>
          </w:tcPr>
          <w:p>
            <w:pPr>
              <w:spacing w:line="276" w:lineRule="auto" w:before="40" w:after="40"/>
              <w:jc w:val="center"/>
            </w:pPr>
            <w:r>
              <w:rPr>
                <w:rFonts w:ascii="Times New Roman" w:hAnsi="Times New Roman"/>
                <w:color w:val="000000"/>
                <w:sz w:val="18"/>
              </w:rPr>
              <w:t>40.4%</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44.6%</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0.0596</w:t>
            </w:r>
          </w:p>
        </w:tc>
        <w:tc>
          <w:tcPr>
            <w:tcW w:type="dxa" w:w="1337"/>
          </w:tcPr>
          <w:p>
            <w:pPr>
              <w:spacing w:line="276" w:lineRule="auto" w:before="40" w:after="40"/>
              <w:jc w:val="center"/>
            </w:pPr>
            <w:r>
              <w:rPr>
                <w:rFonts w:ascii="Times New Roman" w:hAnsi="Times New Roman"/>
                <w:color w:val="000000"/>
                <w:sz w:val="18"/>
              </w:rPr>
              <w:t>0.0682</w:t>
            </w:r>
          </w:p>
        </w:tc>
        <w:tc>
          <w:tcPr>
            <w:tcW w:type="dxa" w:w="1337"/>
          </w:tcPr>
          <w:p>
            <w:pPr>
              <w:spacing w:line="276" w:lineRule="auto" w:before="40" w:after="40"/>
              <w:jc w:val="center"/>
            </w:pPr>
            <w:r>
              <w:rPr>
                <w:rFonts w:ascii="Times New Roman" w:hAnsi="Times New Roman"/>
                <w:color w:val="000000"/>
                <w:sz w:val="18"/>
              </w:rPr>
              <w:t>0.0613</w:t>
            </w:r>
          </w:p>
        </w:tc>
        <w:tc>
          <w:tcPr>
            <w:tcW w:type="dxa" w:w="1337"/>
          </w:tcPr>
          <w:p>
            <w:pPr>
              <w:spacing w:line="276" w:lineRule="auto" w:before="40" w:after="40"/>
              <w:jc w:val="center"/>
            </w:pPr>
            <w:r>
              <w:rPr>
                <w:rFonts w:ascii="Times New Roman" w:hAnsi="Times New Roman"/>
                <w:color w:val="000000"/>
                <w:sz w:val="18"/>
              </w:rPr>
              <w:t>47.3%</w:t>
            </w:r>
          </w:p>
        </w:tc>
        <w:tc>
          <w:tcPr>
            <w:tcW w:type="dxa" w:w="1337"/>
          </w:tcPr>
          <w:p>
            <w:pPr>
              <w:spacing w:line="276" w:lineRule="auto" w:before="40" w:after="40"/>
              <w:jc w:val="center"/>
            </w:pPr>
            <w:r>
              <w:rPr>
                <w:rFonts w:ascii="Times New Roman" w:hAnsi="Times New Roman"/>
                <w:color w:val="000000"/>
                <w:sz w:val="18"/>
              </w:rPr>
              <w:t>46.5%</w:t>
            </w:r>
          </w:p>
        </w:tc>
        <w:tc>
          <w:tcPr>
            <w:tcW w:type="dxa" w:w="1337"/>
          </w:tcPr>
          <w:p>
            <w:pPr>
              <w:spacing w:line="276" w:lineRule="auto" w:before="40" w:after="40"/>
              <w:jc w:val="center"/>
            </w:pPr>
            <w:r>
              <w:rPr>
                <w:rFonts w:ascii="Times New Roman" w:hAnsi="Times New Roman"/>
                <w:color w:val="000000"/>
                <w:sz w:val="18"/>
              </w:rPr>
              <w:t>44.2%</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0.0590</w:t>
            </w:r>
          </w:p>
        </w:tc>
        <w:tc>
          <w:tcPr>
            <w:tcW w:type="dxa" w:w="1337"/>
          </w:tcPr>
          <w:p>
            <w:pPr>
              <w:spacing w:line="276" w:lineRule="auto" w:before="40" w:after="40"/>
              <w:jc w:val="center"/>
            </w:pPr>
            <w:r>
              <w:rPr>
                <w:rFonts w:ascii="Times New Roman" w:hAnsi="Times New Roman"/>
                <w:color w:val="000000"/>
                <w:sz w:val="18"/>
              </w:rPr>
              <w:t>0.0677</w:t>
            </w:r>
          </w:p>
        </w:tc>
        <w:tc>
          <w:tcPr>
            <w:tcW w:type="dxa" w:w="1337"/>
          </w:tcPr>
          <w:p>
            <w:pPr>
              <w:spacing w:line="276" w:lineRule="auto" w:before="40" w:after="40"/>
              <w:jc w:val="center"/>
            </w:pPr>
            <w:r>
              <w:rPr>
                <w:rFonts w:ascii="Times New Roman" w:hAnsi="Times New Roman"/>
                <w:color w:val="000000"/>
                <w:sz w:val="18"/>
              </w:rPr>
              <w:t>0.0617</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0.0700</w:t>
            </w:r>
          </w:p>
        </w:tc>
        <w:tc>
          <w:tcPr>
            <w:tcW w:type="dxa" w:w="1337"/>
          </w:tcPr>
          <w:p>
            <w:pPr>
              <w:spacing w:line="276" w:lineRule="auto" w:before="40" w:after="40"/>
              <w:jc w:val="center"/>
            </w:pPr>
            <w:r>
              <w:rPr>
                <w:rFonts w:ascii="Times New Roman" w:hAnsi="Times New Roman"/>
                <w:color w:val="000000"/>
                <w:sz w:val="18"/>
              </w:rPr>
              <w:t>0.0713</w:t>
            </w:r>
          </w:p>
        </w:tc>
        <w:tc>
          <w:tcPr>
            <w:tcW w:type="dxa" w:w="1337"/>
          </w:tcPr>
          <w:p>
            <w:pPr>
              <w:spacing w:line="276" w:lineRule="auto" w:before="40" w:after="40"/>
              <w:jc w:val="center"/>
            </w:pPr>
            <w:r>
              <w:rPr>
                <w:rFonts w:ascii="Times New Roman" w:hAnsi="Times New Roman"/>
                <w:color w:val="000000"/>
                <w:sz w:val="18"/>
              </w:rPr>
              <w:t>0.0708</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45.4%</w:t>
            </w:r>
          </w:p>
        </w:tc>
        <w:tc>
          <w:tcPr>
            <w:tcW w:type="dxa" w:w="1337"/>
          </w:tcPr>
          <w:p>
            <w:pPr>
              <w:spacing w:line="276" w:lineRule="auto" w:before="40" w:after="40"/>
              <w:jc w:val="center"/>
            </w:pPr>
            <w:r>
              <w:rPr>
                <w:rFonts w:ascii="Times New Roman" w:hAnsi="Times New Roman"/>
                <w:color w:val="000000"/>
                <w:sz w:val="18"/>
              </w:rPr>
              <w:t>46.2%</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0.0474</w:t>
            </w:r>
          </w:p>
        </w:tc>
        <w:tc>
          <w:tcPr>
            <w:tcW w:type="dxa" w:w="1337"/>
          </w:tcPr>
          <w:p>
            <w:pPr>
              <w:spacing w:line="276" w:lineRule="auto" w:before="40" w:after="40"/>
              <w:jc w:val="center"/>
            </w:pPr>
            <w:r>
              <w:rPr>
                <w:rFonts w:ascii="Times New Roman" w:hAnsi="Times New Roman"/>
                <w:color w:val="000000"/>
                <w:sz w:val="18"/>
              </w:rPr>
              <w:t>0.0485</w:t>
            </w:r>
          </w:p>
        </w:tc>
        <w:tc>
          <w:tcPr>
            <w:tcW w:type="dxa" w:w="1337"/>
          </w:tcPr>
          <w:p>
            <w:pPr>
              <w:spacing w:line="276" w:lineRule="auto" w:before="40" w:after="40"/>
              <w:jc w:val="center"/>
            </w:pPr>
            <w:r>
              <w:rPr>
                <w:rFonts w:ascii="Times New Roman" w:hAnsi="Times New Roman"/>
                <w:color w:val="000000"/>
                <w:sz w:val="18"/>
              </w:rPr>
              <w:t>0.0487</w:t>
            </w:r>
          </w:p>
        </w:tc>
        <w:tc>
          <w:tcPr>
            <w:tcW w:type="dxa" w:w="1337"/>
          </w:tcPr>
          <w:p>
            <w:pPr>
              <w:spacing w:line="276" w:lineRule="auto" w:before="40" w:after="40"/>
              <w:jc w:val="center"/>
            </w:pPr>
            <w:r>
              <w:rPr>
                <w:rFonts w:ascii="Times New Roman" w:hAnsi="Times New Roman"/>
                <w:color w:val="000000"/>
                <w:sz w:val="18"/>
              </w:rPr>
              <w:t>48.5%</w:t>
            </w:r>
          </w:p>
        </w:tc>
        <w:tc>
          <w:tcPr>
            <w:tcW w:type="dxa" w:w="1337"/>
          </w:tcPr>
          <w:p>
            <w:pPr>
              <w:spacing w:line="276" w:lineRule="auto" w:before="40" w:after="40"/>
              <w:jc w:val="center"/>
            </w:pPr>
            <w:r>
              <w:rPr>
                <w:rFonts w:ascii="Times New Roman" w:hAnsi="Times New Roman"/>
                <w:color w:val="000000"/>
                <w:sz w:val="18"/>
              </w:rPr>
              <w:t>52.3%</w:t>
            </w:r>
          </w:p>
        </w:tc>
        <w:tc>
          <w:tcPr>
            <w:tcW w:type="dxa" w:w="1337"/>
          </w:tcPr>
          <w:p>
            <w:pPr>
              <w:spacing w:line="276" w:lineRule="auto" w:before="40" w:after="40"/>
              <w:jc w:val="center"/>
            </w:pPr>
            <w:r>
              <w:rPr>
                <w:rFonts w:ascii="Times New Roman" w:hAnsi="Times New Roman"/>
                <w:color w:val="000000"/>
                <w:sz w:val="18"/>
              </w:rPr>
              <w:t>43.5%</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0.0673</w:t>
            </w:r>
          </w:p>
        </w:tc>
        <w:tc>
          <w:tcPr>
            <w:tcW w:type="dxa" w:w="1337"/>
          </w:tcPr>
          <w:p>
            <w:pPr>
              <w:spacing w:line="276" w:lineRule="auto" w:before="40" w:after="40"/>
              <w:jc w:val="center"/>
            </w:pPr>
            <w:r>
              <w:rPr>
                <w:rFonts w:ascii="Times New Roman" w:hAnsi="Times New Roman"/>
                <w:color w:val="000000"/>
                <w:sz w:val="18"/>
              </w:rPr>
              <w:t>0.0665</w:t>
            </w:r>
          </w:p>
        </w:tc>
        <w:tc>
          <w:tcPr>
            <w:tcW w:type="dxa" w:w="1337"/>
          </w:tcPr>
          <w:p>
            <w:pPr>
              <w:spacing w:line="276" w:lineRule="auto" w:before="40" w:after="40"/>
              <w:jc w:val="center"/>
            </w:pPr>
            <w:r>
              <w:rPr>
                <w:rFonts w:ascii="Times New Roman" w:hAnsi="Times New Roman"/>
                <w:color w:val="000000"/>
                <w:sz w:val="18"/>
              </w:rPr>
              <w:t>0.0677</w:t>
            </w:r>
          </w:p>
        </w:tc>
        <w:tc>
          <w:tcPr>
            <w:tcW w:type="dxa" w:w="1337"/>
          </w:tcPr>
          <w:p>
            <w:pPr>
              <w:spacing w:line="276" w:lineRule="auto" w:before="40" w:after="40"/>
              <w:jc w:val="center"/>
            </w:pPr>
            <w:r>
              <w:rPr>
                <w:rFonts w:ascii="Times New Roman" w:hAnsi="Times New Roman"/>
                <w:color w:val="000000"/>
                <w:sz w:val="18"/>
              </w:rPr>
              <w:t>22.3%</w:t>
            </w:r>
          </w:p>
        </w:tc>
        <w:tc>
          <w:tcPr>
            <w:tcW w:type="dxa" w:w="1337"/>
          </w:tcPr>
          <w:p>
            <w:pPr>
              <w:spacing w:line="276" w:lineRule="auto" w:before="40" w:after="40"/>
              <w:jc w:val="center"/>
            </w:pPr>
            <w:r>
              <w:rPr>
                <w:rFonts w:ascii="Times New Roman" w:hAnsi="Times New Roman"/>
                <w:color w:val="000000"/>
                <w:sz w:val="18"/>
              </w:rPr>
              <w:t>32.3%</w:t>
            </w:r>
          </w:p>
        </w:tc>
        <w:tc>
          <w:tcPr>
            <w:tcW w:type="dxa" w:w="1337"/>
          </w:tcPr>
          <w:p>
            <w:pPr>
              <w:spacing w:line="276" w:lineRule="auto" w:before="40" w:after="40"/>
              <w:jc w:val="center"/>
            </w:pPr>
            <w:r>
              <w:rPr>
                <w:rFonts w:ascii="Times New Roman" w:hAnsi="Times New Roman"/>
                <w:color w:val="000000"/>
                <w:sz w:val="18"/>
              </w:rPr>
              <w:t>23.8%</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0.0636</w:t>
            </w:r>
          </w:p>
        </w:tc>
        <w:tc>
          <w:tcPr>
            <w:tcW w:type="dxa" w:w="1337"/>
          </w:tcPr>
          <w:p>
            <w:pPr>
              <w:spacing w:line="276" w:lineRule="auto" w:before="40" w:after="40"/>
              <w:jc w:val="center"/>
            </w:pPr>
            <w:r>
              <w:rPr>
                <w:rFonts w:ascii="Times New Roman" w:hAnsi="Times New Roman"/>
                <w:color w:val="000000"/>
                <w:sz w:val="18"/>
              </w:rPr>
              <w:t>0.0670</w:t>
            </w:r>
          </w:p>
        </w:tc>
        <w:tc>
          <w:tcPr>
            <w:tcW w:type="dxa" w:w="1337"/>
          </w:tcPr>
          <w:p>
            <w:pPr>
              <w:spacing w:line="276" w:lineRule="auto" w:before="40" w:after="40"/>
              <w:jc w:val="center"/>
            </w:pPr>
            <w:r>
              <w:rPr>
                <w:rFonts w:ascii="Times New Roman" w:hAnsi="Times New Roman"/>
                <w:color w:val="000000"/>
                <w:sz w:val="18"/>
              </w:rPr>
              <w:t>0.0653</w:t>
            </w:r>
          </w:p>
        </w:tc>
        <w:tc>
          <w:tcPr>
            <w:tcW w:type="dxa" w:w="1337"/>
          </w:tcPr>
          <w:p>
            <w:pPr>
              <w:spacing w:line="276" w:lineRule="auto" w:before="40" w:after="40"/>
              <w:jc w:val="center"/>
            </w:pPr>
            <w:r>
              <w:rPr>
                <w:rFonts w:ascii="Times New Roman" w:hAnsi="Times New Roman"/>
                <w:color w:val="000000"/>
                <w:sz w:val="18"/>
              </w:rPr>
              <w:t>25.4%</w:t>
            </w:r>
          </w:p>
        </w:tc>
        <w:tc>
          <w:tcPr>
            <w:tcW w:type="dxa" w:w="1337"/>
          </w:tcPr>
          <w:p>
            <w:pPr>
              <w:spacing w:line="276" w:lineRule="auto" w:before="40" w:after="40"/>
              <w:jc w:val="center"/>
            </w:pPr>
            <w:r>
              <w:rPr>
                <w:rFonts w:ascii="Times New Roman" w:hAnsi="Times New Roman"/>
                <w:color w:val="000000"/>
                <w:sz w:val="18"/>
              </w:rPr>
              <w:t>23.1%</w:t>
            </w:r>
          </w:p>
        </w:tc>
        <w:tc>
          <w:tcPr>
            <w:tcW w:type="dxa" w:w="1337"/>
          </w:tcPr>
          <w:p>
            <w:pPr>
              <w:spacing w:line="276" w:lineRule="auto" w:before="40" w:after="40"/>
              <w:jc w:val="center"/>
            </w:pPr>
            <w:r>
              <w:rPr>
                <w:rFonts w:ascii="Times New Roman" w:hAnsi="Times New Roman"/>
                <w:color w:val="000000"/>
                <w:sz w:val="18"/>
              </w:rPr>
              <w:t>25.0%</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0.0520</w:t>
            </w:r>
          </w:p>
        </w:tc>
        <w:tc>
          <w:tcPr>
            <w:tcW w:type="dxa" w:w="1337"/>
          </w:tcPr>
          <w:p>
            <w:pPr>
              <w:spacing w:line="276" w:lineRule="auto" w:before="40" w:after="40"/>
              <w:jc w:val="center"/>
            </w:pPr>
            <w:r>
              <w:rPr>
                <w:rFonts w:ascii="Times New Roman" w:hAnsi="Times New Roman"/>
                <w:color w:val="000000"/>
                <w:sz w:val="18"/>
              </w:rPr>
              <w:t>0.0526</w:t>
            </w:r>
          </w:p>
        </w:tc>
        <w:tc>
          <w:tcPr>
            <w:tcW w:type="dxa" w:w="1337"/>
          </w:tcPr>
          <w:p>
            <w:pPr>
              <w:spacing w:line="276" w:lineRule="auto" w:before="40" w:after="40"/>
              <w:jc w:val="center"/>
            </w:pPr>
            <w:r>
              <w:rPr>
                <w:rFonts w:ascii="Times New Roman" w:hAnsi="Times New Roman"/>
                <w:color w:val="000000"/>
                <w:sz w:val="18"/>
              </w:rPr>
              <w:t>0.0518</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49.2%</w:t>
            </w:r>
          </w:p>
        </w:tc>
        <w:tc>
          <w:tcPr>
            <w:tcW w:type="dxa" w:w="1337"/>
          </w:tcPr>
          <w:p>
            <w:pPr>
              <w:spacing w:line="276" w:lineRule="auto" w:before="40" w:after="40"/>
              <w:jc w:val="center"/>
            </w:pPr>
            <w:r>
              <w:rPr>
                <w:rFonts w:ascii="Times New Roman" w:hAnsi="Times New Roman"/>
                <w:color w:val="000000"/>
                <w:sz w:val="18"/>
              </w:rPr>
              <w:t>48.8%</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0.0908</w:t>
            </w:r>
          </w:p>
        </w:tc>
        <w:tc>
          <w:tcPr>
            <w:tcW w:type="dxa" w:w="1337"/>
          </w:tcPr>
          <w:p>
            <w:pPr>
              <w:spacing w:line="276" w:lineRule="auto" w:before="40" w:after="40"/>
              <w:jc w:val="center"/>
            </w:pPr>
            <w:r>
              <w:rPr>
                <w:rFonts w:ascii="Times New Roman" w:hAnsi="Times New Roman"/>
                <w:color w:val="000000"/>
                <w:sz w:val="18"/>
              </w:rPr>
              <w:t>0.0922</w:t>
            </w:r>
          </w:p>
        </w:tc>
        <w:tc>
          <w:tcPr>
            <w:tcW w:type="dxa" w:w="1337"/>
          </w:tcPr>
          <w:p>
            <w:pPr>
              <w:spacing w:line="276" w:lineRule="auto" w:before="40" w:after="40"/>
              <w:jc w:val="center"/>
            </w:pPr>
            <w:r>
              <w:rPr>
                <w:rFonts w:ascii="Times New Roman" w:hAnsi="Times New Roman"/>
                <w:color w:val="000000"/>
                <w:sz w:val="18"/>
              </w:rPr>
              <w:t>0.0918</w:t>
            </w:r>
          </w:p>
        </w:tc>
        <w:tc>
          <w:tcPr>
            <w:tcW w:type="dxa" w:w="1337"/>
          </w:tcPr>
          <w:p>
            <w:pPr>
              <w:spacing w:line="276" w:lineRule="auto" w:before="40" w:after="40"/>
              <w:jc w:val="center"/>
            </w:pPr>
            <w:r>
              <w:rPr>
                <w:rFonts w:ascii="Times New Roman" w:hAnsi="Times New Roman"/>
                <w:color w:val="000000"/>
                <w:sz w:val="18"/>
              </w:rPr>
              <w:t>50.0%</w:t>
            </w:r>
          </w:p>
        </w:tc>
        <w:tc>
          <w:tcPr>
            <w:tcW w:type="dxa" w:w="1337"/>
          </w:tcPr>
          <w:p>
            <w:pPr>
              <w:spacing w:line="276" w:lineRule="auto" w:before="40" w:after="40"/>
              <w:jc w:val="center"/>
            </w:pPr>
            <w:r>
              <w:rPr>
                <w:rFonts w:ascii="Times New Roman" w:hAnsi="Times New Roman"/>
                <w:color w:val="000000"/>
                <w:sz w:val="18"/>
              </w:rPr>
              <w:t>44.2%</w:t>
            </w:r>
          </w:p>
        </w:tc>
        <w:tc>
          <w:tcPr>
            <w:tcW w:type="dxa" w:w="1337"/>
          </w:tcPr>
          <w:p>
            <w:pPr>
              <w:spacing w:line="276" w:lineRule="auto" w:before="40" w:after="40"/>
              <w:jc w:val="center"/>
            </w:pPr>
            <w:r>
              <w:rPr>
                <w:rFonts w:ascii="Times New Roman" w:hAnsi="Times New Roman"/>
                <w:color w:val="000000"/>
                <w:sz w:val="18"/>
              </w:rPr>
              <w:t>45.4%</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0.0651</w:t>
            </w:r>
          </w:p>
        </w:tc>
        <w:tc>
          <w:tcPr>
            <w:tcW w:type="dxa" w:w="1337"/>
          </w:tcPr>
          <w:p>
            <w:pPr>
              <w:spacing w:line="276" w:lineRule="auto" w:before="40" w:after="40"/>
              <w:jc w:val="center"/>
            </w:pPr>
            <w:r>
              <w:rPr>
                <w:rFonts w:ascii="Times New Roman" w:hAnsi="Times New Roman"/>
                <w:color w:val="000000"/>
                <w:sz w:val="18"/>
              </w:rPr>
              <w:t>0.0634</w:t>
            </w:r>
          </w:p>
        </w:tc>
        <w:tc>
          <w:tcPr>
            <w:tcW w:type="dxa" w:w="1337"/>
          </w:tcPr>
          <w:p>
            <w:pPr>
              <w:spacing w:line="276" w:lineRule="auto" w:before="40" w:after="40"/>
              <w:jc w:val="center"/>
            </w:pPr>
            <w:r>
              <w:rPr>
                <w:rFonts w:ascii="Times New Roman" w:hAnsi="Times New Roman"/>
                <w:color w:val="000000"/>
                <w:sz w:val="18"/>
              </w:rPr>
              <w:t>0.0665</w:t>
            </w:r>
          </w:p>
        </w:tc>
        <w:tc>
          <w:tcPr>
            <w:tcW w:type="dxa" w:w="1337"/>
          </w:tcPr>
          <w:p>
            <w:pPr>
              <w:spacing w:line="276" w:lineRule="auto" w:before="40" w:after="40"/>
              <w:jc w:val="center"/>
            </w:pPr>
            <w:r>
              <w:rPr>
                <w:rFonts w:ascii="Times New Roman" w:hAnsi="Times New Roman"/>
                <w:color w:val="000000"/>
                <w:sz w:val="18"/>
              </w:rPr>
              <w:t>45.8%</w:t>
            </w:r>
          </w:p>
        </w:tc>
        <w:tc>
          <w:tcPr>
            <w:tcW w:type="dxa" w:w="1337"/>
          </w:tcPr>
          <w:p>
            <w:pPr>
              <w:spacing w:line="276" w:lineRule="auto" w:before="40" w:after="40"/>
              <w:jc w:val="center"/>
            </w:pPr>
            <w:r>
              <w:rPr>
                <w:rFonts w:ascii="Times New Roman" w:hAnsi="Times New Roman"/>
                <w:color w:val="000000"/>
                <w:sz w:val="18"/>
              </w:rPr>
              <w:t>50.4%</w:t>
            </w:r>
          </w:p>
        </w:tc>
        <w:tc>
          <w:tcPr>
            <w:tcW w:type="dxa" w:w="1337"/>
          </w:tcPr>
          <w:p>
            <w:pPr>
              <w:spacing w:line="276" w:lineRule="auto" w:before="40" w:after="40"/>
              <w:jc w:val="center"/>
            </w:pPr>
            <w:r>
              <w:rPr>
                <w:rFonts w:ascii="Times New Roman" w:hAnsi="Times New Roman"/>
                <w:color w:val="000000"/>
                <w:sz w:val="18"/>
              </w:rPr>
              <w:t>42.7%</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0.0640</w:t>
            </w:r>
          </w:p>
        </w:tc>
        <w:tc>
          <w:tcPr>
            <w:tcW w:type="dxa" w:w="1337"/>
          </w:tcPr>
          <w:p>
            <w:pPr>
              <w:spacing w:line="276" w:lineRule="auto" w:before="40" w:after="40"/>
              <w:jc w:val="center"/>
            </w:pPr>
            <w:r>
              <w:rPr>
                <w:rFonts w:ascii="Times New Roman" w:hAnsi="Times New Roman"/>
                <w:color w:val="000000"/>
                <w:sz w:val="18"/>
              </w:rPr>
              <w:t>0.0640</w:t>
            </w:r>
          </w:p>
        </w:tc>
        <w:tc>
          <w:tcPr>
            <w:tcW w:type="dxa" w:w="1337"/>
          </w:tcPr>
          <w:p>
            <w:pPr>
              <w:spacing w:line="276" w:lineRule="auto" w:before="40" w:after="40"/>
              <w:jc w:val="center"/>
            </w:pPr>
            <w:r>
              <w:rPr>
                <w:rFonts w:ascii="Times New Roman" w:hAnsi="Times New Roman"/>
                <w:color w:val="000000"/>
                <w:sz w:val="18"/>
              </w:rPr>
              <w:t>0.0634</w:t>
            </w:r>
          </w:p>
        </w:tc>
        <w:tc>
          <w:tcPr>
            <w:tcW w:type="dxa" w:w="1337"/>
          </w:tcPr>
          <w:p>
            <w:pPr>
              <w:spacing w:line="276" w:lineRule="auto" w:before="40" w:after="40"/>
              <w:jc w:val="center"/>
            </w:pPr>
            <w:r>
              <w:rPr>
                <w:rFonts w:ascii="Times New Roman" w:hAnsi="Times New Roman"/>
                <w:color w:val="000000"/>
                <w:sz w:val="18"/>
              </w:rPr>
              <w:t>36.9%</w:t>
            </w:r>
          </w:p>
        </w:tc>
        <w:tc>
          <w:tcPr>
            <w:tcW w:type="dxa" w:w="1337"/>
          </w:tcPr>
          <w:p>
            <w:pPr>
              <w:spacing w:line="276" w:lineRule="auto" w:before="40" w:after="40"/>
              <w:jc w:val="center"/>
            </w:pPr>
            <w:r>
              <w:rPr>
                <w:rFonts w:ascii="Times New Roman" w:hAnsi="Times New Roman"/>
                <w:color w:val="000000"/>
                <w:sz w:val="18"/>
              </w:rPr>
              <w:t>37.3%</w:t>
            </w:r>
          </w:p>
        </w:tc>
        <w:tc>
          <w:tcPr>
            <w:tcW w:type="dxa" w:w="1337"/>
          </w:tcPr>
          <w:p>
            <w:pPr>
              <w:spacing w:line="276" w:lineRule="auto" w:before="40" w:after="40"/>
              <w:jc w:val="center"/>
            </w:pPr>
            <w:r>
              <w:rPr>
                <w:rFonts w:ascii="Times New Roman" w:hAnsi="Times New Roman"/>
                <w:color w:val="000000"/>
                <w:sz w:val="18"/>
              </w:rPr>
              <w:t>36.5%</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0.0401</w:t>
            </w:r>
          </w:p>
        </w:tc>
        <w:tc>
          <w:tcPr>
            <w:tcW w:type="dxa" w:w="1337"/>
          </w:tcPr>
          <w:p>
            <w:pPr>
              <w:spacing w:line="276" w:lineRule="auto" w:before="40" w:after="40"/>
              <w:jc w:val="center"/>
            </w:pPr>
            <w:r>
              <w:rPr>
                <w:rFonts w:ascii="Times New Roman" w:hAnsi="Times New Roman"/>
                <w:color w:val="000000"/>
                <w:sz w:val="18"/>
              </w:rPr>
              <w:t>0.0432</w:t>
            </w:r>
          </w:p>
        </w:tc>
        <w:tc>
          <w:tcPr>
            <w:tcW w:type="dxa" w:w="1337"/>
          </w:tcPr>
          <w:p>
            <w:pPr>
              <w:spacing w:line="276" w:lineRule="auto" w:before="40" w:after="40"/>
              <w:jc w:val="center"/>
            </w:pPr>
            <w:r>
              <w:rPr>
                <w:rFonts w:ascii="Times New Roman" w:hAnsi="Times New Roman"/>
                <w:color w:val="000000"/>
                <w:sz w:val="18"/>
              </w:rPr>
              <w:t>0.0413</w:t>
            </w:r>
          </w:p>
        </w:tc>
        <w:tc>
          <w:tcPr>
            <w:tcW w:type="dxa" w:w="1337"/>
          </w:tcPr>
          <w:p>
            <w:pPr>
              <w:spacing w:line="276" w:lineRule="auto" w:before="40" w:after="40"/>
              <w:jc w:val="center"/>
            </w:pPr>
            <w:r>
              <w:rPr>
                <w:rFonts w:ascii="Times New Roman" w:hAnsi="Times New Roman"/>
                <w:color w:val="000000"/>
                <w:sz w:val="18"/>
              </w:rPr>
              <w:t>17.3%</w:t>
            </w:r>
          </w:p>
        </w:tc>
        <w:tc>
          <w:tcPr>
            <w:tcW w:type="dxa" w:w="1337"/>
          </w:tcPr>
          <w:p>
            <w:pPr>
              <w:spacing w:line="276" w:lineRule="auto" w:before="40" w:after="40"/>
              <w:jc w:val="center"/>
            </w:pPr>
            <w:r>
              <w:rPr>
                <w:rFonts w:ascii="Times New Roman" w:hAnsi="Times New Roman"/>
                <w:color w:val="000000"/>
                <w:sz w:val="18"/>
              </w:rPr>
              <w:t>20.0%</w:t>
            </w:r>
          </w:p>
        </w:tc>
        <w:tc>
          <w:tcPr>
            <w:tcW w:type="dxa" w:w="1337"/>
          </w:tcPr>
          <w:p>
            <w:pPr>
              <w:spacing w:line="276" w:lineRule="auto" w:before="40" w:after="40"/>
              <w:jc w:val="center"/>
            </w:pPr>
            <w:r>
              <w:rPr>
                <w:rFonts w:ascii="Times New Roman" w:hAnsi="Times New Roman"/>
                <w:color w:val="000000"/>
                <w:sz w:val="18"/>
              </w:rPr>
              <w:t>18.8%</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0.0591</w:t>
            </w:r>
          </w:p>
        </w:tc>
        <w:tc>
          <w:tcPr>
            <w:tcW w:type="dxa" w:w="1337"/>
          </w:tcPr>
          <w:p>
            <w:pPr>
              <w:spacing w:line="276" w:lineRule="auto" w:before="40" w:after="40"/>
              <w:jc w:val="center"/>
            </w:pPr>
            <w:r>
              <w:rPr>
                <w:rFonts w:ascii="Times New Roman" w:hAnsi="Times New Roman"/>
                <w:color w:val="000000"/>
                <w:sz w:val="18"/>
              </w:rPr>
              <w:t>0.0620</w:t>
            </w:r>
          </w:p>
        </w:tc>
        <w:tc>
          <w:tcPr>
            <w:tcW w:type="dxa" w:w="1337"/>
          </w:tcPr>
          <w:p>
            <w:pPr>
              <w:spacing w:line="276" w:lineRule="auto" w:before="40" w:after="40"/>
              <w:jc w:val="center"/>
            </w:pPr>
            <w:r>
              <w:rPr>
                <w:rFonts w:ascii="Times New Roman" w:hAnsi="Times New Roman"/>
                <w:color w:val="000000"/>
                <w:sz w:val="18"/>
              </w:rPr>
              <w:t>0.0609</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44.6%</w:t>
            </w:r>
          </w:p>
        </w:tc>
        <w:tc>
          <w:tcPr>
            <w:tcW w:type="dxa" w:w="1337"/>
          </w:tcPr>
          <w:p>
            <w:pPr>
              <w:spacing w:line="276" w:lineRule="auto" w:before="40" w:after="40"/>
              <w:jc w:val="center"/>
            </w:pPr>
            <w:r>
              <w:rPr>
                <w:rFonts w:ascii="Times New Roman" w:hAnsi="Times New Roman"/>
                <w:color w:val="000000"/>
                <w:sz w:val="18"/>
              </w:rPr>
              <w:t>45.8%</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0.0459</w:t>
            </w:r>
          </w:p>
        </w:tc>
        <w:tc>
          <w:tcPr>
            <w:tcW w:type="dxa" w:w="1337"/>
          </w:tcPr>
          <w:p>
            <w:pPr>
              <w:spacing w:line="276" w:lineRule="auto" w:before="40" w:after="40"/>
              <w:jc w:val="center"/>
            </w:pPr>
            <w:r>
              <w:rPr>
                <w:rFonts w:ascii="Times New Roman" w:hAnsi="Times New Roman"/>
                <w:color w:val="000000"/>
                <w:sz w:val="18"/>
              </w:rPr>
              <w:t>0.0467</w:t>
            </w:r>
          </w:p>
        </w:tc>
        <w:tc>
          <w:tcPr>
            <w:tcW w:type="dxa" w:w="1337"/>
          </w:tcPr>
          <w:p>
            <w:pPr>
              <w:spacing w:line="276" w:lineRule="auto" w:before="40" w:after="40"/>
              <w:jc w:val="center"/>
            </w:pPr>
            <w:r>
              <w:rPr>
                <w:rFonts w:ascii="Times New Roman" w:hAnsi="Times New Roman"/>
                <w:color w:val="000000"/>
                <w:sz w:val="18"/>
              </w:rPr>
              <w:t>0.0465</w:t>
            </w:r>
          </w:p>
        </w:tc>
        <w:tc>
          <w:tcPr>
            <w:tcW w:type="dxa" w:w="1337"/>
          </w:tcPr>
          <w:p>
            <w:pPr>
              <w:spacing w:line="276" w:lineRule="auto" w:before="40" w:after="40"/>
              <w:jc w:val="center"/>
            </w:pPr>
            <w:r>
              <w:rPr>
                <w:rFonts w:ascii="Times New Roman" w:hAnsi="Times New Roman"/>
                <w:color w:val="000000"/>
                <w:sz w:val="18"/>
              </w:rPr>
              <w:t>24.2%</w:t>
            </w:r>
          </w:p>
        </w:tc>
        <w:tc>
          <w:tcPr>
            <w:tcW w:type="dxa" w:w="1337"/>
          </w:tcPr>
          <w:p>
            <w:pPr>
              <w:spacing w:line="276" w:lineRule="auto" w:before="40" w:after="40"/>
              <w:jc w:val="center"/>
            </w:pPr>
            <w:r>
              <w:rPr>
                <w:rFonts w:ascii="Times New Roman" w:hAnsi="Times New Roman"/>
                <w:color w:val="000000"/>
                <w:sz w:val="18"/>
              </w:rPr>
              <w:t>25.8%</w:t>
            </w:r>
          </w:p>
        </w:tc>
        <w:tc>
          <w:tcPr>
            <w:tcW w:type="dxa" w:w="1337"/>
          </w:tcPr>
          <w:p>
            <w:pPr>
              <w:spacing w:line="276" w:lineRule="auto" w:before="40" w:after="40"/>
              <w:jc w:val="center"/>
            </w:pPr>
            <w:r>
              <w:rPr>
                <w:rFonts w:ascii="Times New Roman" w:hAnsi="Times New Roman"/>
                <w:color w:val="000000"/>
                <w:sz w:val="18"/>
              </w:rPr>
              <w:t>23.8%</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0.0491</w:t>
            </w:r>
          </w:p>
        </w:tc>
        <w:tc>
          <w:tcPr>
            <w:tcW w:type="dxa" w:w="1337"/>
          </w:tcPr>
          <w:p>
            <w:pPr>
              <w:spacing w:line="276" w:lineRule="auto" w:before="40" w:after="40"/>
              <w:jc w:val="center"/>
            </w:pPr>
            <w:r>
              <w:rPr>
                <w:rFonts w:ascii="Times New Roman" w:hAnsi="Times New Roman"/>
                <w:color w:val="000000"/>
                <w:sz w:val="18"/>
              </w:rPr>
              <w:t>0.0519</w:t>
            </w:r>
          </w:p>
        </w:tc>
        <w:tc>
          <w:tcPr>
            <w:tcW w:type="dxa" w:w="1337"/>
          </w:tcPr>
          <w:p>
            <w:pPr>
              <w:spacing w:line="276" w:lineRule="auto" w:before="40" w:after="40"/>
              <w:jc w:val="center"/>
            </w:pPr>
            <w:r>
              <w:rPr>
                <w:rFonts w:ascii="Times New Roman" w:hAnsi="Times New Roman"/>
                <w:color w:val="000000"/>
                <w:sz w:val="18"/>
              </w:rPr>
              <w:t>0.0495</w:t>
            </w:r>
          </w:p>
        </w:tc>
        <w:tc>
          <w:tcPr>
            <w:tcW w:type="dxa" w:w="1337"/>
          </w:tcPr>
          <w:p>
            <w:pPr>
              <w:spacing w:line="276" w:lineRule="auto" w:before="40" w:after="40"/>
              <w:jc w:val="center"/>
            </w:pPr>
            <w:r>
              <w:rPr>
                <w:rFonts w:ascii="Times New Roman" w:hAnsi="Times New Roman"/>
                <w:color w:val="000000"/>
                <w:sz w:val="18"/>
              </w:rPr>
              <w:t>25.8%</w:t>
            </w:r>
          </w:p>
        </w:tc>
        <w:tc>
          <w:tcPr>
            <w:tcW w:type="dxa" w:w="1337"/>
          </w:tcPr>
          <w:p>
            <w:pPr>
              <w:spacing w:line="276" w:lineRule="auto" w:before="40" w:after="40"/>
              <w:jc w:val="center"/>
            </w:pPr>
            <w:r>
              <w:rPr>
                <w:rFonts w:ascii="Times New Roman" w:hAnsi="Times New Roman"/>
                <w:color w:val="000000"/>
                <w:sz w:val="18"/>
              </w:rPr>
              <w:t>23.1%</w:t>
            </w:r>
          </w:p>
        </w:tc>
        <w:tc>
          <w:tcPr>
            <w:tcW w:type="dxa" w:w="1337"/>
          </w:tcPr>
          <w:p>
            <w:pPr>
              <w:spacing w:line="276" w:lineRule="auto" w:before="40" w:after="40"/>
              <w:jc w:val="center"/>
            </w:pPr>
            <w:r>
              <w:rPr>
                <w:rFonts w:ascii="Times New Roman" w:hAnsi="Times New Roman"/>
                <w:color w:val="000000"/>
                <w:sz w:val="18"/>
              </w:rPr>
              <w:t>21.5%</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0.0497</w:t>
            </w:r>
          </w:p>
        </w:tc>
        <w:tc>
          <w:tcPr>
            <w:tcW w:type="dxa" w:w="1337"/>
          </w:tcPr>
          <w:p>
            <w:pPr>
              <w:spacing w:line="276" w:lineRule="auto" w:before="40" w:after="40"/>
              <w:jc w:val="center"/>
            </w:pPr>
            <w:r>
              <w:rPr>
                <w:rFonts w:ascii="Times New Roman" w:hAnsi="Times New Roman"/>
                <w:color w:val="000000"/>
                <w:sz w:val="18"/>
              </w:rPr>
              <w:t>0.0494</w:t>
            </w:r>
          </w:p>
        </w:tc>
        <w:tc>
          <w:tcPr>
            <w:tcW w:type="dxa" w:w="1337"/>
          </w:tcPr>
          <w:p>
            <w:pPr>
              <w:spacing w:line="276" w:lineRule="auto" w:before="40" w:after="40"/>
              <w:jc w:val="center"/>
            </w:pPr>
            <w:r>
              <w:rPr>
                <w:rFonts w:ascii="Times New Roman" w:hAnsi="Times New Roman"/>
                <w:color w:val="000000"/>
                <w:sz w:val="18"/>
              </w:rPr>
              <w:t>0.0494</w:t>
            </w:r>
          </w:p>
        </w:tc>
        <w:tc>
          <w:tcPr>
            <w:tcW w:type="dxa" w:w="1337"/>
          </w:tcPr>
          <w:p>
            <w:pPr>
              <w:spacing w:line="276" w:lineRule="auto" w:before="40" w:after="40"/>
              <w:jc w:val="center"/>
            </w:pPr>
            <w:r>
              <w:rPr>
                <w:rFonts w:ascii="Times New Roman" w:hAnsi="Times New Roman"/>
                <w:color w:val="000000"/>
                <w:sz w:val="18"/>
              </w:rPr>
              <w:t>36.5%</w:t>
            </w:r>
          </w:p>
        </w:tc>
        <w:tc>
          <w:tcPr>
            <w:tcW w:type="dxa" w:w="1337"/>
          </w:tcPr>
          <w:p>
            <w:pPr>
              <w:spacing w:line="276" w:lineRule="auto" w:before="40" w:after="40"/>
              <w:jc w:val="center"/>
            </w:pPr>
            <w:r>
              <w:rPr>
                <w:rFonts w:ascii="Times New Roman" w:hAnsi="Times New Roman"/>
                <w:color w:val="000000"/>
                <w:sz w:val="18"/>
              </w:rPr>
              <w:t>40.0%</w:t>
            </w:r>
          </w:p>
        </w:tc>
        <w:tc>
          <w:tcPr>
            <w:tcW w:type="dxa" w:w="1337"/>
          </w:tcPr>
          <w:p>
            <w:pPr>
              <w:spacing w:line="276" w:lineRule="auto" w:before="40" w:after="40"/>
              <w:jc w:val="center"/>
            </w:pPr>
            <w:r>
              <w:rPr>
                <w:rFonts w:ascii="Times New Roman" w:hAnsi="Times New Roman"/>
                <w:color w:val="000000"/>
                <w:sz w:val="18"/>
              </w:rPr>
              <w:t>41.5%</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0.0697</w:t>
            </w:r>
          </w:p>
        </w:tc>
        <w:tc>
          <w:tcPr>
            <w:tcW w:type="dxa" w:w="1337"/>
          </w:tcPr>
          <w:p>
            <w:pPr>
              <w:spacing w:line="276" w:lineRule="auto" w:before="40" w:after="40"/>
              <w:jc w:val="center"/>
            </w:pPr>
            <w:r>
              <w:rPr>
                <w:rFonts w:ascii="Times New Roman" w:hAnsi="Times New Roman"/>
                <w:color w:val="000000"/>
                <w:sz w:val="18"/>
              </w:rPr>
              <w:t>0.0760</w:t>
            </w:r>
          </w:p>
        </w:tc>
        <w:tc>
          <w:tcPr>
            <w:tcW w:type="dxa" w:w="1337"/>
          </w:tcPr>
          <w:p>
            <w:pPr>
              <w:spacing w:line="276" w:lineRule="auto" w:before="40" w:after="40"/>
              <w:jc w:val="center"/>
            </w:pPr>
            <w:r>
              <w:rPr>
                <w:rFonts w:ascii="Times New Roman" w:hAnsi="Times New Roman"/>
                <w:color w:val="000000"/>
                <w:sz w:val="18"/>
              </w:rPr>
              <w:t>0.0701</w:t>
            </w:r>
          </w:p>
        </w:tc>
        <w:tc>
          <w:tcPr>
            <w:tcW w:type="dxa" w:w="1337"/>
          </w:tcPr>
          <w:p>
            <w:pPr>
              <w:spacing w:line="276" w:lineRule="auto" w:before="40" w:after="40"/>
              <w:jc w:val="center"/>
            </w:pPr>
            <w:r>
              <w:rPr>
                <w:rFonts w:ascii="Times New Roman" w:hAnsi="Times New Roman"/>
                <w:color w:val="000000"/>
                <w:sz w:val="18"/>
              </w:rPr>
              <w:t>46.2%</w:t>
            </w:r>
          </w:p>
        </w:tc>
        <w:tc>
          <w:tcPr>
            <w:tcW w:type="dxa" w:w="1337"/>
          </w:tcPr>
          <w:p>
            <w:pPr>
              <w:spacing w:line="276" w:lineRule="auto" w:before="40" w:after="40"/>
              <w:jc w:val="center"/>
            </w:pPr>
            <w:r>
              <w:rPr>
                <w:rFonts w:ascii="Times New Roman" w:hAnsi="Times New Roman"/>
                <w:color w:val="000000"/>
                <w:sz w:val="18"/>
              </w:rPr>
              <w:t>45.0%</w:t>
            </w:r>
          </w:p>
        </w:tc>
        <w:tc>
          <w:tcPr>
            <w:tcW w:type="dxa" w:w="1337"/>
          </w:tcPr>
          <w:p>
            <w:pPr>
              <w:spacing w:line="276" w:lineRule="auto" w:before="40" w:after="40"/>
              <w:jc w:val="center"/>
            </w:pPr>
            <w:r>
              <w:rPr>
                <w:rFonts w:ascii="Times New Roman" w:hAnsi="Times New Roman"/>
                <w:color w:val="000000"/>
                <w:sz w:val="18"/>
              </w:rPr>
              <w:t>42.3%</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0.0812</w:t>
            </w:r>
          </w:p>
        </w:tc>
        <w:tc>
          <w:tcPr>
            <w:tcW w:type="dxa" w:w="1337"/>
          </w:tcPr>
          <w:p>
            <w:pPr>
              <w:spacing w:line="276" w:lineRule="auto" w:before="40" w:after="40"/>
              <w:jc w:val="center"/>
            </w:pPr>
            <w:r>
              <w:rPr>
                <w:rFonts w:ascii="Times New Roman" w:hAnsi="Times New Roman"/>
                <w:color w:val="000000"/>
                <w:sz w:val="18"/>
              </w:rPr>
              <w:t>0.0804</w:t>
            </w:r>
          </w:p>
        </w:tc>
        <w:tc>
          <w:tcPr>
            <w:tcW w:type="dxa" w:w="1337"/>
          </w:tcPr>
          <w:p>
            <w:pPr>
              <w:spacing w:line="276" w:lineRule="auto" w:before="40" w:after="40"/>
              <w:jc w:val="center"/>
            </w:pPr>
            <w:r>
              <w:rPr>
                <w:rFonts w:ascii="Times New Roman" w:hAnsi="Times New Roman"/>
                <w:color w:val="000000"/>
                <w:sz w:val="18"/>
              </w:rPr>
              <w:t>0.0794</w:t>
            </w:r>
          </w:p>
        </w:tc>
        <w:tc>
          <w:tcPr>
            <w:tcW w:type="dxa" w:w="1337"/>
          </w:tcPr>
          <w:p>
            <w:pPr>
              <w:spacing w:line="276" w:lineRule="auto" w:before="40" w:after="40"/>
              <w:jc w:val="center"/>
            </w:pPr>
            <w:r>
              <w:rPr>
                <w:rFonts w:ascii="Times New Roman" w:hAnsi="Times New Roman"/>
                <w:color w:val="000000"/>
                <w:sz w:val="18"/>
              </w:rPr>
              <w:t>50.8%</w:t>
            </w:r>
          </w:p>
        </w:tc>
        <w:tc>
          <w:tcPr>
            <w:tcW w:type="dxa" w:w="1337"/>
          </w:tcPr>
          <w:p>
            <w:pPr>
              <w:spacing w:line="276" w:lineRule="auto" w:before="40" w:after="40"/>
              <w:jc w:val="center"/>
            </w:pPr>
            <w:r>
              <w:rPr>
                <w:rFonts w:ascii="Times New Roman" w:hAnsi="Times New Roman"/>
                <w:color w:val="000000"/>
                <w:sz w:val="18"/>
              </w:rPr>
              <w:t>44.6%</w:t>
            </w:r>
          </w:p>
        </w:tc>
        <w:tc>
          <w:tcPr>
            <w:tcW w:type="dxa" w:w="1337"/>
          </w:tcPr>
          <w:p>
            <w:pPr>
              <w:spacing w:line="276" w:lineRule="auto" w:before="40" w:after="40"/>
              <w:jc w:val="center"/>
            </w:pPr>
            <w:r>
              <w:rPr>
                <w:rFonts w:ascii="Times New Roman" w:hAnsi="Times New Roman"/>
                <w:color w:val="000000"/>
                <w:sz w:val="18"/>
              </w:rPr>
              <w:t>50.4%</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0.0789</w:t>
            </w:r>
          </w:p>
        </w:tc>
        <w:tc>
          <w:tcPr>
            <w:tcW w:type="dxa" w:w="1337"/>
          </w:tcPr>
          <w:p>
            <w:pPr>
              <w:spacing w:line="276" w:lineRule="auto" w:before="40" w:after="40"/>
              <w:jc w:val="center"/>
            </w:pPr>
            <w:r>
              <w:rPr>
                <w:rFonts w:ascii="Times New Roman" w:hAnsi="Times New Roman"/>
                <w:color w:val="000000"/>
                <w:sz w:val="18"/>
              </w:rPr>
              <w:t>0.0913</w:t>
            </w:r>
          </w:p>
        </w:tc>
        <w:tc>
          <w:tcPr>
            <w:tcW w:type="dxa" w:w="1337"/>
          </w:tcPr>
          <w:p>
            <w:pPr>
              <w:spacing w:line="276" w:lineRule="auto" w:before="40" w:after="40"/>
              <w:jc w:val="center"/>
            </w:pPr>
            <w:r>
              <w:rPr>
                <w:rFonts w:ascii="Times New Roman" w:hAnsi="Times New Roman"/>
                <w:color w:val="000000"/>
                <w:sz w:val="18"/>
              </w:rPr>
              <w:t>0.0795</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39.6%</w:t>
            </w:r>
          </w:p>
        </w:tc>
        <w:tc>
          <w:tcPr>
            <w:tcW w:type="dxa" w:w="1337"/>
          </w:tcPr>
          <w:p>
            <w:pPr>
              <w:spacing w:line="276" w:lineRule="auto" w:before="40" w:after="40"/>
              <w:jc w:val="center"/>
            </w:pPr>
            <w:r>
              <w:rPr>
                <w:rFonts w:ascii="Times New Roman" w:hAnsi="Times New Roman"/>
                <w:color w:val="000000"/>
                <w:sz w:val="18"/>
              </w:rPr>
              <w:t>41.2%</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0.0490</w:t>
            </w:r>
          </w:p>
        </w:tc>
        <w:tc>
          <w:tcPr>
            <w:tcW w:type="dxa" w:w="1337"/>
          </w:tcPr>
          <w:p>
            <w:pPr>
              <w:spacing w:line="276" w:lineRule="auto" w:before="40" w:after="40"/>
              <w:jc w:val="center"/>
            </w:pPr>
            <w:r>
              <w:rPr>
                <w:rFonts w:ascii="Times New Roman" w:hAnsi="Times New Roman"/>
                <w:color w:val="000000"/>
                <w:sz w:val="18"/>
              </w:rPr>
              <w:t>0.0502</w:t>
            </w:r>
          </w:p>
        </w:tc>
        <w:tc>
          <w:tcPr>
            <w:tcW w:type="dxa" w:w="1337"/>
          </w:tcPr>
          <w:p>
            <w:pPr>
              <w:spacing w:line="276" w:lineRule="auto" w:before="40" w:after="40"/>
              <w:jc w:val="center"/>
            </w:pPr>
            <w:r>
              <w:rPr>
                <w:rFonts w:ascii="Times New Roman" w:hAnsi="Times New Roman"/>
                <w:color w:val="000000"/>
                <w:sz w:val="18"/>
              </w:rPr>
              <w:t>0.0493</w:t>
            </w:r>
          </w:p>
        </w:tc>
        <w:tc>
          <w:tcPr>
            <w:tcW w:type="dxa" w:w="1337"/>
          </w:tcPr>
          <w:p>
            <w:pPr>
              <w:spacing w:line="276" w:lineRule="auto" w:before="40" w:after="40"/>
              <w:jc w:val="center"/>
            </w:pPr>
            <w:r>
              <w:rPr>
                <w:rFonts w:ascii="Times New Roman" w:hAnsi="Times New Roman"/>
                <w:color w:val="000000"/>
                <w:sz w:val="18"/>
              </w:rPr>
              <w:t>50.4%</w:t>
            </w:r>
          </w:p>
        </w:tc>
        <w:tc>
          <w:tcPr>
            <w:tcW w:type="dxa" w:w="1337"/>
          </w:tcPr>
          <w:p>
            <w:pPr>
              <w:spacing w:line="276" w:lineRule="auto" w:before="40" w:after="40"/>
              <w:jc w:val="center"/>
            </w:pPr>
            <w:r>
              <w:rPr>
                <w:rFonts w:ascii="Times New Roman" w:hAnsi="Times New Roman"/>
                <w:color w:val="000000"/>
                <w:sz w:val="18"/>
              </w:rPr>
              <w:t>44.2%</w:t>
            </w:r>
          </w:p>
        </w:tc>
        <w:tc>
          <w:tcPr>
            <w:tcW w:type="dxa" w:w="1337"/>
          </w:tcPr>
          <w:p>
            <w:pPr>
              <w:spacing w:line="276" w:lineRule="auto" w:before="40" w:after="40"/>
              <w:jc w:val="center"/>
            </w:pPr>
            <w:r>
              <w:rPr>
                <w:rFonts w:ascii="Times New Roman" w:hAnsi="Times New Roman"/>
                <w:color w:val="000000"/>
                <w:sz w:val="18"/>
              </w:rPr>
              <w:t>50.8%</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0.0553</w:t>
            </w:r>
          </w:p>
        </w:tc>
        <w:tc>
          <w:tcPr>
            <w:tcW w:type="dxa" w:w="1337"/>
          </w:tcPr>
          <w:p>
            <w:pPr>
              <w:spacing w:line="276" w:lineRule="auto" w:before="40" w:after="40"/>
              <w:jc w:val="center"/>
            </w:pPr>
            <w:r>
              <w:rPr>
                <w:rFonts w:ascii="Times New Roman" w:hAnsi="Times New Roman"/>
                <w:color w:val="000000"/>
                <w:sz w:val="18"/>
              </w:rPr>
              <w:t>0.0561</w:t>
            </w:r>
          </w:p>
        </w:tc>
        <w:tc>
          <w:tcPr>
            <w:tcW w:type="dxa" w:w="1337"/>
          </w:tcPr>
          <w:p>
            <w:pPr>
              <w:spacing w:line="276" w:lineRule="auto" w:before="40" w:after="40"/>
              <w:jc w:val="center"/>
            </w:pPr>
            <w:r>
              <w:rPr>
                <w:rFonts w:ascii="Times New Roman" w:hAnsi="Times New Roman"/>
                <w:color w:val="000000"/>
                <w:sz w:val="18"/>
              </w:rPr>
              <w:t>0.0551</w:t>
            </w:r>
          </w:p>
        </w:tc>
        <w:tc>
          <w:tcPr>
            <w:tcW w:type="dxa" w:w="1337"/>
          </w:tcPr>
          <w:p>
            <w:pPr>
              <w:spacing w:line="276" w:lineRule="auto" w:before="40" w:after="40"/>
              <w:jc w:val="center"/>
            </w:pPr>
            <w:r>
              <w:rPr>
                <w:rFonts w:ascii="Times New Roman" w:hAnsi="Times New Roman"/>
                <w:color w:val="000000"/>
                <w:sz w:val="18"/>
              </w:rPr>
              <w:t>39.6%</w:t>
            </w:r>
          </w:p>
        </w:tc>
        <w:tc>
          <w:tcPr>
            <w:tcW w:type="dxa" w:w="1337"/>
          </w:tcPr>
          <w:p>
            <w:pPr>
              <w:spacing w:line="276" w:lineRule="auto" w:before="40" w:after="40"/>
              <w:jc w:val="center"/>
            </w:pPr>
            <w:r>
              <w:rPr>
                <w:rFonts w:ascii="Times New Roman" w:hAnsi="Times New Roman"/>
                <w:color w:val="000000"/>
                <w:sz w:val="18"/>
              </w:rPr>
              <w:t>38.5%</w:t>
            </w:r>
          </w:p>
        </w:tc>
        <w:tc>
          <w:tcPr>
            <w:tcW w:type="dxa" w:w="1337"/>
          </w:tcPr>
          <w:p>
            <w:pPr>
              <w:spacing w:line="276" w:lineRule="auto" w:before="40" w:after="40"/>
              <w:jc w:val="center"/>
            </w:pPr>
            <w:r>
              <w:rPr>
                <w:rFonts w:ascii="Times New Roman" w:hAnsi="Times New Roman"/>
                <w:color w:val="000000"/>
                <w:sz w:val="18"/>
              </w:rPr>
              <w:t>39.2%</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0.0693</w:t>
            </w:r>
          </w:p>
        </w:tc>
        <w:tc>
          <w:tcPr>
            <w:tcW w:type="dxa" w:w="1337"/>
          </w:tcPr>
          <w:p>
            <w:pPr>
              <w:spacing w:line="276" w:lineRule="auto" w:before="40" w:after="40"/>
              <w:jc w:val="center"/>
            </w:pPr>
            <w:r>
              <w:rPr>
                <w:rFonts w:ascii="Times New Roman" w:hAnsi="Times New Roman"/>
                <w:color w:val="000000"/>
                <w:sz w:val="18"/>
              </w:rPr>
              <w:t>0.0681</w:t>
            </w:r>
          </w:p>
        </w:tc>
        <w:tc>
          <w:tcPr>
            <w:tcW w:type="dxa" w:w="1337"/>
          </w:tcPr>
          <w:p>
            <w:pPr>
              <w:spacing w:line="276" w:lineRule="auto" w:before="40" w:after="40"/>
              <w:jc w:val="center"/>
            </w:pPr>
            <w:r>
              <w:rPr>
                <w:rFonts w:ascii="Times New Roman" w:hAnsi="Times New Roman"/>
                <w:color w:val="000000"/>
                <w:sz w:val="18"/>
              </w:rPr>
              <w:t>0.0696</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49.2%</w:t>
            </w:r>
          </w:p>
        </w:tc>
        <w:tc>
          <w:tcPr>
            <w:tcW w:type="dxa" w:w="1337"/>
          </w:tcPr>
          <w:p>
            <w:pPr>
              <w:spacing w:line="276" w:lineRule="auto" w:before="40" w:after="40"/>
              <w:jc w:val="center"/>
            </w:pPr>
            <w:r>
              <w:rPr>
                <w:rFonts w:ascii="Times New Roman" w:hAnsi="Times New Roman"/>
                <w:color w:val="000000"/>
                <w:sz w:val="18"/>
              </w:rPr>
              <w:t>43.5%</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0.0449</w:t>
            </w:r>
          </w:p>
        </w:tc>
        <w:tc>
          <w:tcPr>
            <w:tcW w:type="dxa" w:w="1337"/>
          </w:tcPr>
          <w:p>
            <w:pPr>
              <w:spacing w:line="276" w:lineRule="auto" w:before="40" w:after="40"/>
              <w:jc w:val="center"/>
            </w:pPr>
            <w:r>
              <w:rPr>
                <w:rFonts w:ascii="Times New Roman" w:hAnsi="Times New Roman"/>
                <w:color w:val="000000"/>
                <w:sz w:val="18"/>
              </w:rPr>
              <w:t>0.0473</w:t>
            </w:r>
          </w:p>
        </w:tc>
        <w:tc>
          <w:tcPr>
            <w:tcW w:type="dxa" w:w="1337"/>
          </w:tcPr>
          <w:p>
            <w:pPr>
              <w:spacing w:line="276" w:lineRule="auto" w:before="40" w:after="40"/>
              <w:jc w:val="center"/>
            </w:pPr>
            <w:r>
              <w:rPr>
                <w:rFonts w:ascii="Times New Roman" w:hAnsi="Times New Roman"/>
                <w:color w:val="000000"/>
                <w:sz w:val="18"/>
              </w:rPr>
              <w:t>0.0458</w:t>
            </w:r>
          </w:p>
        </w:tc>
        <w:tc>
          <w:tcPr>
            <w:tcW w:type="dxa" w:w="1337"/>
          </w:tcPr>
          <w:p>
            <w:pPr>
              <w:spacing w:line="276" w:lineRule="auto" w:before="40" w:after="40"/>
              <w:jc w:val="center"/>
            </w:pPr>
            <w:r>
              <w:rPr>
                <w:rFonts w:ascii="Times New Roman" w:hAnsi="Times New Roman"/>
                <w:color w:val="000000"/>
                <w:sz w:val="18"/>
              </w:rPr>
              <w:t>51.2%</w:t>
            </w:r>
          </w:p>
        </w:tc>
        <w:tc>
          <w:tcPr>
            <w:tcW w:type="dxa" w:w="1337"/>
          </w:tcPr>
          <w:p>
            <w:pPr>
              <w:spacing w:line="276" w:lineRule="auto" w:before="40" w:after="40"/>
              <w:jc w:val="center"/>
            </w:pPr>
            <w:r>
              <w:rPr>
                <w:rFonts w:ascii="Times New Roman" w:hAnsi="Times New Roman"/>
                <w:color w:val="000000"/>
                <w:sz w:val="18"/>
              </w:rPr>
              <w:t>42.7%</w:t>
            </w:r>
          </w:p>
        </w:tc>
        <w:tc>
          <w:tcPr>
            <w:tcW w:type="dxa" w:w="1337"/>
          </w:tcPr>
          <w:p>
            <w:pPr>
              <w:spacing w:line="276" w:lineRule="auto" w:before="40" w:after="40"/>
              <w:jc w:val="center"/>
            </w:pPr>
            <w:r>
              <w:rPr>
                <w:rFonts w:ascii="Times New Roman" w:hAnsi="Times New Roman"/>
                <w:color w:val="000000"/>
                <w:sz w:val="18"/>
              </w:rPr>
              <w:t>47.3%</w:t>
            </w:r>
          </w:p>
        </w:tc>
      </w:tr>
      <w:tr>
        <w:tc>
          <w:tcPr>
            <w:tcW w:type="dxa" w:w="1337"/>
          </w:tcPr>
          <w:p>
            <w:pPr>
              <w:spacing w:line="276" w:lineRule="auto" w:before="40" w:after="40"/>
              <w:jc w:val="center"/>
            </w:pPr>
            <w:r>
              <w:rPr>
                <w:rFonts w:ascii="Times New Roman" w:hAnsi="Times New Roman"/>
                <w:color w:val="000000"/>
                <w:sz w:val="18"/>
              </w:rPr>
              <w:t>AVERAGE</w:t>
            </w:r>
          </w:p>
        </w:tc>
        <w:tc>
          <w:tcPr>
            <w:tcW w:type="dxa" w:w="1337"/>
          </w:tcPr>
          <w:p>
            <w:pPr>
              <w:spacing w:line="276" w:lineRule="auto" w:before="40" w:after="40"/>
              <w:jc w:val="center"/>
            </w:pPr>
            <w:r>
              <w:rPr>
                <w:rFonts w:ascii="Times New Roman" w:hAnsi="Times New Roman"/>
                <w:color w:val="000000"/>
                <w:sz w:val="18"/>
              </w:rPr>
              <w:t>0.0602</w:t>
            </w:r>
          </w:p>
        </w:tc>
        <w:tc>
          <w:tcPr>
            <w:tcW w:type="dxa" w:w="1337"/>
          </w:tcPr>
          <w:p>
            <w:pPr>
              <w:spacing w:line="276" w:lineRule="auto" w:before="40" w:after="40"/>
              <w:jc w:val="center"/>
            </w:pPr>
            <w:r>
              <w:rPr>
                <w:rFonts w:ascii="Times New Roman" w:hAnsi="Times New Roman"/>
                <w:color w:val="000000"/>
                <w:sz w:val="18"/>
              </w:rPr>
              <w:t>0.0627</w:t>
            </w:r>
          </w:p>
        </w:tc>
        <w:tc>
          <w:tcPr>
            <w:tcW w:type="dxa" w:w="1337"/>
          </w:tcPr>
          <w:p>
            <w:pPr>
              <w:spacing w:line="276" w:lineRule="auto" w:before="40" w:after="40"/>
              <w:jc w:val="center"/>
            </w:pPr>
            <w:r>
              <w:rPr>
                <w:rFonts w:ascii="Times New Roman" w:hAnsi="Times New Roman"/>
                <w:color w:val="000000"/>
                <w:sz w:val="18"/>
              </w:rPr>
              <w:t>0.0608</w:t>
            </w:r>
          </w:p>
        </w:tc>
        <w:tc>
          <w:tcPr>
            <w:tcW w:type="dxa" w:w="1337"/>
          </w:tcPr>
          <w:p>
            <w:pPr>
              <w:spacing w:line="276" w:lineRule="auto" w:before="40" w:after="40"/>
              <w:jc w:val="center"/>
            </w:pPr>
            <w:r>
              <w:rPr>
                <w:rFonts w:ascii="Times New Roman" w:hAnsi="Times New Roman"/>
                <w:color w:val="000000"/>
                <w:sz w:val="18"/>
              </w:rPr>
              <w:t>37.9%</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37.8%</w:t>
            </w:r>
          </w:p>
        </w:tc>
      </w:tr>
    </w:tbl>
    <w:p>
      <w:pPr>
        <w:spacing w:after="120"/>
      </w:pPr>
    </w:p>
    <w:p>
      <w:pPr>
        <w:spacing w:line="480" w:lineRule="auto" w:before="0" w:after="0"/>
        <w:jc w:val="left"/>
      </w:pPr>
      <w:r>
        <w:rPr>
          <w:rFonts w:ascii="Times New Roman" w:hAnsi="Times New Roman"/>
          <w:i/>
          <w:color w:val="000000"/>
          <w:sz w:val="20"/>
        </w:rPr>
        <w:t>Source: Author's computation (2026). DA (%) denotes Directional Accuracy across all 28 assets.</w:t>
      </w:r>
    </w:p>
    <w:p>
      <w:pPr>
        <w:spacing w:line="480" w:lineRule="auto" w:before="0" w:after="0"/>
        <w:jc w:val="left"/>
      </w:pPr>
      <w:r>
        <w:rPr>
          <w:rFonts w:ascii="Times New Roman" w:hAnsi="Times New Roman"/>
          <w:b/>
          <w:color w:val="000000"/>
          <w:sz w:val="24"/>
        </w:rPr>
        <w:t>4.5.1 Econometric Evaluation: Resolving the RMSE vs. Portfolio Alpha Paradox</w:t>
      </w:r>
    </w:p>
    <w:p>
      <w:pPr>
        <w:spacing w:line="480" w:lineRule="auto" w:before="0" w:after="0"/>
        <w:jc w:val="both"/>
      </w:pPr>
      <w:r>
        <w:rPr>
          <w:rFonts w:ascii="Times New Roman" w:hAnsi="Times New Roman"/>
          <w:color w:val="000000"/>
          <w:sz w:val="24"/>
        </w:rPr>
        <w:t>A critical empirical observation in Table 4.3 is that the out-of-sample Root Mean Squared Error (RMSE) across all 28 NGX equities averages 0.0602 for the flat Historical Mean baseline, compared to 0.0608 for XGBoost and 0.0627 for Random Forest. Similarly, binary directional accuracy (DA) hovers around 37.8% to 38.1% across assets. On a surface level, this might lead to the erroneous conclusion that machine learning models fail to outperform historical baselines. However, when evaluated in downstream portfolio optimization (Section 4.7), XGBoost-integrated Mean-CVaR achieves a gross Sharpe ratio of 1.52 (42.00% annualized return) compared to 0.91 for passive indexing and 0.76 for Markowitz MVO. Resolving this apparent discrepancy requires a rigorous econometric evaluation of the mathematical mechanics of RMSE versus portfolio selection utility.</w:t>
      </w:r>
    </w:p>
    <w:p>
      <w:pPr>
        <w:spacing w:line="480" w:lineRule="auto" w:before="0" w:after="0"/>
        <w:jc w:val="both"/>
      </w:pPr>
      <w:r>
        <w:rPr>
          <w:rFonts w:ascii="Times New Roman" w:hAnsi="Times New Roman"/>
          <w:color w:val="000000"/>
          <w:sz w:val="24"/>
        </w:rPr>
        <w:t>First, the apparent superiority of the Historical Mean in raw RMSE stems from the statistical properties of financial return noise under an L2 quadratic loss function. The Root Mean Squared Error penalizes prediction errors quadratically: RMSE = sqrt((1/N) * sum((y_hat_t - y_t)^2)). At weekly sampling horizons, equity return series are dominated by high-frequency, zero-mean unobserved news noise. During quiet, low-volatility market regimes where asset returns fluctuate randomly around zero (+0.4%, -0.2%, +0.1%), a static forecast equal to the historical sample mean (y_hat_t = 0.001) minimizes squared error variance across hundreds of noise observations. Conversely, non-linear ML models generate dynamic, non-zero return forecasts. When unpredictable random noise causes weekly returns to move opposite to a dynamic prediction, the quadratic L2 loss function severely penalizes the ML model. Consequently, the flat baseline achieves a marginally lower aggregate point RMSE simply by predicting near-zero constant returns across noise weeks.</w:t>
      </w:r>
    </w:p>
    <w:p>
      <w:pPr>
        <w:spacing w:line="480" w:lineRule="auto" w:before="0" w:after="0"/>
        <w:jc w:val="both"/>
      </w:pPr>
      <w:r>
        <w:rPr>
          <w:rFonts w:ascii="Times New Roman" w:hAnsi="Times New Roman"/>
          <w:color w:val="000000"/>
          <w:sz w:val="24"/>
        </w:rPr>
        <w:t>Second, classical point-forecasting metrics such as RMSE and binary Directional Accuracy evaluate asset returns in isolation along a single temporal axis. In contrast, multi-asset portfolio optimization (Markowitz, 1952; Rockafellar &amp; Uryasev, 2000) does not operate on isolated point accuracy; rather, it depends fundamentally on cross-sectional magnitude discrimination across the asset universe at each rebalancing time step t. The Mean-CVaR portfolio optimizer does not require perfect sign prediction across noise weeks; it requires accurate cross-sectional ranking, specifically identifying which assets will experience severe downside drawdowns (left-tail events) versus which equities retain strong positive volume-confirmed momentum.</w:t>
      </w:r>
    </w:p>
    <w:p>
      <w:pPr>
        <w:spacing w:line="480" w:lineRule="auto" w:before="0" w:after="0"/>
        <w:jc w:val="both"/>
      </w:pPr>
      <w:r>
        <w:rPr>
          <w:rFonts w:ascii="Times New Roman" w:hAnsi="Times New Roman"/>
          <w:color w:val="000000"/>
          <w:sz w:val="24"/>
        </w:rPr>
        <w:t>Third, tree-based machine learning ensembles (Random Forest and XGBoost) successfully extract non-linear cross-sectional signals by leveraging technical indicators. Feature importance analysis (Section 4.6) demonstrates that short-term momentum indicators, specifically the Percentage Price Oscillator (PPO), Relative Strength Index (RSI), and On-Balance Volume (OBV), serve as primary predictive drivers. By incorporating volume-confirmed trend strength and volatility scaling (ATR, ADX), tree models effectively capture non-linear market regime shifts. Even if an ML model overpredicts return magnitude during a noise week (incurring a small RMSE penalty), its predicted expected return vector (mu_hat_t) correctly ranks top-performing equities relative to high-risk equities across the 28 NGX assets.</w:t>
      </w:r>
    </w:p>
    <w:p>
      <w:pPr>
        <w:spacing w:line="480" w:lineRule="auto" w:before="0" w:after="0"/>
        <w:jc w:val="both"/>
      </w:pPr>
      <w:r>
        <w:rPr>
          <w:rFonts w:ascii="Times New Roman" w:hAnsi="Times New Roman"/>
          <w:color w:val="000000"/>
          <w:sz w:val="24"/>
        </w:rPr>
        <w:t>Fourth, when these dynamic expected return vectors (mu_hat_t) are passed into the convex Mean-CVaR linear program, the optimizer re-allocates capital toward high-ranked momentum equities while penalizing assets exposed to left-tail drawdowns. Under zero fee friction (Table 4.5), XGB-CVaR achieves a gross Sharpe ratio of 1.52 (+42.00% annualized return, -22.09% max drawdown), yielding a statistically significant Sharpe outperformance over passive indexing (Ledoit-Wolf circular block bootstrap p = 0.015 &lt; 0.05) and positive welfare gains (+819 bps Certainty Equivalent Return gain).</w:t>
      </w:r>
    </w:p>
    <w:p>
      <w:pPr>
        <w:spacing w:line="480" w:lineRule="auto" w:before="0" w:after="0"/>
        <w:jc w:val="both"/>
      </w:pPr>
      <w:r>
        <w:rPr>
          <w:rFonts w:ascii="Times New Roman" w:hAnsi="Times New Roman"/>
          <w:color w:val="000000"/>
          <w:sz w:val="24"/>
        </w:rPr>
        <w:t>In conclusion, the empirical evidence demonstrates that raw RMSE is an inadequate metric for evaluating machine learning models in portfolio selection. RMSE measures point prediction noise, whereas financial portfolio optimization rewards cross-sectional relative ranking and downside tail-risk avoidance. The machine learning models deliver superior portfolio performance because they capture relative cross-sectional momentum and tail risk, generating substantial economic alpha despite achieving a slightly higher point RMSE.</w:t>
      </w:r>
    </w:p>
    <w:p>
      <w:pPr>
        <w:spacing w:line="480" w:lineRule="auto" w:before="0" w:after="0"/>
        <w:jc w:val="left"/>
      </w:pPr>
      <w:r>
        <w:rPr>
          <w:rFonts w:ascii="Times New Roman" w:hAnsi="Times New Roman"/>
          <w:b/>
          <w:color w:val="000000"/>
          <w:sz w:val="24"/>
        </w:rPr>
        <w:t>4.6 Feature Importance and Predictive Driver Analysis</w:t>
      </w:r>
    </w:p>
    <w:p>
      <w:pPr>
        <w:spacing w:line="480" w:lineRule="auto" w:before="0" w:after="0"/>
        <w:jc w:val="both"/>
      </w:pPr>
      <w:r>
        <w:rPr>
          <w:rFonts w:ascii="Times New Roman" w:hAnsi="Times New Roman"/>
          <w:color w:val="000000"/>
          <w:sz w:val="24"/>
        </w:rPr>
        <w:t>Figure 4.2 illustrates the relative feature importances derived from Mean Decrease Impurity (MDI) across all trained tree models. Short-term price momentum features, specifically the Percentage Price Oscillator (PPO) and Relative Strength Index (RSI), alongside On-Balance Volume (OBV) emerged as the primary drivers of return predictability. Lagged return features (Lag 1 to Lag 4) provided supplementary predictive weight.</w:t>
      </w:r>
    </w:p>
    <w:p>
      <w:pPr>
        <w:jc w:val="center"/>
      </w:pPr>
      <w:r>
        <w:drawing>
          <wp:inline xmlns:a="http://schemas.openxmlformats.org/drawingml/2006/main" xmlns:pic="http://schemas.openxmlformats.org/drawingml/2006/picture">
            <wp:extent cx="5303520" cy="3093720"/>
            <wp:docPr id="4" name="Picture 4"/>
            <wp:cNvGraphicFramePr>
              <a:graphicFrameLocks noChangeAspect="1"/>
            </wp:cNvGraphicFramePr>
            <a:graphic>
              <a:graphicData uri="http://schemas.openxmlformats.org/drawingml/2006/picture">
                <pic:pic>
                  <pic:nvPicPr>
                    <pic:cNvPr id="0" name="feature_importance_bar.png"/>
                    <pic:cNvPicPr/>
                  </pic:nvPicPr>
                  <pic:blipFill>
                    <a:blip r:embed="rId9"/>
                    <a:stretch>
                      <a:fillRect/>
                    </a:stretch>
                  </pic:blipFill>
                  <pic:spPr>
                    <a:xfrm>
                      <a:off x="0" y="0"/>
                      <a:ext cx="5303520" cy="3093720"/>
                    </a:xfrm>
                    <a:prstGeom prst="rect"/>
                  </pic:spPr>
                </pic:pic>
              </a:graphicData>
            </a:graphic>
          </wp:inline>
        </w:drawing>
      </w:r>
    </w:p>
    <w:p>
      <w:pPr>
        <w:spacing w:line="480" w:lineRule="auto" w:before="0" w:after="0"/>
        <w:jc w:val="left"/>
      </w:pPr>
      <w:r>
        <w:rPr>
          <w:rFonts w:ascii="Times New Roman" w:hAnsi="Times New Roman"/>
          <w:i/>
          <w:color w:val="000000"/>
          <w:sz w:val="20"/>
        </w:rPr>
        <w:t>Figure 4.2: Feature Importance Breakdown across Technical Indicators</w:t>
      </w:r>
    </w:p>
    <w:p>
      <w:pPr>
        <w:spacing w:line="480" w:lineRule="auto" w:before="0" w:after="0"/>
        <w:jc w:val="left"/>
      </w:pPr>
      <w:r>
        <w:rPr>
          <w:rFonts w:ascii="Times New Roman" w:hAnsi="Times New Roman"/>
          <w:b/>
          <w:color w:val="000000"/>
          <w:sz w:val="24"/>
        </w:rPr>
        <w:t>4.7 Out-of-Sample Portfolio Optimization Backtest and Sensitivity Analysis</w:t>
      </w:r>
    </w:p>
    <w:p>
      <w:pPr>
        <w:spacing w:line="480" w:lineRule="auto" w:before="0" w:after="0"/>
        <w:jc w:val="both"/>
      </w:pPr>
      <w:r>
        <w:rPr>
          <w:rFonts w:ascii="Times New Roman" w:hAnsi="Times New Roman"/>
          <w:color w:val="000000"/>
          <w:sz w:val="24"/>
        </w:rPr>
        <w:t>Six portfolio strategies were backtested out-of-sample over the 2021-2025 period: RF-CVaR, XGB-CVaR, Historical-CVaR, Markowitz Mean-Variance Optimization (MVO), 1/N Equal Weighting, and NGX Index Buy-and-Hold. Backtests were evaluated under three distinct market fee regimes: (i) a 1.50% retail transaction fee and market slippage model (150 bps), (ii) a 0.75% institutional PFA brokerage fee model (75 bps), and (iii) a zero-transaction-cost environment (0.00%) to evaluate gross alpha generation. All strategies incorporated the weekly CBN 91-day T-Bill risk-free rate (0.319% / 18.00% annualized).</w:t>
      </w:r>
    </w:p>
    <w:p>
      <w:pPr>
        <w:spacing w:line="480" w:lineRule="auto" w:before="0" w:after="0"/>
        <w:jc w:val="left"/>
      </w:pPr>
      <w:r>
        <w:rPr>
          <w:rFonts w:ascii="Times New Roman" w:hAnsi="Times New Roman"/>
          <w:b/>
          <w:color w:val="000000"/>
          <w:sz w:val="24"/>
        </w:rPr>
        <w:t>Table 4.4: Out-of-Sample Portfolio Performance with 1.50% Retail Transaction Fees &amp; Market Slippage</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Ann. Ret (%)</w:t>
            </w:r>
          </w:p>
        </w:tc>
        <w:tc>
          <w:tcPr>
            <w:tcW w:type="dxa" w:w="1170"/>
            <w:shd w:val="clear" w:color="auto" w:fill="F2F2F2"/>
          </w:tcPr>
          <w:p>
            <w:pPr>
              <w:spacing w:line="276" w:lineRule="auto" w:before="40" w:after="40"/>
              <w:jc w:val="center"/>
            </w:pPr>
            <w:r>
              <w:rPr>
                <w:rFonts w:ascii="Times New Roman" w:hAnsi="Times New Roman"/>
                <w:b/>
                <w:color w:val="000000"/>
                <w:sz w:val="19"/>
              </w:rPr>
              <w:t>Ann. Vol (%)</w:t>
            </w:r>
          </w:p>
        </w:tc>
        <w:tc>
          <w:tcPr>
            <w:tcW w:type="dxa" w:w="1170"/>
            <w:shd w:val="clear" w:color="auto" w:fill="F2F2F2"/>
          </w:tcPr>
          <w:p>
            <w:pPr>
              <w:spacing w:line="276" w:lineRule="auto" w:before="40" w:after="40"/>
              <w:jc w:val="center"/>
            </w:pPr>
            <w:r>
              <w:rPr>
                <w:rFonts w:ascii="Times New Roman" w:hAnsi="Times New Roman"/>
                <w:b/>
                <w:color w:val="000000"/>
                <w:sz w:val="19"/>
              </w:rPr>
              <w:t>Sharpe</w:t>
            </w:r>
          </w:p>
        </w:tc>
        <w:tc>
          <w:tcPr>
            <w:tcW w:type="dxa" w:w="1170"/>
            <w:shd w:val="clear" w:color="auto" w:fill="F2F2F2"/>
          </w:tcPr>
          <w:p>
            <w:pPr>
              <w:spacing w:line="276" w:lineRule="auto" w:before="40" w:after="40"/>
              <w:jc w:val="center"/>
            </w:pPr>
            <w:r>
              <w:rPr>
                <w:rFonts w:ascii="Times New Roman" w:hAnsi="Times New Roman"/>
                <w:b/>
                <w:color w:val="000000"/>
                <w:sz w:val="19"/>
              </w:rPr>
              <w:t>Sortino</w:t>
            </w:r>
          </w:p>
        </w:tc>
        <w:tc>
          <w:tcPr>
            <w:tcW w:type="dxa" w:w="1170"/>
            <w:shd w:val="clear" w:color="auto" w:fill="F2F2F2"/>
          </w:tcPr>
          <w:p>
            <w:pPr>
              <w:spacing w:line="276" w:lineRule="auto" w:before="40" w:after="40"/>
              <w:jc w:val="center"/>
            </w:pPr>
            <w:r>
              <w:rPr>
                <w:rFonts w:ascii="Times New Roman" w:hAnsi="Times New Roman"/>
                <w:b/>
                <w:color w:val="000000"/>
                <w:sz w:val="19"/>
              </w:rPr>
              <w:t>VaR 95%</w:t>
            </w:r>
          </w:p>
        </w:tc>
        <w:tc>
          <w:tcPr>
            <w:tcW w:type="dxa" w:w="1170"/>
            <w:shd w:val="clear" w:color="auto" w:fill="F2F2F2"/>
          </w:tcPr>
          <w:p>
            <w:pPr>
              <w:spacing w:line="276" w:lineRule="auto" w:before="40" w:after="40"/>
              <w:jc w:val="center"/>
            </w:pPr>
            <w:r>
              <w:rPr>
                <w:rFonts w:ascii="Times New Roman" w:hAnsi="Times New Roman"/>
                <w:b/>
                <w:color w:val="000000"/>
                <w:sz w:val="19"/>
              </w:rPr>
              <w:t>CVaR 95%</w:t>
            </w:r>
          </w:p>
        </w:tc>
        <w:tc>
          <w:tcPr>
            <w:tcW w:type="dxa" w:w="1170"/>
            <w:shd w:val="clear" w:color="auto" w:fill="F2F2F2"/>
          </w:tcPr>
          <w:p>
            <w:pPr>
              <w:spacing w:line="276" w:lineRule="auto" w:before="40" w:after="40"/>
              <w:jc w:val="center"/>
            </w:pPr>
            <w:r>
              <w:rPr>
                <w:rFonts w:ascii="Times New Roman" w:hAnsi="Times New Roman"/>
                <w:b/>
                <w:color w:val="000000"/>
                <w:sz w:val="19"/>
              </w:rPr>
              <w:t>Max DD (%)</w:t>
            </w:r>
          </w:p>
        </w:tc>
      </w:tr>
      <w:tr>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35.37%</w:t>
            </w:r>
          </w:p>
        </w:tc>
        <w:tc>
          <w:tcPr>
            <w:tcW w:type="dxa" w:w="1170"/>
          </w:tcPr>
          <w:p>
            <w:pPr>
              <w:spacing w:line="276" w:lineRule="auto" w:before="40" w:after="40"/>
              <w:jc w:val="center"/>
            </w:pPr>
            <w:r>
              <w:rPr>
                <w:rFonts w:ascii="Times New Roman" w:hAnsi="Times New Roman"/>
                <w:color w:val="000000"/>
                <w:sz w:val="18"/>
              </w:rPr>
              <w:t>16.17%</w:t>
            </w:r>
          </w:p>
        </w:tc>
        <w:tc>
          <w:tcPr>
            <w:tcW w:type="dxa" w:w="1170"/>
          </w:tcPr>
          <w:p>
            <w:pPr>
              <w:spacing w:line="276" w:lineRule="auto" w:before="40" w:after="40"/>
              <w:jc w:val="center"/>
            </w:pPr>
            <w:r>
              <w:rPr>
                <w:rFonts w:ascii="Times New Roman" w:hAnsi="Times New Roman"/>
                <w:color w:val="000000"/>
                <w:sz w:val="18"/>
              </w:rPr>
              <w:t>1.07</w:t>
            </w:r>
          </w:p>
        </w:tc>
        <w:tc>
          <w:tcPr>
            <w:tcW w:type="dxa" w:w="1170"/>
          </w:tcPr>
          <w:p>
            <w:pPr>
              <w:spacing w:line="276" w:lineRule="auto" w:before="40" w:after="40"/>
              <w:jc w:val="center"/>
            </w:pPr>
            <w:r>
              <w:rPr>
                <w:rFonts w:ascii="Times New Roman" w:hAnsi="Times New Roman"/>
                <w:color w:val="000000"/>
                <w:sz w:val="18"/>
              </w:rPr>
              <w:t>1.99</w:t>
            </w:r>
          </w:p>
        </w:tc>
        <w:tc>
          <w:tcPr>
            <w:tcW w:type="dxa" w:w="1170"/>
          </w:tcPr>
          <w:p>
            <w:pPr>
              <w:spacing w:line="276" w:lineRule="auto" w:before="40" w:after="40"/>
              <w:jc w:val="center"/>
            </w:pPr>
            <w:r>
              <w:rPr>
                <w:rFonts w:ascii="Times New Roman" w:hAnsi="Times New Roman"/>
                <w:color w:val="000000"/>
                <w:sz w:val="18"/>
              </w:rPr>
              <w:t>-2.25%</w:t>
            </w:r>
          </w:p>
        </w:tc>
        <w:tc>
          <w:tcPr>
            <w:tcW w:type="dxa" w:w="1170"/>
          </w:tcPr>
          <w:p>
            <w:pPr>
              <w:spacing w:line="276" w:lineRule="auto" w:before="40" w:after="40"/>
              <w:jc w:val="center"/>
            </w:pPr>
            <w:r>
              <w:rPr>
                <w:rFonts w:ascii="Times New Roman" w:hAnsi="Times New Roman"/>
                <w:color w:val="000000"/>
                <w:sz w:val="18"/>
              </w:rPr>
              <w:t>-3.05%</w:t>
            </w:r>
          </w:p>
        </w:tc>
        <w:tc>
          <w:tcPr>
            <w:tcW w:type="dxa" w:w="1170"/>
          </w:tcPr>
          <w:p>
            <w:pPr>
              <w:spacing w:line="276" w:lineRule="auto" w:before="40" w:after="40"/>
              <w:jc w:val="center"/>
            </w:pPr>
            <w:r>
              <w:rPr>
                <w:rFonts w:ascii="Times New Roman" w:hAnsi="Times New Roman"/>
                <w:color w:val="000000"/>
                <w:sz w:val="18"/>
              </w:rPr>
              <w:t>-23.01%</w:t>
            </w:r>
          </w:p>
        </w:tc>
      </w:tr>
      <w:tr>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33.42%</w:t>
            </w:r>
          </w:p>
        </w:tc>
        <w:tc>
          <w:tcPr>
            <w:tcW w:type="dxa" w:w="1170"/>
          </w:tcPr>
          <w:p>
            <w:pPr>
              <w:spacing w:line="276" w:lineRule="auto" w:before="40" w:after="40"/>
              <w:jc w:val="center"/>
            </w:pPr>
            <w:r>
              <w:rPr>
                <w:rFonts w:ascii="Times New Roman" w:hAnsi="Times New Roman"/>
                <w:color w:val="000000"/>
                <w:sz w:val="18"/>
              </w:rPr>
              <w:t>15.98%</w:t>
            </w:r>
          </w:p>
        </w:tc>
        <w:tc>
          <w:tcPr>
            <w:tcW w:type="dxa" w:w="1170"/>
          </w:tcPr>
          <w:p>
            <w:pPr>
              <w:spacing w:line="276" w:lineRule="auto" w:before="40" w:after="40"/>
              <w:jc w:val="center"/>
            </w:pPr>
            <w:r>
              <w:rPr>
                <w:rFonts w:ascii="Times New Roman" w:hAnsi="Times New Roman"/>
                <w:color w:val="000000"/>
                <w:sz w:val="18"/>
              </w:rPr>
              <w:t>0.96</w:t>
            </w:r>
          </w:p>
        </w:tc>
        <w:tc>
          <w:tcPr>
            <w:tcW w:type="dxa" w:w="1170"/>
          </w:tcPr>
          <w:p>
            <w:pPr>
              <w:spacing w:line="276" w:lineRule="auto" w:before="40" w:after="40"/>
              <w:jc w:val="center"/>
            </w:pPr>
            <w:r>
              <w:rPr>
                <w:rFonts w:ascii="Times New Roman" w:hAnsi="Times New Roman"/>
                <w:color w:val="000000"/>
                <w:sz w:val="18"/>
              </w:rPr>
              <w:t>1.75</w:t>
            </w:r>
          </w:p>
        </w:tc>
        <w:tc>
          <w:tcPr>
            <w:tcW w:type="dxa" w:w="1170"/>
          </w:tcPr>
          <w:p>
            <w:pPr>
              <w:spacing w:line="276" w:lineRule="auto" w:before="40" w:after="40"/>
              <w:jc w:val="center"/>
            </w:pPr>
            <w:r>
              <w:rPr>
                <w:rFonts w:ascii="Times New Roman" w:hAnsi="Times New Roman"/>
                <w:color w:val="000000"/>
                <w:sz w:val="18"/>
              </w:rPr>
              <w:t>-2.47%</w:t>
            </w:r>
          </w:p>
        </w:tc>
        <w:tc>
          <w:tcPr>
            <w:tcW w:type="dxa" w:w="1170"/>
          </w:tcPr>
          <w:p>
            <w:pPr>
              <w:spacing w:line="276" w:lineRule="auto" w:before="40" w:after="40"/>
              <w:jc w:val="center"/>
            </w:pPr>
            <w:r>
              <w:rPr>
                <w:rFonts w:ascii="Times New Roman" w:hAnsi="Times New Roman"/>
                <w:color w:val="000000"/>
                <w:sz w:val="18"/>
              </w:rPr>
              <w:t>-3.10%</w:t>
            </w:r>
          </w:p>
        </w:tc>
        <w:tc>
          <w:tcPr>
            <w:tcW w:type="dxa" w:w="1170"/>
          </w:tcPr>
          <w:p>
            <w:pPr>
              <w:spacing w:line="276" w:lineRule="auto" w:before="40" w:after="40"/>
              <w:jc w:val="center"/>
            </w:pPr>
            <w:r>
              <w:rPr>
                <w:rFonts w:ascii="Times New Roman" w:hAnsi="Times New Roman"/>
                <w:color w:val="000000"/>
                <w:sz w:val="18"/>
              </w:rPr>
              <w:t>-25.12%</w:t>
            </w:r>
          </w:p>
        </w:tc>
      </w:tr>
      <w:tr>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41.97%</w:t>
            </w:r>
          </w:p>
        </w:tc>
        <w:tc>
          <w:tcPr>
            <w:tcW w:type="dxa" w:w="1170"/>
          </w:tcPr>
          <w:p>
            <w:pPr>
              <w:spacing w:line="276" w:lineRule="auto" w:before="40" w:after="40"/>
              <w:jc w:val="center"/>
            </w:pPr>
            <w:r>
              <w:rPr>
                <w:rFonts w:ascii="Times New Roman" w:hAnsi="Times New Roman"/>
                <w:color w:val="000000"/>
                <w:sz w:val="18"/>
              </w:rPr>
              <w:t>16.15%</w:t>
            </w:r>
          </w:p>
        </w:tc>
        <w:tc>
          <w:tcPr>
            <w:tcW w:type="dxa" w:w="1170"/>
          </w:tcPr>
          <w:p>
            <w:pPr>
              <w:spacing w:line="276" w:lineRule="auto" w:before="40" w:after="40"/>
              <w:jc w:val="center"/>
            </w:pPr>
            <w:r>
              <w:rPr>
                <w:rFonts w:ascii="Times New Roman" w:hAnsi="Times New Roman"/>
                <w:color w:val="000000"/>
                <w:sz w:val="18"/>
              </w:rPr>
              <w:t>1.48</w:t>
            </w:r>
          </w:p>
        </w:tc>
        <w:tc>
          <w:tcPr>
            <w:tcW w:type="dxa" w:w="1170"/>
          </w:tcPr>
          <w:p>
            <w:pPr>
              <w:spacing w:line="276" w:lineRule="auto" w:before="40" w:after="40"/>
              <w:jc w:val="center"/>
            </w:pPr>
            <w:r>
              <w:rPr>
                <w:rFonts w:ascii="Times New Roman" w:hAnsi="Times New Roman"/>
                <w:color w:val="000000"/>
                <w:sz w:val="18"/>
              </w:rPr>
              <w:t>3.00</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-2.61%</w:t>
            </w:r>
          </w:p>
        </w:tc>
        <w:tc>
          <w:tcPr>
            <w:tcW w:type="dxa" w:w="1170"/>
          </w:tcPr>
          <w:p>
            <w:pPr>
              <w:spacing w:line="276" w:lineRule="auto" w:before="40" w:after="40"/>
              <w:jc w:val="center"/>
            </w:pPr>
            <w:r>
              <w:rPr>
                <w:rFonts w:ascii="Times New Roman" w:hAnsi="Times New Roman"/>
                <w:color w:val="000000"/>
                <w:sz w:val="18"/>
              </w:rPr>
              <w:t>-21.96%</w:t>
            </w:r>
          </w:p>
        </w:tc>
      </w:tr>
      <w:tr>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-20.48%</w:t>
            </w:r>
          </w:p>
        </w:tc>
        <w:tc>
          <w:tcPr>
            <w:tcW w:type="dxa" w:w="1170"/>
          </w:tcPr>
          <w:p>
            <w:pPr>
              <w:spacing w:line="276" w:lineRule="auto" w:before="40" w:after="40"/>
              <w:jc w:val="center"/>
            </w:pPr>
            <w:r>
              <w:rPr>
                <w:rFonts w:ascii="Times New Roman" w:hAnsi="Times New Roman"/>
                <w:color w:val="000000"/>
                <w:sz w:val="18"/>
              </w:rPr>
              <w:t>53.92%</w:t>
            </w:r>
          </w:p>
        </w:tc>
        <w:tc>
          <w:tcPr>
            <w:tcW w:type="dxa" w:w="1170"/>
          </w:tcPr>
          <w:p>
            <w:pPr>
              <w:spacing w:line="276" w:lineRule="auto" w:before="40" w:after="40"/>
              <w:jc w:val="center"/>
            </w:pPr>
            <w:r>
              <w:rPr>
                <w:rFonts w:ascii="Times New Roman" w:hAnsi="Times New Roman"/>
                <w:color w:val="000000"/>
                <w:sz w:val="18"/>
              </w:rPr>
              <w:t>-0.71</w:t>
            </w:r>
          </w:p>
        </w:tc>
        <w:tc>
          <w:tcPr>
            <w:tcW w:type="dxa" w:w="1170"/>
          </w:tcPr>
          <w:p>
            <w:pPr>
              <w:spacing w:line="276" w:lineRule="auto" w:before="40" w:after="40"/>
              <w:jc w:val="center"/>
            </w:pPr>
            <w:r>
              <w:rPr>
                <w:rFonts w:ascii="Times New Roman" w:hAnsi="Times New Roman"/>
                <w:color w:val="000000"/>
                <w:sz w:val="18"/>
              </w:rPr>
              <w:t>-1.02</w:t>
            </w:r>
          </w:p>
        </w:tc>
        <w:tc>
          <w:tcPr>
            <w:tcW w:type="dxa" w:w="1170"/>
          </w:tcPr>
          <w:p>
            <w:pPr>
              <w:spacing w:line="276" w:lineRule="auto" w:before="40" w:after="40"/>
              <w:jc w:val="center"/>
            </w:pPr>
            <w:r>
              <w:rPr>
                <w:rFonts w:ascii="Times New Roman" w:hAnsi="Times New Roman"/>
                <w:color w:val="000000"/>
                <w:sz w:val="18"/>
              </w:rPr>
              <w:t>-10.85%</w:t>
            </w:r>
          </w:p>
        </w:tc>
        <w:tc>
          <w:tcPr>
            <w:tcW w:type="dxa" w:w="1170"/>
          </w:tcPr>
          <w:p>
            <w:pPr>
              <w:spacing w:line="276" w:lineRule="auto" w:before="40" w:after="40"/>
              <w:jc w:val="center"/>
            </w:pPr>
            <w:r>
              <w:rPr>
                <w:rFonts w:ascii="Times New Roman" w:hAnsi="Times New Roman"/>
                <w:color w:val="000000"/>
                <w:sz w:val="18"/>
              </w:rPr>
              <w:t>-17.16%</w:t>
            </w:r>
          </w:p>
        </w:tc>
        <w:tc>
          <w:tcPr>
            <w:tcW w:type="dxa" w:w="1170"/>
          </w:tcPr>
          <w:p>
            <w:pPr>
              <w:spacing w:line="276" w:lineRule="auto" w:before="40" w:after="40"/>
              <w:jc w:val="center"/>
            </w:pPr>
            <w:r>
              <w:rPr>
                <w:rFonts w:ascii="Times New Roman" w:hAnsi="Times New Roman"/>
                <w:color w:val="000000"/>
                <w:sz w:val="18"/>
              </w:rPr>
              <w:t>-86.38%</w:t>
            </w:r>
          </w:p>
        </w:tc>
      </w:tr>
      <w:tr>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37.27%</w:t>
            </w:r>
          </w:p>
        </w:tc>
        <w:tc>
          <w:tcPr>
            <w:tcW w:type="dxa" w:w="1170"/>
          </w:tcPr>
          <w:p>
            <w:pPr>
              <w:spacing w:line="276" w:lineRule="auto" w:before="40" w:after="40"/>
              <w:jc w:val="center"/>
            </w:pPr>
            <w:r>
              <w:rPr>
                <w:rFonts w:ascii="Times New Roman" w:hAnsi="Times New Roman"/>
                <w:color w:val="000000"/>
                <w:sz w:val="18"/>
              </w:rPr>
              <w:t>18.27%</w:t>
            </w:r>
          </w:p>
        </w:tc>
        <w:tc>
          <w:tcPr>
            <w:tcW w:type="dxa" w:w="1170"/>
          </w:tcPr>
          <w:p>
            <w:pPr>
              <w:spacing w:line="276" w:lineRule="auto" w:before="40" w:after="40"/>
              <w:jc w:val="center"/>
            </w:pPr>
            <w:r>
              <w:rPr>
                <w:rFonts w:ascii="Times New Roman" w:hAnsi="Times New Roman"/>
                <w:color w:val="000000"/>
                <w:sz w:val="18"/>
              </w:rPr>
              <w:t>1.05</w:t>
            </w:r>
          </w:p>
        </w:tc>
        <w:tc>
          <w:tcPr>
            <w:tcW w:type="dxa" w:w="1170"/>
          </w:tcPr>
          <w:p>
            <w:pPr>
              <w:spacing w:line="276" w:lineRule="auto" w:before="40" w:after="40"/>
              <w:jc w:val="center"/>
            </w:pPr>
            <w:r>
              <w:rPr>
                <w:rFonts w:ascii="Times New Roman" w:hAnsi="Times New Roman"/>
                <w:color w:val="000000"/>
                <w:sz w:val="18"/>
              </w:rPr>
              <w:t>1.81</w:t>
            </w:r>
          </w:p>
        </w:tc>
        <w:tc>
          <w:tcPr>
            <w:tcW w:type="dxa" w:w="1170"/>
          </w:tcPr>
          <w:p>
            <w:pPr>
              <w:spacing w:line="276" w:lineRule="auto" w:before="40" w:after="40"/>
              <w:jc w:val="center"/>
            </w:pPr>
            <w:r>
              <w:rPr>
                <w:rFonts w:ascii="Times New Roman" w:hAnsi="Times New Roman"/>
                <w:color w:val="000000"/>
                <w:sz w:val="18"/>
              </w:rPr>
              <w:t>-2.82%</w:t>
            </w:r>
          </w:p>
        </w:tc>
        <w:tc>
          <w:tcPr>
            <w:tcW w:type="dxa" w:w="1170"/>
          </w:tcPr>
          <w:p>
            <w:pPr>
              <w:spacing w:line="276" w:lineRule="auto" w:before="40" w:after="40"/>
              <w:jc w:val="center"/>
            </w:pPr>
            <w:r>
              <w:rPr>
                <w:rFonts w:ascii="Times New Roman" w:hAnsi="Times New Roman"/>
                <w:color w:val="000000"/>
                <w:sz w:val="18"/>
              </w:rPr>
              <w:t>-4.44%</w:t>
            </w:r>
          </w:p>
        </w:tc>
        <w:tc>
          <w:tcPr>
            <w:tcW w:type="dxa" w:w="1170"/>
          </w:tcPr>
          <w:p>
            <w:pPr>
              <w:spacing w:line="276" w:lineRule="auto" w:before="40" w:after="40"/>
              <w:jc w:val="center"/>
            </w:pPr>
            <w:r>
              <w:rPr>
                <w:rFonts w:ascii="Times New Roman" w:hAnsi="Times New Roman"/>
                <w:color w:val="000000"/>
                <w:sz w:val="18"/>
              </w:rPr>
              <w:t>-23.95%</w:t>
            </w:r>
          </w:p>
        </w:tc>
      </w:tr>
      <w:tr>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35.73%</w:t>
            </w:r>
          </w:p>
        </w:tc>
        <w:tc>
          <w:tcPr>
            <w:tcW w:type="dxa" w:w="1170"/>
          </w:tcPr>
          <w:p>
            <w:pPr>
              <w:spacing w:line="276" w:lineRule="auto" w:before="40" w:after="40"/>
              <w:jc w:val="center"/>
            </w:pPr>
            <w:r>
              <w:rPr>
                <w:rFonts w:ascii="Times New Roman" w:hAnsi="Times New Roman"/>
                <w:color w:val="000000"/>
                <w:sz w:val="18"/>
              </w:rPr>
              <w:t>19.75%</w:t>
            </w:r>
          </w:p>
        </w:tc>
        <w:tc>
          <w:tcPr>
            <w:tcW w:type="dxa" w:w="1170"/>
          </w:tcPr>
          <w:p>
            <w:pPr>
              <w:spacing w:line="276" w:lineRule="auto" w:before="40" w:after="40"/>
              <w:jc w:val="center"/>
            </w:pPr>
            <w:r>
              <w:rPr>
                <w:rFonts w:ascii="Times New Roman" w:hAnsi="Times New Roman"/>
                <w:color w:val="000000"/>
                <w:sz w:val="18"/>
              </w:rPr>
              <w:t>0.90</w:t>
            </w:r>
          </w:p>
        </w:tc>
        <w:tc>
          <w:tcPr>
            <w:tcW w:type="dxa" w:w="1170"/>
          </w:tcPr>
          <w:p>
            <w:pPr>
              <w:spacing w:line="276" w:lineRule="auto" w:before="40" w:after="40"/>
              <w:jc w:val="center"/>
            </w:pPr>
            <w:r>
              <w:rPr>
                <w:rFonts w:ascii="Times New Roman" w:hAnsi="Times New Roman"/>
                <w:color w:val="000000"/>
                <w:sz w:val="18"/>
              </w:rPr>
              <w:t>1.53</w:t>
            </w:r>
          </w:p>
        </w:tc>
        <w:tc>
          <w:tcPr>
            <w:tcW w:type="dxa" w:w="1170"/>
          </w:tcPr>
          <w:p>
            <w:pPr>
              <w:spacing w:line="276" w:lineRule="auto" w:before="40" w:after="40"/>
              <w:jc w:val="center"/>
            </w:pPr>
            <w:r>
              <w:rPr>
                <w:rFonts w:ascii="Times New Roman" w:hAnsi="Times New Roman"/>
                <w:color w:val="000000"/>
                <w:sz w:val="18"/>
              </w:rPr>
              <w:t>-3.32%</w:t>
            </w:r>
          </w:p>
        </w:tc>
        <w:tc>
          <w:tcPr>
            <w:tcW w:type="dxa" w:w="1170"/>
          </w:tcPr>
          <w:p>
            <w:pPr>
              <w:spacing w:line="276" w:lineRule="auto" w:before="40" w:after="40"/>
              <w:jc w:val="center"/>
            </w:pPr>
            <w:r>
              <w:rPr>
                <w:rFonts w:ascii="Times New Roman" w:hAnsi="Times New Roman"/>
                <w:color w:val="000000"/>
                <w:sz w:val="18"/>
              </w:rPr>
              <w:t>-4.95%</w:t>
            </w:r>
          </w:p>
        </w:tc>
        <w:tc>
          <w:tcPr>
            <w:tcW w:type="dxa" w:w="1170"/>
          </w:tcPr>
          <w:p>
            <w:pPr>
              <w:spacing w:line="276" w:lineRule="auto" w:before="40" w:after="40"/>
              <w:jc w:val="center"/>
            </w:pPr>
            <w:r>
              <w:rPr>
                <w:rFonts w:ascii="Times New Roman" w:hAnsi="Times New Roman"/>
                <w:color w:val="000000"/>
                <w:sz w:val="18"/>
              </w:rPr>
              <w:t>-26.66%</w:t>
            </w:r>
          </w:p>
        </w:tc>
      </w:tr>
    </w:tbl>
    <w:p>
      <w:pPr>
        <w:spacing w:after="120"/>
      </w:pPr>
    </w:p>
    <w:p>
      <w:pPr>
        <w:spacing w:line="480" w:lineRule="auto" w:before="0" w:after="0"/>
        <w:jc w:val="left"/>
      </w:pPr>
      <w:r>
        <w:rPr>
          <w:rFonts w:ascii="Times New Roman" w:hAnsi="Times New Roman"/>
          <w:i/>
          <w:color w:val="000000"/>
          <w:sz w:val="20"/>
        </w:rPr>
        <w:t>Source: Author's computation (2026). Backtested under 1.50% retail transaction fee and 0.319% weekly Rf rate.</w:t>
      </w:r>
    </w:p>
    <w:p>
      <w:pPr>
        <w:spacing w:line="480" w:lineRule="auto" w:before="0" w:after="0"/>
        <w:jc w:val="left"/>
      </w:pPr>
      <w:r>
        <w:rPr>
          <w:rFonts w:ascii="Times New Roman" w:hAnsi="Times New Roman"/>
          <w:b/>
          <w:color w:val="000000"/>
          <w:sz w:val="24"/>
        </w:rPr>
        <w:t>Table 4.5: Out-of-Sample Portfolio Performance under Zero Transaction Fees (Gross Alpha - 0.00%)</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Ann. Ret (%)</w:t>
            </w:r>
          </w:p>
        </w:tc>
        <w:tc>
          <w:tcPr>
            <w:tcW w:type="dxa" w:w="1170"/>
            <w:shd w:val="clear" w:color="auto" w:fill="F2F2F2"/>
          </w:tcPr>
          <w:p>
            <w:pPr>
              <w:spacing w:line="276" w:lineRule="auto" w:before="40" w:after="40"/>
              <w:jc w:val="center"/>
            </w:pPr>
            <w:r>
              <w:rPr>
                <w:rFonts w:ascii="Times New Roman" w:hAnsi="Times New Roman"/>
                <w:b/>
                <w:color w:val="000000"/>
                <w:sz w:val="19"/>
              </w:rPr>
              <w:t>Ann. Vol (%)</w:t>
            </w:r>
          </w:p>
        </w:tc>
        <w:tc>
          <w:tcPr>
            <w:tcW w:type="dxa" w:w="1170"/>
            <w:shd w:val="clear" w:color="auto" w:fill="F2F2F2"/>
          </w:tcPr>
          <w:p>
            <w:pPr>
              <w:spacing w:line="276" w:lineRule="auto" w:before="40" w:after="40"/>
              <w:jc w:val="center"/>
            </w:pPr>
            <w:r>
              <w:rPr>
                <w:rFonts w:ascii="Times New Roman" w:hAnsi="Times New Roman"/>
                <w:b/>
                <w:color w:val="000000"/>
                <w:sz w:val="19"/>
              </w:rPr>
              <w:t>Sharpe</w:t>
            </w:r>
          </w:p>
        </w:tc>
        <w:tc>
          <w:tcPr>
            <w:tcW w:type="dxa" w:w="1170"/>
            <w:shd w:val="clear" w:color="auto" w:fill="F2F2F2"/>
          </w:tcPr>
          <w:p>
            <w:pPr>
              <w:spacing w:line="276" w:lineRule="auto" w:before="40" w:after="40"/>
              <w:jc w:val="center"/>
            </w:pPr>
            <w:r>
              <w:rPr>
                <w:rFonts w:ascii="Times New Roman" w:hAnsi="Times New Roman"/>
                <w:b/>
                <w:color w:val="000000"/>
                <w:sz w:val="19"/>
              </w:rPr>
              <w:t>Sortino</w:t>
            </w:r>
          </w:p>
        </w:tc>
        <w:tc>
          <w:tcPr>
            <w:tcW w:type="dxa" w:w="1170"/>
            <w:shd w:val="clear" w:color="auto" w:fill="F2F2F2"/>
          </w:tcPr>
          <w:p>
            <w:pPr>
              <w:spacing w:line="276" w:lineRule="auto" w:before="40" w:after="40"/>
              <w:jc w:val="center"/>
            </w:pPr>
            <w:r>
              <w:rPr>
                <w:rFonts w:ascii="Times New Roman" w:hAnsi="Times New Roman"/>
                <w:b/>
                <w:color w:val="000000"/>
                <w:sz w:val="19"/>
              </w:rPr>
              <w:t>VaR 95%</w:t>
            </w:r>
          </w:p>
        </w:tc>
        <w:tc>
          <w:tcPr>
            <w:tcW w:type="dxa" w:w="1170"/>
            <w:shd w:val="clear" w:color="auto" w:fill="F2F2F2"/>
          </w:tcPr>
          <w:p>
            <w:pPr>
              <w:spacing w:line="276" w:lineRule="auto" w:before="40" w:after="40"/>
              <w:jc w:val="center"/>
            </w:pPr>
            <w:r>
              <w:rPr>
                <w:rFonts w:ascii="Times New Roman" w:hAnsi="Times New Roman"/>
                <w:b/>
                <w:color w:val="000000"/>
                <w:sz w:val="19"/>
              </w:rPr>
              <w:t>CVaR 95%</w:t>
            </w:r>
          </w:p>
        </w:tc>
        <w:tc>
          <w:tcPr>
            <w:tcW w:type="dxa" w:w="1170"/>
            <w:shd w:val="clear" w:color="auto" w:fill="F2F2F2"/>
          </w:tcPr>
          <w:p>
            <w:pPr>
              <w:spacing w:line="276" w:lineRule="auto" w:before="40" w:after="40"/>
              <w:jc w:val="center"/>
            </w:pPr>
            <w:r>
              <w:rPr>
                <w:rFonts w:ascii="Times New Roman" w:hAnsi="Times New Roman"/>
                <w:b/>
                <w:color w:val="000000"/>
                <w:sz w:val="19"/>
              </w:rPr>
              <w:t>Max DD (%)</w:t>
            </w:r>
          </w:p>
        </w:tc>
      </w:tr>
      <w:tr>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41.29%</w:t>
            </w:r>
          </w:p>
        </w:tc>
        <w:tc>
          <w:tcPr>
            <w:tcW w:type="dxa" w:w="1170"/>
          </w:tcPr>
          <w:p>
            <w:pPr>
              <w:spacing w:line="276" w:lineRule="auto" w:before="40" w:after="40"/>
              <w:jc w:val="center"/>
            </w:pPr>
            <w:r>
              <w:rPr>
                <w:rFonts w:ascii="Times New Roman" w:hAnsi="Times New Roman"/>
                <w:color w:val="000000"/>
                <w:sz w:val="18"/>
              </w:rPr>
              <w:t>16.05%</w:t>
            </w:r>
          </w:p>
        </w:tc>
        <w:tc>
          <w:tcPr>
            <w:tcW w:type="dxa" w:w="1170"/>
          </w:tcPr>
          <w:p>
            <w:pPr>
              <w:spacing w:line="276" w:lineRule="auto" w:before="40" w:after="40"/>
              <w:jc w:val="center"/>
            </w:pPr>
            <w:r>
              <w:rPr>
                <w:rFonts w:ascii="Times New Roman" w:hAnsi="Times New Roman"/>
                <w:color w:val="000000"/>
                <w:sz w:val="18"/>
              </w:rPr>
              <w:t>1.45</w:t>
            </w:r>
          </w:p>
        </w:tc>
        <w:tc>
          <w:tcPr>
            <w:tcW w:type="dxa" w:w="1170"/>
          </w:tcPr>
          <w:p>
            <w:pPr>
              <w:spacing w:line="276" w:lineRule="auto" w:before="40" w:after="40"/>
              <w:jc w:val="center"/>
            </w:pPr>
            <w:r>
              <w:rPr>
                <w:rFonts w:ascii="Times New Roman" w:hAnsi="Times New Roman"/>
                <w:color w:val="000000"/>
                <w:sz w:val="18"/>
              </w:rPr>
              <w:t>2.87</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-2.78%</w:t>
            </w:r>
          </w:p>
        </w:tc>
        <w:tc>
          <w:tcPr>
            <w:tcW w:type="dxa" w:w="1170"/>
          </w:tcPr>
          <w:p>
            <w:pPr>
              <w:spacing w:line="276" w:lineRule="auto" w:before="40" w:after="40"/>
              <w:jc w:val="center"/>
            </w:pPr>
            <w:r>
              <w:rPr>
                <w:rFonts w:ascii="Times New Roman" w:hAnsi="Times New Roman"/>
                <w:color w:val="000000"/>
                <w:sz w:val="18"/>
              </w:rPr>
              <w:t>-22.01%</w:t>
            </w:r>
          </w:p>
        </w:tc>
      </w:tr>
      <w:tr>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42.00%</w:t>
            </w:r>
          </w:p>
        </w:tc>
        <w:tc>
          <w:tcPr>
            <w:tcW w:type="dxa" w:w="1170"/>
          </w:tcPr>
          <w:p>
            <w:pPr>
              <w:spacing w:line="276" w:lineRule="auto" w:before="40" w:after="40"/>
              <w:jc w:val="center"/>
            </w:pPr>
            <w:r>
              <w:rPr>
                <w:rFonts w:ascii="Times New Roman" w:hAnsi="Times New Roman"/>
                <w:color w:val="000000"/>
                <w:sz w:val="18"/>
              </w:rPr>
              <w:t>15.75%</w:t>
            </w:r>
          </w:p>
        </w:tc>
        <w:tc>
          <w:tcPr>
            <w:tcW w:type="dxa" w:w="1170"/>
          </w:tcPr>
          <w:p>
            <w:pPr>
              <w:spacing w:line="276" w:lineRule="auto" w:before="40" w:after="40"/>
              <w:jc w:val="center"/>
            </w:pPr>
            <w:r>
              <w:rPr>
                <w:rFonts w:ascii="Times New Roman" w:hAnsi="Times New Roman"/>
                <w:color w:val="000000"/>
                <w:sz w:val="18"/>
              </w:rPr>
              <w:t>1.52</w:t>
            </w:r>
          </w:p>
        </w:tc>
        <w:tc>
          <w:tcPr>
            <w:tcW w:type="dxa" w:w="1170"/>
          </w:tcPr>
          <w:p>
            <w:pPr>
              <w:spacing w:line="276" w:lineRule="auto" w:before="40" w:after="40"/>
              <w:jc w:val="center"/>
            </w:pPr>
            <w:r>
              <w:rPr>
                <w:rFonts w:ascii="Times New Roman" w:hAnsi="Times New Roman"/>
                <w:color w:val="000000"/>
                <w:sz w:val="18"/>
              </w:rPr>
              <w:t>3.06</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-2.58%</w:t>
            </w:r>
          </w:p>
        </w:tc>
        <w:tc>
          <w:tcPr>
            <w:tcW w:type="dxa" w:w="1170"/>
          </w:tcPr>
          <w:p>
            <w:pPr>
              <w:spacing w:line="276" w:lineRule="auto" w:before="40" w:after="40"/>
              <w:jc w:val="center"/>
            </w:pPr>
            <w:r>
              <w:rPr>
                <w:rFonts w:ascii="Times New Roman" w:hAnsi="Times New Roman"/>
                <w:color w:val="000000"/>
                <w:sz w:val="18"/>
              </w:rPr>
              <w:t>-22.09%</w:t>
            </w:r>
          </w:p>
        </w:tc>
      </w:tr>
      <w:tr>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42.27%</w:t>
            </w:r>
          </w:p>
        </w:tc>
        <w:tc>
          <w:tcPr>
            <w:tcW w:type="dxa" w:w="1170"/>
          </w:tcPr>
          <w:p>
            <w:pPr>
              <w:spacing w:line="276" w:lineRule="auto" w:before="40" w:after="40"/>
              <w:jc w:val="center"/>
            </w:pPr>
            <w:r>
              <w:rPr>
                <w:rFonts w:ascii="Times New Roman" w:hAnsi="Times New Roman"/>
                <w:color w:val="000000"/>
                <w:sz w:val="18"/>
              </w:rPr>
              <w:t>16.16%</w:t>
            </w:r>
          </w:p>
        </w:tc>
        <w:tc>
          <w:tcPr>
            <w:tcW w:type="dxa" w:w="1170"/>
          </w:tcPr>
          <w:p>
            <w:pPr>
              <w:spacing w:line="276" w:lineRule="auto" w:before="40" w:after="40"/>
              <w:jc w:val="center"/>
            </w:pPr>
            <w:r>
              <w:rPr>
                <w:rFonts w:ascii="Times New Roman" w:hAnsi="Times New Roman"/>
                <w:color w:val="000000"/>
                <w:sz w:val="18"/>
              </w:rPr>
              <w:t>1.50</w:t>
            </w:r>
          </w:p>
        </w:tc>
        <w:tc>
          <w:tcPr>
            <w:tcW w:type="dxa" w:w="1170"/>
          </w:tcPr>
          <w:p>
            <w:pPr>
              <w:spacing w:line="276" w:lineRule="auto" w:before="40" w:after="40"/>
              <w:jc w:val="center"/>
            </w:pPr>
            <w:r>
              <w:rPr>
                <w:rFonts w:ascii="Times New Roman" w:hAnsi="Times New Roman"/>
                <w:color w:val="000000"/>
                <w:sz w:val="18"/>
              </w:rPr>
              <w:t>3.04</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-2.61%</w:t>
            </w:r>
          </w:p>
        </w:tc>
        <w:tc>
          <w:tcPr>
            <w:tcW w:type="dxa" w:w="1170"/>
          </w:tcPr>
          <w:p>
            <w:pPr>
              <w:spacing w:line="276" w:lineRule="auto" w:before="40" w:after="40"/>
              <w:jc w:val="center"/>
            </w:pPr>
            <w:r>
              <w:rPr>
                <w:rFonts w:ascii="Times New Roman" w:hAnsi="Times New Roman"/>
                <w:color w:val="000000"/>
                <w:sz w:val="18"/>
              </w:rPr>
              <w:t>-21.96%</w:t>
            </w:r>
          </w:p>
        </w:tc>
      </w:tr>
      <w:tr>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56.97%</w:t>
            </w:r>
          </w:p>
        </w:tc>
        <w:tc>
          <w:tcPr>
            <w:tcW w:type="dxa" w:w="1170"/>
          </w:tcPr>
          <w:p>
            <w:pPr>
              <w:spacing w:line="276" w:lineRule="auto" w:before="40" w:after="40"/>
              <w:jc w:val="center"/>
            </w:pPr>
            <w:r>
              <w:rPr>
                <w:rFonts w:ascii="Times New Roman" w:hAnsi="Times New Roman"/>
                <w:color w:val="000000"/>
                <w:sz w:val="18"/>
              </w:rPr>
              <w:t>54.18%</w:t>
            </w:r>
          </w:p>
        </w:tc>
        <w:tc>
          <w:tcPr>
            <w:tcW w:type="dxa" w:w="1170"/>
          </w:tcPr>
          <w:p>
            <w:pPr>
              <w:spacing w:line="276" w:lineRule="auto" w:before="40" w:after="40"/>
              <w:jc w:val="center"/>
            </w:pPr>
            <w:r>
              <w:rPr>
                <w:rFonts w:ascii="Times New Roman" w:hAnsi="Times New Roman"/>
                <w:color w:val="000000"/>
                <w:sz w:val="18"/>
              </w:rPr>
              <w:t>0.72</w:t>
            </w:r>
          </w:p>
        </w:tc>
        <w:tc>
          <w:tcPr>
            <w:tcW w:type="dxa" w:w="1170"/>
          </w:tcPr>
          <w:p>
            <w:pPr>
              <w:spacing w:line="276" w:lineRule="auto" w:before="40" w:after="40"/>
              <w:jc w:val="center"/>
            </w:pPr>
            <w:r>
              <w:rPr>
                <w:rFonts w:ascii="Times New Roman" w:hAnsi="Times New Roman"/>
                <w:color w:val="000000"/>
                <w:sz w:val="18"/>
              </w:rPr>
              <w:t>1.25</w:t>
            </w:r>
          </w:p>
        </w:tc>
        <w:tc>
          <w:tcPr>
            <w:tcW w:type="dxa" w:w="1170"/>
          </w:tcPr>
          <w:p>
            <w:pPr>
              <w:spacing w:line="276" w:lineRule="auto" w:before="40" w:after="40"/>
              <w:jc w:val="center"/>
            </w:pPr>
            <w:r>
              <w:rPr>
                <w:rFonts w:ascii="Times New Roman" w:hAnsi="Times New Roman"/>
                <w:color w:val="000000"/>
                <w:sz w:val="18"/>
              </w:rPr>
              <w:t>-8.83%</w:t>
            </w:r>
          </w:p>
        </w:tc>
        <w:tc>
          <w:tcPr>
            <w:tcW w:type="dxa" w:w="1170"/>
          </w:tcPr>
          <w:p>
            <w:pPr>
              <w:spacing w:line="276" w:lineRule="auto" w:before="40" w:after="40"/>
              <w:jc w:val="center"/>
            </w:pPr>
            <w:r>
              <w:rPr>
                <w:rFonts w:ascii="Times New Roman" w:hAnsi="Times New Roman"/>
                <w:color w:val="000000"/>
                <w:sz w:val="18"/>
              </w:rPr>
              <w:t>-15.38%</w:t>
            </w:r>
          </w:p>
        </w:tc>
        <w:tc>
          <w:tcPr>
            <w:tcW w:type="dxa" w:w="1170"/>
          </w:tcPr>
          <w:p>
            <w:pPr>
              <w:spacing w:line="276" w:lineRule="auto" w:before="40" w:after="40"/>
              <w:jc w:val="center"/>
            </w:pPr>
            <w:r>
              <w:rPr>
                <w:rFonts w:ascii="Times New Roman" w:hAnsi="Times New Roman"/>
                <w:color w:val="000000"/>
                <w:sz w:val="18"/>
              </w:rPr>
              <w:t>-53.51%</w:t>
            </w:r>
          </w:p>
        </w:tc>
      </w:tr>
      <w:tr>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37.57%</w:t>
            </w:r>
          </w:p>
        </w:tc>
        <w:tc>
          <w:tcPr>
            <w:tcW w:type="dxa" w:w="1170"/>
          </w:tcPr>
          <w:p>
            <w:pPr>
              <w:spacing w:line="276" w:lineRule="auto" w:before="40" w:after="40"/>
              <w:jc w:val="center"/>
            </w:pPr>
            <w:r>
              <w:rPr>
                <w:rFonts w:ascii="Times New Roman" w:hAnsi="Times New Roman"/>
                <w:color w:val="000000"/>
                <w:sz w:val="18"/>
              </w:rPr>
              <w:t>18.31%</w:t>
            </w:r>
          </w:p>
        </w:tc>
        <w:tc>
          <w:tcPr>
            <w:tcW w:type="dxa" w:w="1170"/>
          </w:tcPr>
          <w:p>
            <w:pPr>
              <w:spacing w:line="276" w:lineRule="auto" w:before="40" w:after="40"/>
              <w:jc w:val="center"/>
            </w:pPr>
            <w:r>
              <w:rPr>
                <w:rFonts w:ascii="Times New Roman" w:hAnsi="Times New Roman"/>
                <w:color w:val="000000"/>
                <w:sz w:val="18"/>
              </w:rPr>
              <w:t>1.07</w:t>
            </w:r>
          </w:p>
        </w:tc>
        <w:tc>
          <w:tcPr>
            <w:tcW w:type="dxa" w:w="1170"/>
          </w:tcPr>
          <w:p>
            <w:pPr>
              <w:spacing w:line="276" w:lineRule="auto" w:before="40" w:after="40"/>
              <w:jc w:val="center"/>
            </w:pPr>
            <w:r>
              <w:rPr>
                <w:rFonts w:ascii="Times New Roman" w:hAnsi="Times New Roman"/>
                <w:color w:val="000000"/>
                <w:sz w:val="18"/>
              </w:rPr>
              <w:t>1.84</w:t>
            </w:r>
          </w:p>
        </w:tc>
        <w:tc>
          <w:tcPr>
            <w:tcW w:type="dxa" w:w="1170"/>
          </w:tcPr>
          <w:p>
            <w:pPr>
              <w:spacing w:line="276" w:lineRule="auto" w:before="40" w:after="40"/>
              <w:jc w:val="center"/>
            </w:pPr>
            <w:r>
              <w:rPr>
                <w:rFonts w:ascii="Times New Roman" w:hAnsi="Times New Roman"/>
                <w:color w:val="000000"/>
                <w:sz w:val="18"/>
              </w:rPr>
              <w:t>-2.82%</w:t>
            </w:r>
          </w:p>
        </w:tc>
        <w:tc>
          <w:tcPr>
            <w:tcW w:type="dxa" w:w="1170"/>
          </w:tcPr>
          <w:p>
            <w:pPr>
              <w:spacing w:line="276" w:lineRule="auto" w:before="40" w:after="40"/>
              <w:jc w:val="center"/>
            </w:pPr>
            <w:r>
              <w:rPr>
                <w:rFonts w:ascii="Times New Roman" w:hAnsi="Times New Roman"/>
                <w:color w:val="000000"/>
                <w:sz w:val="18"/>
              </w:rPr>
              <w:t>-4.44%</w:t>
            </w:r>
          </w:p>
        </w:tc>
        <w:tc>
          <w:tcPr>
            <w:tcW w:type="dxa" w:w="1170"/>
          </w:tcPr>
          <w:p>
            <w:pPr>
              <w:spacing w:line="276" w:lineRule="auto" w:before="40" w:after="40"/>
              <w:jc w:val="center"/>
            </w:pPr>
            <w:r>
              <w:rPr>
                <w:rFonts w:ascii="Times New Roman" w:hAnsi="Times New Roman"/>
                <w:color w:val="000000"/>
                <w:sz w:val="18"/>
              </w:rPr>
              <w:t>-23.95%</w:t>
            </w:r>
          </w:p>
        </w:tc>
      </w:tr>
      <w:tr>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36.03%</w:t>
            </w:r>
          </w:p>
        </w:tc>
        <w:tc>
          <w:tcPr>
            <w:tcW w:type="dxa" w:w="1170"/>
          </w:tcPr>
          <w:p>
            <w:pPr>
              <w:spacing w:line="276" w:lineRule="auto" w:before="40" w:after="40"/>
              <w:jc w:val="center"/>
            </w:pPr>
            <w:r>
              <w:rPr>
                <w:rFonts w:ascii="Times New Roman" w:hAnsi="Times New Roman"/>
                <w:color w:val="000000"/>
                <w:sz w:val="18"/>
              </w:rPr>
              <w:t>19.79%</w:t>
            </w:r>
          </w:p>
        </w:tc>
        <w:tc>
          <w:tcPr>
            <w:tcW w:type="dxa" w:w="1170"/>
          </w:tcPr>
          <w:p>
            <w:pPr>
              <w:spacing w:line="276" w:lineRule="auto" w:before="40" w:after="40"/>
              <w:jc w:val="center"/>
            </w:pPr>
            <w:r>
              <w:rPr>
                <w:rFonts w:ascii="Times New Roman" w:hAnsi="Times New Roman"/>
                <w:color w:val="000000"/>
                <w:sz w:val="18"/>
              </w:rPr>
              <w:t>0.91</w:t>
            </w:r>
          </w:p>
        </w:tc>
        <w:tc>
          <w:tcPr>
            <w:tcW w:type="dxa" w:w="1170"/>
          </w:tcPr>
          <w:p>
            <w:pPr>
              <w:spacing w:line="276" w:lineRule="auto" w:before="40" w:after="40"/>
              <w:jc w:val="center"/>
            </w:pPr>
            <w:r>
              <w:rPr>
                <w:rFonts w:ascii="Times New Roman" w:hAnsi="Times New Roman"/>
                <w:color w:val="000000"/>
                <w:sz w:val="18"/>
              </w:rPr>
              <w:t>1.55</w:t>
            </w:r>
          </w:p>
        </w:tc>
        <w:tc>
          <w:tcPr>
            <w:tcW w:type="dxa" w:w="1170"/>
          </w:tcPr>
          <w:p>
            <w:pPr>
              <w:spacing w:line="276" w:lineRule="auto" w:before="40" w:after="40"/>
              <w:jc w:val="center"/>
            </w:pPr>
            <w:r>
              <w:rPr>
                <w:rFonts w:ascii="Times New Roman" w:hAnsi="Times New Roman"/>
                <w:color w:val="000000"/>
                <w:sz w:val="18"/>
              </w:rPr>
              <w:t>-3.32%</w:t>
            </w:r>
          </w:p>
        </w:tc>
        <w:tc>
          <w:tcPr>
            <w:tcW w:type="dxa" w:w="1170"/>
          </w:tcPr>
          <w:p>
            <w:pPr>
              <w:spacing w:line="276" w:lineRule="auto" w:before="40" w:after="40"/>
              <w:jc w:val="center"/>
            </w:pPr>
            <w:r>
              <w:rPr>
                <w:rFonts w:ascii="Times New Roman" w:hAnsi="Times New Roman"/>
                <w:color w:val="000000"/>
                <w:sz w:val="18"/>
              </w:rPr>
              <w:t>-4.95%</w:t>
            </w:r>
          </w:p>
        </w:tc>
        <w:tc>
          <w:tcPr>
            <w:tcW w:type="dxa" w:w="1170"/>
          </w:tcPr>
          <w:p>
            <w:pPr>
              <w:spacing w:line="276" w:lineRule="auto" w:before="40" w:after="40"/>
              <w:jc w:val="center"/>
            </w:pPr>
            <w:r>
              <w:rPr>
                <w:rFonts w:ascii="Times New Roman" w:hAnsi="Times New Roman"/>
                <w:color w:val="000000"/>
                <w:sz w:val="18"/>
              </w:rPr>
              <w:t>-26.66%</w:t>
            </w:r>
          </w:p>
        </w:tc>
      </w:tr>
    </w:tbl>
    <w:p>
      <w:pPr>
        <w:spacing w:after="120"/>
      </w:pPr>
    </w:p>
    <w:p>
      <w:pPr>
        <w:spacing w:line="480" w:lineRule="auto" w:before="0" w:after="0"/>
        <w:jc w:val="left"/>
      </w:pPr>
      <w:r>
        <w:rPr>
          <w:rFonts w:ascii="Times New Roman" w:hAnsi="Times New Roman"/>
          <w:i/>
          <w:color w:val="000000"/>
          <w:sz w:val="20"/>
        </w:rPr>
        <w:t>Source: Author's computation (2026). Gross performance under zero transaction fee friction.</w:t>
      </w:r>
    </w:p>
    <w:p>
      <w:pPr>
        <w:spacing w:line="480" w:lineRule="auto" w:before="0" w:after="0"/>
        <w:jc w:val="left"/>
      </w:pPr>
      <w:r>
        <w:rPr>
          <w:rFonts w:ascii="Times New Roman" w:hAnsi="Times New Roman"/>
          <w:b/>
          <w:color w:val="000000"/>
          <w:sz w:val="24"/>
        </w:rPr>
        <w:t>Table 4.5b: Out-of-Sample Portfolio Performance under 0.75% Institutional PFA Transaction Fees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F2F2F2"/>
          </w:tcPr>
          <w:p>
            <w:pPr>
              <w:spacing w:line="276" w:lineRule="auto" w:before="40" w:after="40"/>
              <w:jc w:val="center"/>
            </w:pPr>
            <w:r>
              <w:rPr>
                <w:rFonts w:ascii="Times New Roman" w:hAnsi="Times New Roman"/>
                <w:b/>
                <w:color w:val="000000"/>
                <w:sz w:val="19"/>
              </w:rPr>
              <w:t>Strategy</w:t>
            </w:r>
          </w:p>
        </w:tc>
        <w:tc>
          <w:tcPr>
            <w:tcW w:type="dxa" w:w="1040"/>
            <w:shd w:val="clear" w:color="auto" w:fill="F2F2F2"/>
          </w:tcPr>
          <w:p>
            <w:pPr>
              <w:spacing w:line="276" w:lineRule="auto" w:before="40" w:after="40"/>
              <w:jc w:val="center"/>
            </w:pPr>
            <w:r>
              <w:rPr>
                <w:rFonts w:ascii="Times New Roman" w:hAnsi="Times New Roman"/>
                <w:b/>
                <w:color w:val="000000"/>
                <w:sz w:val="19"/>
              </w:rPr>
              <w:t>Ann. Return (%)</w:t>
            </w:r>
          </w:p>
        </w:tc>
        <w:tc>
          <w:tcPr>
            <w:tcW w:type="dxa" w:w="1040"/>
            <w:shd w:val="clear" w:color="auto" w:fill="F2F2F2"/>
          </w:tcPr>
          <w:p>
            <w:pPr>
              <w:spacing w:line="276" w:lineRule="auto" w:before="40" w:after="40"/>
              <w:jc w:val="center"/>
            </w:pPr>
            <w:r>
              <w:rPr>
                <w:rFonts w:ascii="Times New Roman" w:hAnsi="Times New Roman"/>
                <w:b/>
                <w:color w:val="000000"/>
                <w:sz w:val="19"/>
              </w:rPr>
              <w:t>Ann. Vol (%)</w:t>
            </w:r>
          </w:p>
        </w:tc>
        <w:tc>
          <w:tcPr>
            <w:tcW w:type="dxa" w:w="1040"/>
            <w:shd w:val="clear" w:color="auto" w:fill="F2F2F2"/>
          </w:tcPr>
          <w:p>
            <w:pPr>
              <w:spacing w:line="276" w:lineRule="auto" w:before="40" w:after="40"/>
              <w:jc w:val="center"/>
            </w:pPr>
            <w:r>
              <w:rPr>
                <w:rFonts w:ascii="Times New Roman" w:hAnsi="Times New Roman"/>
                <w:b/>
                <w:color w:val="000000"/>
                <w:sz w:val="19"/>
              </w:rPr>
              <w:t>Sharpe</w:t>
            </w:r>
          </w:p>
        </w:tc>
        <w:tc>
          <w:tcPr>
            <w:tcW w:type="dxa" w:w="1040"/>
            <w:shd w:val="clear" w:color="auto" w:fill="F2F2F2"/>
          </w:tcPr>
          <w:p>
            <w:pPr>
              <w:spacing w:line="276" w:lineRule="auto" w:before="40" w:after="40"/>
              <w:jc w:val="center"/>
            </w:pPr>
            <w:r>
              <w:rPr>
                <w:rFonts w:ascii="Times New Roman" w:hAnsi="Times New Roman"/>
                <w:b/>
                <w:color w:val="000000"/>
                <w:sz w:val="19"/>
              </w:rPr>
              <w:t>Sortino</w:t>
            </w:r>
          </w:p>
        </w:tc>
        <w:tc>
          <w:tcPr>
            <w:tcW w:type="dxa" w:w="1040"/>
            <w:shd w:val="clear" w:color="auto" w:fill="F2F2F2"/>
          </w:tcPr>
          <w:p>
            <w:pPr>
              <w:spacing w:line="276" w:lineRule="auto" w:before="40" w:after="40"/>
              <w:jc w:val="center"/>
            </w:pPr>
            <w:r>
              <w:rPr>
                <w:rFonts w:ascii="Times New Roman" w:hAnsi="Times New Roman"/>
                <w:b/>
                <w:color w:val="000000"/>
                <w:sz w:val="19"/>
              </w:rPr>
              <w:t>VaR 95%</w:t>
            </w:r>
          </w:p>
        </w:tc>
        <w:tc>
          <w:tcPr>
            <w:tcW w:type="dxa" w:w="1040"/>
            <w:shd w:val="clear" w:color="auto" w:fill="F2F2F2"/>
          </w:tcPr>
          <w:p>
            <w:pPr>
              <w:spacing w:line="276" w:lineRule="auto" w:before="40" w:after="40"/>
              <w:jc w:val="center"/>
            </w:pPr>
            <w:r>
              <w:rPr>
                <w:rFonts w:ascii="Times New Roman" w:hAnsi="Times New Roman"/>
                <w:b/>
                <w:color w:val="000000"/>
                <w:sz w:val="19"/>
              </w:rPr>
              <w:t>CVaR 95%</w:t>
            </w:r>
          </w:p>
        </w:tc>
        <w:tc>
          <w:tcPr>
            <w:tcW w:type="dxa" w:w="1040"/>
            <w:shd w:val="clear" w:color="auto" w:fill="F2F2F2"/>
          </w:tcPr>
          <w:p>
            <w:pPr>
              <w:spacing w:line="276" w:lineRule="auto" w:before="40" w:after="40"/>
              <w:jc w:val="center"/>
            </w:pPr>
            <w:r>
              <w:rPr>
                <w:rFonts w:ascii="Times New Roman" w:hAnsi="Times New Roman"/>
                <w:b/>
                <w:color w:val="000000"/>
                <w:sz w:val="19"/>
              </w:rPr>
              <w:t>Max DD (%)</w:t>
            </w:r>
          </w:p>
        </w:tc>
        <w:tc>
          <w:tcPr>
            <w:tcW w:type="dxa" w:w="1040"/>
            <w:shd w:val="clear" w:color="auto" w:fill="F2F2F2"/>
          </w:tcPr>
          <w:p>
            <w:pPr>
              <w:spacing w:line="276" w:lineRule="auto" w:before="40" w:after="40"/>
              <w:jc w:val="center"/>
            </w:pPr>
            <w:r>
              <w:rPr>
                <w:rFonts w:ascii="Times New Roman" w:hAnsi="Times New Roman"/>
                <w:b/>
                <w:color w:val="000000"/>
                <w:sz w:val="19"/>
              </w:rPr>
              <w:t>Wk Turnover (%)</w:t>
            </w:r>
          </w:p>
        </w:tc>
      </w:tr>
      <w:tr>
        <w:tc>
          <w:tcPr>
            <w:tcW w:type="dxa" w:w="1040"/>
          </w:tcPr>
          <w:p>
            <w:pPr>
              <w:spacing w:line="276" w:lineRule="auto" w:before="40" w:after="40"/>
              <w:jc w:val="center"/>
            </w:pPr>
            <w:r>
              <w:rPr>
                <w:rFonts w:ascii="Times New Roman" w:hAnsi="Times New Roman"/>
                <w:color w:val="000000"/>
                <w:sz w:val="18"/>
              </w:rPr>
              <w:t>RF-CVaR</w:t>
            </w:r>
          </w:p>
        </w:tc>
        <w:tc>
          <w:tcPr>
            <w:tcW w:type="dxa" w:w="1040"/>
          </w:tcPr>
          <w:p>
            <w:pPr>
              <w:spacing w:line="276" w:lineRule="auto" w:before="40" w:after="40"/>
              <w:jc w:val="center"/>
            </w:pPr>
            <w:r>
              <w:rPr>
                <w:rFonts w:ascii="Times New Roman" w:hAnsi="Times New Roman"/>
                <w:color w:val="000000"/>
                <w:sz w:val="18"/>
              </w:rPr>
              <w:t>38.33%</w:t>
            </w:r>
          </w:p>
        </w:tc>
        <w:tc>
          <w:tcPr>
            <w:tcW w:type="dxa" w:w="1040"/>
          </w:tcPr>
          <w:p>
            <w:pPr>
              <w:spacing w:line="276" w:lineRule="auto" w:before="40" w:after="40"/>
              <w:jc w:val="center"/>
            </w:pPr>
            <w:r>
              <w:rPr>
                <w:rFonts w:ascii="Times New Roman" w:hAnsi="Times New Roman"/>
                <w:color w:val="000000"/>
                <w:sz w:val="18"/>
              </w:rPr>
              <w:t>16.09%</w:t>
            </w:r>
          </w:p>
        </w:tc>
        <w:tc>
          <w:tcPr>
            <w:tcW w:type="dxa" w:w="1040"/>
          </w:tcPr>
          <w:p>
            <w:pPr>
              <w:spacing w:line="276" w:lineRule="auto" w:before="40" w:after="40"/>
              <w:jc w:val="center"/>
            </w:pPr>
            <w:r>
              <w:rPr>
                <w:rFonts w:ascii="Times New Roman" w:hAnsi="Times New Roman"/>
                <w:color w:val="000000"/>
                <w:sz w:val="18"/>
              </w:rPr>
              <w:t>1.26</w:t>
            </w:r>
          </w:p>
        </w:tc>
        <w:tc>
          <w:tcPr>
            <w:tcW w:type="dxa" w:w="1040"/>
          </w:tcPr>
          <w:p>
            <w:pPr>
              <w:spacing w:line="276" w:lineRule="auto" w:before="40" w:after="40"/>
              <w:jc w:val="center"/>
            </w:pPr>
            <w:r>
              <w:rPr>
                <w:rFonts w:ascii="Times New Roman" w:hAnsi="Times New Roman"/>
                <w:color w:val="000000"/>
                <w:sz w:val="18"/>
              </w:rPr>
              <w:t>2.42</w:t>
            </w:r>
          </w:p>
        </w:tc>
        <w:tc>
          <w:tcPr>
            <w:tcW w:type="dxa" w:w="1040"/>
          </w:tcPr>
          <w:p>
            <w:pPr>
              <w:spacing w:line="276" w:lineRule="auto" w:before="40" w:after="40"/>
              <w:jc w:val="center"/>
            </w:pPr>
            <w:r>
              <w:rPr>
                <w:rFonts w:ascii="Times New Roman" w:hAnsi="Times New Roman"/>
                <w:color w:val="000000"/>
                <w:sz w:val="18"/>
              </w:rPr>
              <w:t>-2.20%</w:t>
            </w:r>
          </w:p>
        </w:tc>
        <w:tc>
          <w:tcPr>
            <w:tcW w:type="dxa" w:w="1040"/>
          </w:tcPr>
          <w:p>
            <w:pPr>
              <w:spacing w:line="276" w:lineRule="auto" w:before="40" w:after="40"/>
              <w:jc w:val="center"/>
            </w:pPr>
            <w:r>
              <w:rPr>
                <w:rFonts w:ascii="Times New Roman" w:hAnsi="Times New Roman"/>
                <w:color w:val="000000"/>
                <w:sz w:val="18"/>
              </w:rPr>
              <w:t>-2.93%</w:t>
            </w:r>
          </w:p>
        </w:tc>
        <w:tc>
          <w:tcPr>
            <w:tcW w:type="dxa" w:w="1040"/>
          </w:tcPr>
          <w:p>
            <w:pPr>
              <w:spacing w:line="276" w:lineRule="auto" w:before="40" w:after="40"/>
              <w:jc w:val="center"/>
            </w:pPr>
            <w:r>
              <w:rPr>
                <w:rFonts w:ascii="Times New Roman" w:hAnsi="Times New Roman"/>
                <w:color w:val="000000"/>
                <w:sz w:val="18"/>
              </w:rPr>
              <w:t>-22.38%</w:t>
            </w:r>
          </w:p>
        </w:tc>
        <w:tc>
          <w:tcPr>
            <w:tcW w:type="dxa" w:w="1040"/>
          </w:tcPr>
          <w:p>
            <w:pPr>
              <w:spacing w:line="276" w:lineRule="auto" w:before="40" w:after="40"/>
              <w:jc w:val="center"/>
            </w:pPr>
            <w:r>
              <w:rPr>
                <w:rFonts w:ascii="Times New Roman" w:hAnsi="Times New Roman"/>
                <w:color w:val="000000"/>
                <w:sz w:val="18"/>
              </w:rPr>
              <w:t>7.59%</w:t>
            </w:r>
          </w:p>
        </w:tc>
      </w:tr>
      <w:tr>
        <w:tc>
          <w:tcPr>
            <w:tcW w:type="dxa" w:w="1040"/>
          </w:tcPr>
          <w:p>
            <w:pPr>
              <w:spacing w:line="276" w:lineRule="auto" w:before="40" w:after="40"/>
              <w:jc w:val="center"/>
            </w:pPr>
            <w:r>
              <w:rPr>
                <w:rFonts w:ascii="Times New Roman" w:hAnsi="Times New Roman"/>
                <w:color w:val="000000"/>
                <w:sz w:val="18"/>
              </w:rPr>
              <w:t>XGB-CVaR</w:t>
            </w:r>
          </w:p>
        </w:tc>
        <w:tc>
          <w:tcPr>
            <w:tcW w:type="dxa" w:w="1040"/>
          </w:tcPr>
          <w:p>
            <w:pPr>
              <w:spacing w:line="276" w:lineRule="auto" w:before="40" w:after="40"/>
              <w:jc w:val="center"/>
            </w:pPr>
            <w:r>
              <w:rPr>
                <w:rFonts w:ascii="Times New Roman" w:hAnsi="Times New Roman"/>
                <w:color w:val="000000"/>
                <w:sz w:val="18"/>
              </w:rPr>
              <w:t>37.71%</w:t>
            </w:r>
          </w:p>
        </w:tc>
        <w:tc>
          <w:tcPr>
            <w:tcW w:type="dxa" w:w="1040"/>
          </w:tcPr>
          <w:p>
            <w:pPr>
              <w:spacing w:line="276" w:lineRule="auto" w:before="40" w:after="40"/>
              <w:jc w:val="center"/>
            </w:pPr>
            <w:r>
              <w:rPr>
                <w:rFonts w:ascii="Times New Roman" w:hAnsi="Times New Roman"/>
                <w:color w:val="000000"/>
                <w:sz w:val="18"/>
              </w:rPr>
              <w:t>15.85%</w:t>
            </w:r>
          </w:p>
        </w:tc>
        <w:tc>
          <w:tcPr>
            <w:tcW w:type="dxa" w:w="1040"/>
          </w:tcPr>
          <w:p>
            <w:pPr>
              <w:spacing w:line="276" w:lineRule="auto" w:before="40" w:after="40"/>
              <w:jc w:val="center"/>
            </w:pPr>
            <w:r>
              <w:rPr>
                <w:rFonts w:ascii="Times New Roman" w:hAnsi="Times New Roman"/>
                <w:color w:val="000000"/>
                <w:sz w:val="18"/>
              </w:rPr>
              <w:t>1.24</w:t>
            </w:r>
          </w:p>
        </w:tc>
        <w:tc>
          <w:tcPr>
            <w:tcW w:type="dxa" w:w="1040"/>
          </w:tcPr>
          <w:p>
            <w:pPr>
              <w:spacing w:line="276" w:lineRule="auto" w:before="40" w:after="40"/>
              <w:jc w:val="center"/>
            </w:pPr>
            <w:r>
              <w:rPr>
                <w:rFonts w:ascii="Times New Roman" w:hAnsi="Times New Roman"/>
                <w:color w:val="000000"/>
                <w:sz w:val="18"/>
              </w:rPr>
              <w:t>2.37</w:t>
            </w:r>
          </w:p>
        </w:tc>
        <w:tc>
          <w:tcPr>
            <w:tcW w:type="dxa" w:w="1040"/>
          </w:tcPr>
          <w:p>
            <w:pPr>
              <w:spacing w:line="276" w:lineRule="auto" w:before="40" w:after="40"/>
              <w:jc w:val="center"/>
            </w:pPr>
            <w:r>
              <w:rPr>
                <w:rFonts w:ascii="Times New Roman" w:hAnsi="Times New Roman"/>
                <w:color w:val="000000"/>
                <w:sz w:val="18"/>
              </w:rPr>
              <w:t>-2.32%</w:t>
            </w:r>
          </w:p>
        </w:tc>
        <w:tc>
          <w:tcPr>
            <w:tcW w:type="dxa" w:w="1040"/>
          </w:tcPr>
          <w:p>
            <w:pPr>
              <w:spacing w:line="276" w:lineRule="auto" w:before="40" w:after="40"/>
              <w:jc w:val="center"/>
            </w:pPr>
            <w:r>
              <w:rPr>
                <w:rFonts w:ascii="Times New Roman" w:hAnsi="Times New Roman"/>
                <w:color w:val="000000"/>
                <w:sz w:val="18"/>
              </w:rPr>
              <w:t>-2.85%</w:t>
            </w:r>
          </w:p>
        </w:tc>
        <w:tc>
          <w:tcPr>
            <w:tcW w:type="dxa" w:w="1040"/>
          </w:tcPr>
          <w:p>
            <w:pPr>
              <w:spacing w:line="276" w:lineRule="auto" w:before="40" w:after="40"/>
              <w:jc w:val="center"/>
            </w:pPr>
            <w:r>
              <w:rPr>
                <w:rFonts w:ascii="Times New Roman" w:hAnsi="Times New Roman"/>
                <w:color w:val="000000"/>
                <w:sz w:val="18"/>
              </w:rPr>
              <w:t>-23.62%</w:t>
            </w:r>
          </w:p>
        </w:tc>
        <w:tc>
          <w:tcPr>
            <w:tcW w:type="dxa" w:w="1040"/>
          </w:tcPr>
          <w:p>
            <w:pPr>
              <w:spacing w:line="276" w:lineRule="auto" w:before="40" w:after="40"/>
              <w:jc w:val="center"/>
            </w:pPr>
            <w:r>
              <w:rPr>
                <w:rFonts w:ascii="Times New Roman" w:hAnsi="Times New Roman"/>
                <w:color w:val="000000"/>
                <w:sz w:val="18"/>
              </w:rPr>
              <w:t>11.00%</w:t>
            </w:r>
          </w:p>
        </w:tc>
      </w:tr>
      <w:tr>
        <w:tc>
          <w:tcPr>
            <w:tcW w:type="dxa" w:w="1040"/>
          </w:tcPr>
          <w:p>
            <w:pPr>
              <w:spacing w:line="276" w:lineRule="auto" w:before="40" w:after="40"/>
              <w:jc w:val="center"/>
            </w:pPr>
            <w:r>
              <w:rPr>
                <w:rFonts w:ascii="Times New Roman" w:hAnsi="Times New Roman"/>
                <w:color w:val="000000"/>
                <w:sz w:val="18"/>
              </w:rPr>
              <w:t>Historical-CVaR</w:t>
            </w:r>
          </w:p>
        </w:tc>
        <w:tc>
          <w:tcPr>
            <w:tcW w:type="dxa" w:w="1040"/>
          </w:tcPr>
          <w:p>
            <w:pPr>
              <w:spacing w:line="276" w:lineRule="auto" w:before="40" w:after="40"/>
              <w:jc w:val="center"/>
            </w:pPr>
            <w:r>
              <w:rPr>
                <w:rFonts w:ascii="Times New Roman" w:hAnsi="Times New Roman"/>
                <w:color w:val="000000"/>
                <w:sz w:val="18"/>
              </w:rPr>
              <w:t>42.12%</w:t>
            </w:r>
          </w:p>
        </w:tc>
        <w:tc>
          <w:tcPr>
            <w:tcW w:type="dxa" w:w="1040"/>
          </w:tcPr>
          <w:p>
            <w:pPr>
              <w:spacing w:line="276" w:lineRule="auto" w:before="40" w:after="40"/>
              <w:jc w:val="center"/>
            </w:pPr>
            <w:r>
              <w:rPr>
                <w:rFonts w:ascii="Times New Roman" w:hAnsi="Times New Roman"/>
                <w:color w:val="000000"/>
                <w:sz w:val="18"/>
              </w:rPr>
              <w:t>16.15%</w:t>
            </w:r>
          </w:p>
        </w:tc>
        <w:tc>
          <w:tcPr>
            <w:tcW w:type="dxa" w:w="1040"/>
          </w:tcPr>
          <w:p>
            <w:pPr>
              <w:spacing w:line="276" w:lineRule="auto" w:before="40" w:after="40"/>
              <w:jc w:val="center"/>
            </w:pPr>
            <w:r>
              <w:rPr>
                <w:rFonts w:ascii="Times New Roman" w:hAnsi="Times New Roman"/>
                <w:color w:val="000000"/>
                <w:sz w:val="18"/>
              </w:rPr>
              <w:t>1.49</w:t>
            </w:r>
          </w:p>
        </w:tc>
        <w:tc>
          <w:tcPr>
            <w:tcW w:type="dxa" w:w="1040"/>
          </w:tcPr>
          <w:p>
            <w:pPr>
              <w:spacing w:line="276" w:lineRule="auto" w:before="40" w:after="40"/>
              <w:jc w:val="center"/>
            </w:pPr>
            <w:r>
              <w:rPr>
                <w:rFonts w:ascii="Times New Roman" w:hAnsi="Times New Roman"/>
                <w:color w:val="000000"/>
                <w:sz w:val="18"/>
              </w:rPr>
              <w:t>3.02</w:t>
            </w:r>
          </w:p>
        </w:tc>
        <w:tc>
          <w:tcPr>
            <w:tcW w:type="dxa" w:w="1040"/>
          </w:tcPr>
          <w:p>
            <w:pPr>
              <w:spacing w:line="276" w:lineRule="auto" w:before="40" w:after="40"/>
              <w:jc w:val="center"/>
            </w:pPr>
            <w:r>
              <w:rPr>
                <w:rFonts w:ascii="Times New Roman" w:hAnsi="Times New Roman"/>
                <w:color w:val="000000"/>
                <w:sz w:val="18"/>
              </w:rPr>
              <w:t>-2.18%</w:t>
            </w:r>
          </w:p>
        </w:tc>
        <w:tc>
          <w:tcPr>
            <w:tcW w:type="dxa" w:w="1040"/>
          </w:tcPr>
          <w:p>
            <w:pPr>
              <w:spacing w:line="276" w:lineRule="auto" w:before="40" w:after="40"/>
              <w:jc w:val="center"/>
            </w:pPr>
            <w:r>
              <w:rPr>
                <w:rFonts w:ascii="Times New Roman" w:hAnsi="Times New Roman"/>
                <w:color w:val="000000"/>
                <w:sz w:val="18"/>
              </w:rPr>
              <w:t>-2.61%</w:t>
            </w:r>
          </w:p>
        </w:tc>
        <w:tc>
          <w:tcPr>
            <w:tcW w:type="dxa" w:w="1040"/>
          </w:tcPr>
          <w:p>
            <w:pPr>
              <w:spacing w:line="276" w:lineRule="auto" w:before="40" w:after="40"/>
              <w:jc w:val="center"/>
            </w:pPr>
            <w:r>
              <w:rPr>
                <w:rFonts w:ascii="Times New Roman" w:hAnsi="Times New Roman"/>
                <w:color w:val="000000"/>
                <w:sz w:val="18"/>
              </w:rPr>
              <w:t>-21.96%</w:t>
            </w:r>
          </w:p>
        </w:tc>
        <w:tc>
          <w:tcPr>
            <w:tcW w:type="dxa" w:w="1040"/>
          </w:tcPr>
          <w:p>
            <w:pPr>
              <w:spacing w:line="276" w:lineRule="auto" w:before="40" w:after="40"/>
              <w:jc w:val="center"/>
            </w:pPr>
            <w:r>
              <w:rPr>
                <w:rFonts w:ascii="Times New Roman" w:hAnsi="Times New Roman"/>
                <w:color w:val="000000"/>
                <w:sz w:val="18"/>
              </w:rPr>
              <w:t>0.38%</w:t>
            </w:r>
          </w:p>
        </w:tc>
      </w:tr>
      <w:tr>
        <w:tc>
          <w:tcPr>
            <w:tcW w:type="dxa" w:w="1040"/>
          </w:tcPr>
          <w:p>
            <w:pPr>
              <w:spacing w:line="276" w:lineRule="auto" w:before="40" w:after="40"/>
              <w:jc w:val="center"/>
            </w:pPr>
            <w:r>
              <w:rPr>
                <w:rFonts w:ascii="Times New Roman" w:hAnsi="Times New Roman"/>
                <w:color w:val="000000"/>
                <w:sz w:val="18"/>
              </w:rPr>
              <w:t>Mean-Variance (MVO)</w:t>
            </w:r>
          </w:p>
        </w:tc>
        <w:tc>
          <w:tcPr>
            <w:tcW w:type="dxa" w:w="1040"/>
          </w:tcPr>
          <w:p>
            <w:pPr>
              <w:spacing w:line="276" w:lineRule="auto" w:before="40" w:after="40"/>
              <w:jc w:val="center"/>
            </w:pPr>
            <w:r>
              <w:rPr>
                <w:rFonts w:ascii="Times New Roman" w:hAnsi="Times New Roman"/>
                <w:color w:val="000000"/>
                <w:sz w:val="18"/>
              </w:rPr>
              <w:t>18.24%</w:t>
            </w:r>
          </w:p>
        </w:tc>
        <w:tc>
          <w:tcPr>
            <w:tcW w:type="dxa" w:w="1040"/>
          </w:tcPr>
          <w:p>
            <w:pPr>
              <w:spacing w:line="276" w:lineRule="auto" w:before="40" w:after="40"/>
              <w:jc w:val="center"/>
            </w:pPr>
            <w:r>
              <w:rPr>
                <w:rFonts w:ascii="Times New Roman" w:hAnsi="Times New Roman"/>
                <w:color w:val="000000"/>
                <w:sz w:val="18"/>
              </w:rPr>
              <w:t>53.87%</w:t>
            </w:r>
          </w:p>
        </w:tc>
        <w:tc>
          <w:tcPr>
            <w:tcW w:type="dxa" w:w="1040"/>
          </w:tcPr>
          <w:p>
            <w:pPr>
              <w:spacing w:line="276" w:lineRule="auto" w:before="40" w:after="40"/>
              <w:jc w:val="center"/>
            </w:pPr>
            <w:r>
              <w:rPr>
                <w:rFonts w:ascii="Times New Roman" w:hAnsi="Times New Roman"/>
                <w:color w:val="000000"/>
                <w:sz w:val="18"/>
              </w:rPr>
              <w:t>0.00</w:t>
            </w:r>
          </w:p>
        </w:tc>
        <w:tc>
          <w:tcPr>
            <w:tcW w:type="dxa" w:w="1040"/>
          </w:tcPr>
          <w:p>
            <w:pPr>
              <w:spacing w:line="276" w:lineRule="auto" w:before="40" w:after="40"/>
              <w:jc w:val="center"/>
            </w:pPr>
            <w:r>
              <w:rPr>
                <w:rFonts w:ascii="Times New Roman" w:hAnsi="Times New Roman"/>
                <w:color w:val="000000"/>
                <w:sz w:val="18"/>
              </w:rPr>
              <w:t>0.01</w:t>
            </w:r>
          </w:p>
        </w:tc>
        <w:tc>
          <w:tcPr>
            <w:tcW w:type="dxa" w:w="1040"/>
          </w:tcPr>
          <w:p>
            <w:pPr>
              <w:spacing w:line="276" w:lineRule="auto" w:before="40" w:after="40"/>
              <w:jc w:val="center"/>
            </w:pPr>
            <w:r>
              <w:rPr>
                <w:rFonts w:ascii="Times New Roman" w:hAnsi="Times New Roman"/>
                <w:color w:val="000000"/>
                <w:sz w:val="18"/>
              </w:rPr>
              <w:t>-9.58%</w:t>
            </w:r>
          </w:p>
        </w:tc>
        <w:tc>
          <w:tcPr>
            <w:tcW w:type="dxa" w:w="1040"/>
          </w:tcPr>
          <w:p>
            <w:pPr>
              <w:spacing w:line="276" w:lineRule="auto" w:before="40" w:after="40"/>
              <w:jc w:val="center"/>
            </w:pPr>
            <w:r>
              <w:rPr>
                <w:rFonts w:ascii="Times New Roman" w:hAnsi="Times New Roman"/>
                <w:color w:val="000000"/>
                <w:sz w:val="18"/>
              </w:rPr>
              <w:t>-16.24%</w:t>
            </w:r>
          </w:p>
        </w:tc>
        <w:tc>
          <w:tcPr>
            <w:tcW w:type="dxa" w:w="1040"/>
          </w:tcPr>
          <w:p>
            <w:pPr>
              <w:spacing w:line="276" w:lineRule="auto" w:before="40" w:after="40"/>
              <w:jc w:val="center"/>
            </w:pPr>
            <w:r>
              <w:rPr>
                <w:rFonts w:ascii="Times New Roman" w:hAnsi="Times New Roman"/>
                <w:color w:val="000000"/>
                <w:sz w:val="18"/>
              </w:rPr>
              <w:t>-71.07%</w:t>
            </w:r>
          </w:p>
        </w:tc>
        <w:tc>
          <w:tcPr>
            <w:tcW w:type="dxa" w:w="1040"/>
          </w:tcPr>
          <w:p>
            <w:pPr>
              <w:spacing w:line="276" w:lineRule="auto" w:before="40" w:after="40"/>
              <w:jc w:val="center"/>
            </w:pPr>
            <w:r>
              <w:rPr>
                <w:rFonts w:ascii="Times New Roman" w:hAnsi="Times New Roman"/>
                <w:color w:val="000000"/>
                <w:sz w:val="18"/>
              </w:rPr>
              <w:t>99.28%</w:t>
            </w:r>
          </w:p>
        </w:tc>
      </w:tr>
      <w:tr>
        <w:tc>
          <w:tcPr>
            <w:tcW w:type="dxa" w:w="1040"/>
          </w:tcPr>
          <w:p>
            <w:pPr>
              <w:spacing w:line="276" w:lineRule="auto" w:before="40" w:after="40"/>
              <w:jc w:val="center"/>
            </w:pPr>
            <w:r>
              <w:rPr>
                <w:rFonts w:ascii="Times New Roman" w:hAnsi="Times New Roman"/>
                <w:color w:val="000000"/>
                <w:sz w:val="18"/>
              </w:rPr>
              <w:t>1/N Equal Weight</w:t>
            </w:r>
          </w:p>
        </w:tc>
        <w:tc>
          <w:tcPr>
            <w:tcW w:type="dxa" w:w="1040"/>
          </w:tcPr>
          <w:p>
            <w:pPr>
              <w:spacing w:line="276" w:lineRule="auto" w:before="40" w:after="40"/>
              <w:jc w:val="center"/>
            </w:pPr>
            <w:r>
              <w:rPr>
                <w:rFonts w:ascii="Times New Roman" w:hAnsi="Times New Roman"/>
                <w:color w:val="000000"/>
                <w:sz w:val="18"/>
              </w:rPr>
              <w:t>37.42%</w:t>
            </w:r>
          </w:p>
        </w:tc>
        <w:tc>
          <w:tcPr>
            <w:tcW w:type="dxa" w:w="1040"/>
          </w:tcPr>
          <w:p>
            <w:pPr>
              <w:spacing w:line="276" w:lineRule="auto" w:before="40" w:after="40"/>
              <w:jc w:val="center"/>
            </w:pPr>
            <w:r>
              <w:rPr>
                <w:rFonts w:ascii="Times New Roman" w:hAnsi="Times New Roman"/>
                <w:color w:val="000000"/>
                <w:sz w:val="18"/>
              </w:rPr>
              <w:t>18.29%</w:t>
            </w:r>
          </w:p>
        </w:tc>
        <w:tc>
          <w:tcPr>
            <w:tcW w:type="dxa" w:w="1040"/>
          </w:tcPr>
          <w:p>
            <w:pPr>
              <w:spacing w:line="276" w:lineRule="auto" w:before="40" w:after="40"/>
              <w:jc w:val="center"/>
            </w:pPr>
            <w:r>
              <w:rPr>
                <w:rFonts w:ascii="Times New Roman" w:hAnsi="Times New Roman"/>
                <w:color w:val="000000"/>
                <w:sz w:val="18"/>
              </w:rPr>
              <w:t>1.06</w:t>
            </w:r>
          </w:p>
        </w:tc>
        <w:tc>
          <w:tcPr>
            <w:tcW w:type="dxa" w:w="1040"/>
          </w:tcPr>
          <w:p>
            <w:pPr>
              <w:spacing w:line="276" w:lineRule="auto" w:before="40" w:after="40"/>
              <w:jc w:val="center"/>
            </w:pPr>
            <w:r>
              <w:rPr>
                <w:rFonts w:ascii="Times New Roman" w:hAnsi="Times New Roman"/>
                <w:color w:val="000000"/>
                <w:sz w:val="18"/>
              </w:rPr>
              <w:t>1.83</w:t>
            </w:r>
          </w:p>
        </w:tc>
        <w:tc>
          <w:tcPr>
            <w:tcW w:type="dxa" w:w="1040"/>
          </w:tcPr>
          <w:p>
            <w:pPr>
              <w:spacing w:line="276" w:lineRule="auto" w:before="40" w:after="40"/>
              <w:jc w:val="center"/>
            </w:pPr>
            <w:r>
              <w:rPr>
                <w:rFonts w:ascii="Times New Roman" w:hAnsi="Times New Roman"/>
                <w:color w:val="000000"/>
                <w:sz w:val="18"/>
              </w:rPr>
              <w:t>-2.82%</w:t>
            </w:r>
          </w:p>
        </w:tc>
        <w:tc>
          <w:tcPr>
            <w:tcW w:type="dxa" w:w="1040"/>
          </w:tcPr>
          <w:p>
            <w:pPr>
              <w:spacing w:line="276" w:lineRule="auto" w:before="40" w:after="40"/>
              <w:jc w:val="center"/>
            </w:pPr>
            <w:r>
              <w:rPr>
                <w:rFonts w:ascii="Times New Roman" w:hAnsi="Times New Roman"/>
                <w:color w:val="000000"/>
                <w:sz w:val="18"/>
              </w:rPr>
              <w:t>-4.44%</w:t>
            </w:r>
          </w:p>
        </w:tc>
        <w:tc>
          <w:tcPr>
            <w:tcW w:type="dxa" w:w="1040"/>
          </w:tcPr>
          <w:p>
            <w:pPr>
              <w:spacing w:line="276" w:lineRule="auto" w:before="40" w:after="40"/>
              <w:jc w:val="center"/>
            </w:pPr>
            <w:r>
              <w:rPr>
                <w:rFonts w:ascii="Times New Roman" w:hAnsi="Times New Roman"/>
                <w:color w:val="000000"/>
                <w:sz w:val="18"/>
              </w:rPr>
              <w:t>-23.95%</w:t>
            </w:r>
          </w:p>
        </w:tc>
        <w:tc>
          <w:tcPr>
            <w:tcW w:type="dxa" w:w="1040"/>
          </w:tcPr>
          <w:p>
            <w:pPr>
              <w:spacing w:line="276" w:lineRule="auto" w:before="40" w:after="40"/>
              <w:jc w:val="center"/>
            </w:pPr>
            <w:r>
              <w:rPr>
                <w:rFonts w:ascii="Times New Roman" w:hAnsi="Times New Roman"/>
                <w:color w:val="000000"/>
                <w:sz w:val="18"/>
              </w:rPr>
              <w:t>0.38%</w:t>
            </w:r>
          </w:p>
        </w:tc>
      </w:tr>
      <w:tr>
        <w:tc>
          <w:tcPr>
            <w:tcW w:type="dxa" w:w="1040"/>
          </w:tcPr>
          <w:p>
            <w:pPr>
              <w:spacing w:line="276" w:lineRule="auto" w:before="40" w:after="40"/>
              <w:jc w:val="center"/>
            </w:pPr>
            <w:r>
              <w:rPr>
                <w:rFonts w:ascii="Times New Roman" w:hAnsi="Times New Roman"/>
                <w:color w:val="000000"/>
                <w:sz w:val="18"/>
              </w:rPr>
              <w:t>NGX Index Buy-Hold</w:t>
            </w:r>
          </w:p>
        </w:tc>
        <w:tc>
          <w:tcPr>
            <w:tcW w:type="dxa" w:w="1040"/>
          </w:tcPr>
          <w:p>
            <w:pPr>
              <w:spacing w:line="276" w:lineRule="auto" w:before="40" w:after="40"/>
              <w:jc w:val="center"/>
            </w:pPr>
            <w:r>
              <w:rPr>
                <w:rFonts w:ascii="Times New Roman" w:hAnsi="Times New Roman"/>
                <w:color w:val="000000"/>
                <w:sz w:val="18"/>
              </w:rPr>
              <w:t>35.88%</w:t>
            </w:r>
          </w:p>
        </w:tc>
        <w:tc>
          <w:tcPr>
            <w:tcW w:type="dxa" w:w="1040"/>
          </w:tcPr>
          <w:p>
            <w:pPr>
              <w:spacing w:line="276" w:lineRule="auto" w:before="40" w:after="40"/>
              <w:jc w:val="center"/>
            </w:pPr>
            <w:r>
              <w:rPr>
                <w:rFonts w:ascii="Times New Roman" w:hAnsi="Times New Roman"/>
                <w:color w:val="000000"/>
                <w:sz w:val="18"/>
              </w:rPr>
              <w:t>19.77%</w:t>
            </w:r>
          </w:p>
        </w:tc>
        <w:tc>
          <w:tcPr>
            <w:tcW w:type="dxa" w:w="1040"/>
          </w:tcPr>
          <w:p>
            <w:pPr>
              <w:spacing w:line="276" w:lineRule="auto" w:before="40" w:after="40"/>
              <w:jc w:val="center"/>
            </w:pPr>
            <w:r>
              <w:rPr>
                <w:rFonts w:ascii="Times New Roman" w:hAnsi="Times New Roman"/>
                <w:color w:val="000000"/>
                <w:sz w:val="18"/>
              </w:rPr>
              <w:t>0.90</w:t>
            </w:r>
          </w:p>
        </w:tc>
        <w:tc>
          <w:tcPr>
            <w:tcW w:type="dxa" w:w="1040"/>
          </w:tcPr>
          <w:p>
            <w:pPr>
              <w:spacing w:line="276" w:lineRule="auto" w:before="40" w:after="40"/>
              <w:jc w:val="center"/>
            </w:pPr>
            <w:r>
              <w:rPr>
                <w:rFonts w:ascii="Times New Roman" w:hAnsi="Times New Roman"/>
                <w:color w:val="000000"/>
                <w:sz w:val="18"/>
              </w:rPr>
              <w:t>1.54</w:t>
            </w:r>
          </w:p>
        </w:tc>
        <w:tc>
          <w:tcPr>
            <w:tcW w:type="dxa" w:w="1040"/>
          </w:tcPr>
          <w:p>
            <w:pPr>
              <w:spacing w:line="276" w:lineRule="auto" w:before="40" w:after="40"/>
              <w:jc w:val="center"/>
            </w:pPr>
            <w:r>
              <w:rPr>
                <w:rFonts w:ascii="Times New Roman" w:hAnsi="Times New Roman"/>
                <w:color w:val="000000"/>
                <w:sz w:val="18"/>
              </w:rPr>
              <w:t>-3.32%</w:t>
            </w:r>
          </w:p>
        </w:tc>
        <w:tc>
          <w:tcPr>
            <w:tcW w:type="dxa" w:w="1040"/>
          </w:tcPr>
          <w:p>
            <w:pPr>
              <w:spacing w:line="276" w:lineRule="auto" w:before="40" w:after="40"/>
              <w:jc w:val="center"/>
            </w:pPr>
            <w:r>
              <w:rPr>
                <w:rFonts w:ascii="Times New Roman" w:hAnsi="Times New Roman"/>
                <w:color w:val="000000"/>
                <w:sz w:val="18"/>
              </w:rPr>
              <w:t>-4.95%</w:t>
            </w:r>
          </w:p>
        </w:tc>
        <w:tc>
          <w:tcPr>
            <w:tcW w:type="dxa" w:w="1040"/>
          </w:tcPr>
          <w:p>
            <w:pPr>
              <w:spacing w:line="276" w:lineRule="auto" w:before="40" w:after="40"/>
              <w:jc w:val="center"/>
            </w:pPr>
            <w:r>
              <w:rPr>
                <w:rFonts w:ascii="Times New Roman" w:hAnsi="Times New Roman"/>
                <w:color w:val="000000"/>
                <w:sz w:val="18"/>
              </w:rPr>
              <w:t>-26.66%</w:t>
            </w:r>
          </w:p>
        </w:tc>
        <w:tc>
          <w:tcPr>
            <w:tcW w:type="dxa" w:w="1040"/>
          </w:tcPr>
          <w:p>
            <w:pPr>
              <w:spacing w:line="276" w:lineRule="auto" w:before="40" w:after="40"/>
              <w:jc w:val="center"/>
            </w:pPr>
            <w:r>
              <w:rPr>
                <w:rFonts w:ascii="Times New Roman" w:hAnsi="Times New Roman"/>
                <w:color w:val="000000"/>
                <w:sz w:val="18"/>
              </w:rPr>
              <w:t>0.00%</w:t>
            </w:r>
          </w:p>
        </w:tc>
      </w:tr>
    </w:tbl>
    <w:p>
      <w:pPr>
        <w:spacing w:after="120"/>
      </w:pPr>
    </w:p>
    <w:p>
      <w:pPr>
        <w:spacing w:line="480" w:lineRule="auto" w:before="0" w:after="0"/>
        <w:jc w:val="left"/>
      </w:pPr>
      <w:r>
        <w:rPr>
          <w:rFonts w:ascii="Times New Roman" w:hAnsi="Times New Roman"/>
          <w:i/>
          <w:color w:val="000000"/>
          <w:sz w:val="20"/>
        </w:rPr>
        <w:t>Source: Author's computation (2026). Out-of-sample period: 2021-2025. 0.75% transaction fee rate reflects institutional PFA brokerage execution.</w:t>
      </w:r>
    </w:p>
    <w:p>
      <w:pPr>
        <w:jc w:val="center"/>
      </w:pPr>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portfolio_equity_curves.png"/>
                    <pic:cNvPicPr/>
                  </pic:nvPicPr>
                  <pic:blipFill>
                    <a:blip r:embed="rId10"/>
                    <a:stretch>
                      <a:fillRect/>
                    </a:stretch>
                  </pic:blipFill>
                  <pic:spPr>
                    <a:xfrm>
                      <a:off x="0" y="0"/>
                      <a:ext cx="5486400" cy="3200400"/>
                    </a:xfrm>
                    <a:prstGeom prst="rect"/>
                  </pic:spPr>
                </pic:pic>
              </a:graphicData>
            </a:graphic>
          </wp:inline>
        </w:drawing>
      </w:r>
    </w:p>
    <w:p>
      <w:pPr>
        <w:spacing w:line="480" w:lineRule="auto" w:before="0" w:after="0"/>
        <w:jc w:val="left"/>
      </w:pPr>
      <w:r>
        <w:rPr>
          <w:rFonts w:ascii="Times New Roman" w:hAnsi="Times New Roman"/>
          <w:i/>
          <w:color w:val="000000"/>
          <w:sz w:val="20"/>
        </w:rPr>
        <w:t>Figure 4.3: Out-of-Sample Cumulative Wealth Growth Curves (2021-2025)</w:t>
      </w:r>
    </w:p>
    <w:p>
      <w:pPr>
        <w:spacing w:line="480" w:lineRule="auto" w:before="0" w:after="0"/>
        <w:jc w:val="left"/>
      </w:pPr>
      <w:r>
        <w:rPr>
          <w:rFonts w:ascii="Times New Roman" w:hAnsi="Times New Roman"/>
          <w:b/>
          <w:color w:val="000000"/>
          <w:sz w:val="24"/>
        </w:rPr>
        <w:t>4.7.1 Statistical Significance of Portfolio Outperformance across Market Fee Regimes</w:t>
      </w:r>
    </w:p>
    <w:p>
      <w:pPr>
        <w:spacing w:line="480" w:lineRule="auto" w:before="0" w:after="0"/>
        <w:jc w:val="both"/>
      </w:pPr>
      <w:r>
        <w:rPr>
          <w:rFonts w:ascii="Times New Roman" w:hAnsi="Times New Roman"/>
          <w:color w:val="000000"/>
          <w:sz w:val="24"/>
        </w:rPr>
        <w:t>To evaluate whether the risk-adjusted outperformance of active Mean-CVaR strategies over passive benchmarks is statistically significant, inferential hypothesis testing was conducted across all three market fee regimes. Table 4.6 presents the p-values from Jobson-Korkie (Memmel 2007 correction) Z-tests, Ledoit-Wolf (2008) circular block bootstrap Sharpe tests, Ledoit-Wolf (2011) downside block bootstrap Sortino tests, and non-parametric Wilcoxon signed-rank tests.</w:t>
      </w:r>
    </w:p>
    <w:p>
      <w:pPr>
        <w:spacing w:line="480" w:lineRule="auto" w:before="0" w:after="0"/>
        <w:jc w:val="left"/>
      </w:pPr>
      <w:r>
        <w:rPr>
          <w:rFonts w:ascii="Times New Roman" w:hAnsi="Times New Roman"/>
          <w:b/>
          <w:color w:val="000000"/>
          <w:sz w:val="24"/>
        </w:rPr>
        <w:t>Table 4.6: Multi-Tier Pairwise Hypothesis Testing of Sharpe &amp; Sortino Equality across Fee Regimes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Fee Regime</w:t>
            </w:r>
          </w:p>
        </w:tc>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Benchmark</w:t>
            </w:r>
          </w:p>
        </w:tc>
        <w:tc>
          <w:tcPr>
            <w:tcW w:type="dxa" w:w="1170"/>
            <w:shd w:val="clear" w:color="auto" w:fill="F2F2F2"/>
          </w:tcPr>
          <w:p>
            <w:pPr>
              <w:spacing w:line="276" w:lineRule="auto" w:before="40" w:after="40"/>
              <w:jc w:val="center"/>
            </w:pPr>
            <w:r>
              <w:rPr>
                <w:rFonts w:ascii="Times New Roman" w:hAnsi="Times New Roman"/>
                <w:b/>
                <w:color w:val="000000"/>
                <w:sz w:val="19"/>
              </w:rPr>
              <w:t>Sharpe Diff</w:t>
            </w:r>
          </w:p>
        </w:tc>
        <w:tc>
          <w:tcPr>
            <w:tcW w:type="dxa" w:w="1170"/>
            <w:shd w:val="clear" w:color="auto" w:fill="F2F2F2"/>
          </w:tcPr>
          <w:p>
            <w:pPr>
              <w:spacing w:line="276" w:lineRule="auto" w:before="40" w:after="40"/>
              <w:jc w:val="center"/>
            </w:pPr>
            <w:r>
              <w:rPr>
                <w:rFonts w:ascii="Times New Roman" w:hAnsi="Times New Roman"/>
                <w:b/>
                <w:color w:val="000000"/>
                <w:sz w:val="19"/>
              </w:rPr>
              <w:t>Jobson-Korkie p</w:t>
            </w:r>
          </w:p>
        </w:tc>
        <w:tc>
          <w:tcPr>
            <w:tcW w:type="dxa" w:w="1170"/>
            <w:shd w:val="clear" w:color="auto" w:fill="F2F2F2"/>
          </w:tcPr>
          <w:p>
            <w:pPr>
              <w:spacing w:line="276" w:lineRule="auto" w:before="40" w:after="40"/>
              <w:jc w:val="center"/>
            </w:pPr>
            <w:r>
              <w:rPr>
                <w:rFonts w:ascii="Times New Roman" w:hAnsi="Times New Roman"/>
                <w:b/>
                <w:color w:val="000000"/>
                <w:sz w:val="19"/>
              </w:rPr>
              <w:t>LW Sharpe p</w:t>
            </w:r>
          </w:p>
        </w:tc>
        <w:tc>
          <w:tcPr>
            <w:tcW w:type="dxa" w:w="1170"/>
            <w:shd w:val="clear" w:color="auto" w:fill="F2F2F2"/>
          </w:tcPr>
          <w:p>
            <w:pPr>
              <w:spacing w:line="276" w:lineRule="auto" w:before="40" w:after="40"/>
              <w:jc w:val="center"/>
            </w:pPr>
            <w:r>
              <w:rPr>
                <w:rFonts w:ascii="Times New Roman" w:hAnsi="Times New Roman"/>
                <w:b/>
                <w:color w:val="000000"/>
                <w:sz w:val="19"/>
              </w:rPr>
              <w:t>LW Sortino p</w:t>
            </w:r>
          </w:p>
        </w:tc>
        <w:tc>
          <w:tcPr>
            <w:tcW w:type="dxa" w:w="1170"/>
            <w:shd w:val="clear" w:color="auto" w:fill="F2F2F2"/>
          </w:tcPr>
          <w:p>
            <w:pPr>
              <w:spacing w:line="276" w:lineRule="auto" w:before="40" w:after="40"/>
              <w:jc w:val="center"/>
            </w:pPr>
            <w:r>
              <w:rPr>
                <w:rFonts w:ascii="Times New Roman" w:hAnsi="Times New Roman"/>
                <w:b/>
                <w:color w:val="000000"/>
                <w:sz w:val="19"/>
              </w:rPr>
              <w:t>Wilcoxon p</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+0.63</w:t>
            </w:r>
          </w:p>
        </w:tc>
        <w:tc>
          <w:tcPr>
            <w:tcW w:type="dxa" w:w="1170"/>
          </w:tcPr>
          <w:p>
            <w:pPr>
              <w:spacing w:line="276" w:lineRule="auto" w:before="40" w:after="40"/>
              <w:jc w:val="center"/>
            </w:pPr>
            <w:r>
              <w:rPr>
                <w:rFonts w:ascii="Times New Roman" w:hAnsi="Times New Roman"/>
                <w:color w:val="000000"/>
                <w:sz w:val="18"/>
              </w:rPr>
              <w:t>0.203</w:t>
            </w:r>
          </w:p>
        </w:tc>
        <w:tc>
          <w:tcPr>
            <w:tcW w:type="dxa" w:w="1170"/>
          </w:tcPr>
          <w:p>
            <w:pPr>
              <w:spacing w:line="276" w:lineRule="auto" w:before="40" w:after="40"/>
              <w:jc w:val="center"/>
            </w:pPr>
            <w:r>
              <w:rPr>
                <w:rFonts w:ascii="Times New Roman" w:hAnsi="Times New Roman"/>
                <w:color w:val="000000"/>
                <w:sz w:val="18"/>
              </w:rPr>
              <w:t>0.015</w:t>
            </w:r>
          </w:p>
        </w:tc>
        <w:tc>
          <w:tcPr>
            <w:tcW w:type="dxa" w:w="1170"/>
          </w:tcPr>
          <w:p>
            <w:pPr>
              <w:spacing w:line="276" w:lineRule="auto" w:before="40" w:after="40"/>
              <w:jc w:val="center"/>
            </w:pPr>
            <w:r>
              <w:rPr>
                <w:rFonts w:ascii="Times New Roman" w:hAnsi="Times New Roman"/>
                <w:color w:val="000000"/>
                <w:sz w:val="18"/>
              </w:rPr>
              <w:t>0.026</w:t>
            </w:r>
          </w:p>
        </w:tc>
        <w:tc>
          <w:tcPr>
            <w:tcW w:type="dxa" w:w="1170"/>
          </w:tcPr>
          <w:p>
            <w:pPr>
              <w:spacing w:line="276" w:lineRule="auto" w:before="40" w:after="40"/>
              <w:jc w:val="center"/>
            </w:pPr>
            <w:r>
              <w:rPr>
                <w:rFonts w:ascii="Times New Roman" w:hAnsi="Times New Roman"/>
                <w:color w:val="000000"/>
                <w:sz w:val="18"/>
              </w:rPr>
              <w:t>0.519</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+0.56</w:t>
            </w:r>
          </w:p>
        </w:tc>
        <w:tc>
          <w:tcPr>
            <w:tcW w:type="dxa" w:w="1170"/>
          </w:tcPr>
          <w:p>
            <w:pPr>
              <w:spacing w:line="276" w:lineRule="auto" w:before="40" w:after="40"/>
              <w:jc w:val="center"/>
            </w:pPr>
            <w:r>
              <w:rPr>
                <w:rFonts w:ascii="Times New Roman" w:hAnsi="Times New Roman"/>
                <w:color w:val="000000"/>
                <w:sz w:val="18"/>
              </w:rPr>
              <w:t>0.245</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0.056</w:t>
            </w:r>
          </w:p>
        </w:tc>
        <w:tc>
          <w:tcPr>
            <w:tcW w:type="dxa" w:w="1170"/>
          </w:tcPr>
          <w:p>
            <w:pPr>
              <w:spacing w:line="276" w:lineRule="auto" w:before="40" w:after="40"/>
              <w:jc w:val="center"/>
            </w:pPr>
            <w:r>
              <w:rPr>
                <w:rFonts w:ascii="Times New Roman" w:hAnsi="Times New Roman"/>
                <w:color w:val="000000"/>
                <w:sz w:val="18"/>
              </w:rPr>
              <w:t>0.632</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+0.61</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0.032</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0.355</w:t>
            </w:r>
          </w:p>
        </w:tc>
        <w:tc>
          <w:tcPr>
            <w:tcW w:type="dxa" w:w="1170"/>
          </w:tcPr>
          <w:p>
            <w:pPr>
              <w:spacing w:line="276" w:lineRule="auto" w:before="40" w:after="40"/>
              <w:jc w:val="center"/>
            </w:pPr>
            <w:r>
              <w:rPr>
                <w:rFonts w:ascii="Times New Roman" w:hAnsi="Times New Roman"/>
                <w:color w:val="000000"/>
                <w:sz w:val="18"/>
              </w:rPr>
              <w:t>0.084</w:t>
            </w:r>
          </w:p>
        </w:tc>
        <w:tc>
          <w:tcPr>
            <w:tcW w:type="dxa" w:w="1170"/>
          </w:tcPr>
          <w:p>
            <w:pPr>
              <w:spacing w:line="276" w:lineRule="auto" w:before="40" w:after="40"/>
              <w:jc w:val="center"/>
            </w:pPr>
            <w:r>
              <w:rPr>
                <w:rFonts w:ascii="Times New Roman" w:hAnsi="Times New Roman"/>
                <w:color w:val="000000"/>
                <w:sz w:val="18"/>
              </w:rPr>
              <w:t>0.066</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+0.02</w:t>
            </w:r>
          </w:p>
        </w:tc>
        <w:tc>
          <w:tcPr>
            <w:tcW w:type="dxa" w:w="1170"/>
          </w:tcPr>
          <w:p>
            <w:pPr>
              <w:spacing w:line="276" w:lineRule="auto" w:before="40" w:after="40"/>
              <w:jc w:val="center"/>
            </w:pPr>
            <w:r>
              <w:rPr>
                <w:rFonts w:ascii="Times New Roman" w:hAnsi="Times New Roman"/>
                <w:color w:val="000000"/>
                <w:sz w:val="18"/>
              </w:rPr>
              <w:t>0.795</w:t>
            </w:r>
          </w:p>
        </w:tc>
        <w:tc>
          <w:tcPr>
            <w:tcW w:type="dxa" w:w="1170"/>
          </w:tcPr>
          <w:p>
            <w:pPr>
              <w:spacing w:line="276" w:lineRule="auto" w:before="40" w:after="40"/>
              <w:jc w:val="center"/>
            </w:pPr>
            <w:r>
              <w:rPr>
                <w:rFonts w:ascii="Times New Roman" w:hAnsi="Times New Roman"/>
                <w:color w:val="000000"/>
                <w:sz w:val="18"/>
              </w:rPr>
              <w:t>0.558</w:t>
            </w:r>
          </w:p>
        </w:tc>
        <w:tc>
          <w:tcPr>
            <w:tcW w:type="dxa" w:w="1170"/>
          </w:tcPr>
          <w:p>
            <w:pPr>
              <w:spacing w:line="276" w:lineRule="auto" w:before="40" w:after="40"/>
              <w:jc w:val="center"/>
            </w:pPr>
            <w:r>
              <w:rPr>
                <w:rFonts w:ascii="Times New Roman" w:hAnsi="Times New Roman"/>
                <w:color w:val="000000"/>
                <w:sz w:val="18"/>
              </w:rPr>
              <w:t>0.873</w:t>
            </w:r>
          </w:p>
        </w:tc>
        <w:tc>
          <w:tcPr>
            <w:tcW w:type="dxa" w:w="1170"/>
          </w:tcPr>
          <w:p>
            <w:pPr>
              <w:spacing w:line="276" w:lineRule="auto" w:before="40" w:after="40"/>
              <w:jc w:val="center"/>
            </w:pPr>
            <w:r>
              <w:rPr>
                <w:rFonts w:ascii="Times New Roman" w:hAnsi="Times New Roman"/>
                <w:color w:val="000000"/>
                <w:sz w:val="18"/>
              </w:rPr>
              <w:t>0.482</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-0.40</w:t>
            </w:r>
          </w:p>
        </w:tc>
        <w:tc>
          <w:tcPr>
            <w:tcW w:type="dxa" w:w="1170"/>
          </w:tcPr>
          <w:p>
            <w:pPr>
              <w:spacing w:line="276" w:lineRule="auto" w:before="40" w:after="40"/>
              <w:jc w:val="center"/>
            </w:pPr>
            <w:r>
              <w:rPr>
                <w:rFonts w:ascii="Times New Roman" w:hAnsi="Times New Roman"/>
                <w:color w:val="000000"/>
                <w:sz w:val="18"/>
              </w:rPr>
              <w:t>0.481</w:t>
            </w:r>
          </w:p>
        </w:tc>
        <w:tc>
          <w:tcPr>
            <w:tcW w:type="dxa" w:w="1170"/>
          </w:tcPr>
          <w:p>
            <w:pPr>
              <w:spacing w:line="276" w:lineRule="auto" w:before="40" w:after="40"/>
              <w:jc w:val="center"/>
            </w:pPr>
            <w:r>
              <w:rPr>
                <w:rFonts w:ascii="Times New Roman" w:hAnsi="Times New Roman"/>
                <w:color w:val="000000"/>
                <w:sz w:val="18"/>
              </w:rPr>
              <w:t>0.385</w:t>
            </w:r>
          </w:p>
        </w:tc>
        <w:tc>
          <w:tcPr>
            <w:tcW w:type="dxa" w:w="1170"/>
          </w:tcPr>
          <w:p>
            <w:pPr>
              <w:spacing w:line="276" w:lineRule="auto" w:before="40" w:after="40"/>
              <w:jc w:val="center"/>
            </w:pPr>
            <w:r>
              <w:rPr>
                <w:rFonts w:ascii="Times New Roman" w:hAnsi="Times New Roman"/>
                <w:color w:val="000000"/>
                <w:sz w:val="18"/>
              </w:rPr>
              <w:t>0.471</w:t>
            </w:r>
          </w:p>
        </w:tc>
        <w:tc>
          <w:tcPr>
            <w:tcW w:type="dxa" w:w="1170"/>
          </w:tcPr>
          <w:p>
            <w:pPr>
              <w:spacing w:line="276" w:lineRule="auto" w:before="40" w:after="40"/>
              <w:jc w:val="center"/>
            </w:pPr>
            <w:r>
              <w:rPr>
                <w:rFonts w:ascii="Times New Roman" w:hAnsi="Times New Roman"/>
                <w:color w:val="000000"/>
                <w:sz w:val="18"/>
              </w:rPr>
              <w:t>0.548</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+0.36</w:t>
            </w:r>
          </w:p>
        </w:tc>
        <w:tc>
          <w:tcPr>
            <w:tcW w:type="dxa" w:w="1170"/>
          </w:tcPr>
          <w:p>
            <w:pPr>
              <w:spacing w:line="276" w:lineRule="auto" w:before="40" w:after="40"/>
              <w:jc w:val="center"/>
            </w:pPr>
            <w:r>
              <w:rPr>
                <w:rFonts w:ascii="Times New Roman" w:hAnsi="Times New Roman"/>
                <w:color w:val="000000"/>
                <w:sz w:val="18"/>
              </w:rPr>
              <w:t>0.423</w:t>
            </w:r>
          </w:p>
        </w:tc>
        <w:tc>
          <w:tcPr>
            <w:tcW w:type="dxa" w:w="1170"/>
          </w:tcPr>
          <w:p>
            <w:pPr>
              <w:spacing w:line="276" w:lineRule="auto" w:before="40" w:after="40"/>
              <w:jc w:val="center"/>
            </w:pPr>
            <w:r>
              <w:rPr>
                <w:rFonts w:ascii="Times New Roman" w:hAnsi="Times New Roman"/>
                <w:color w:val="000000"/>
                <w:sz w:val="18"/>
              </w:rPr>
              <w:t>0.181</w:t>
            </w:r>
          </w:p>
        </w:tc>
        <w:tc>
          <w:tcPr>
            <w:tcW w:type="dxa" w:w="1170"/>
          </w:tcPr>
          <w:p>
            <w:pPr>
              <w:spacing w:line="276" w:lineRule="auto" w:before="40" w:after="40"/>
              <w:jc w:val="center"/>
            </w:pPr>
            <w:r>
              <w:rPr>
                <w:rFonts w:ascii="Times New Roman" w:hAnsi="Times New Roman"/>
                <w:color w:val="000000"/>
                <w:sz w:val="18"/>
              </w:rPr>
              <w:t>0.182</w:t>
            </w:r>
          </w:p>
        </w:tc>
        <w:tc>
          <w:tcPr>
            <w:tcW w:type="dxa" w:w="1170"/>
          </w:tcPr>
          <w:p>
            <w:pPr>
              <w:spacing w:line="276" w:lineRule="auto" w:before="40" w:after="40"/>
              <w:jc w:val="center"/>
            </w:pPr>
            <w:r>
              <w:rPr>
                <w:rFonts w:ascii="Times New Roman" w:hAnsi="Times New Roman"/>
                <w:color w:val="000000"/>
                <w:sz w:val="18"/>
              </w:rPr>
              <w:t>0.852</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+0.37</w:t>
            </w:r>
          </w:p>
        </w:tc>
        <w:tc>
          <w:tcPr>
            <w:tcW w:type="dxa" w:w="1170"/>
          </w:tcPr>
          <w:p>
            <w:pPr>
              <w:spacing w:line="276" w:lineRule="auto" w:before="40" w:after="40"/>
              <w:jc w:val="center"/>
            </w:pPr>
            <w:r>
              <w:rPr>
                <w:rFonts w:ascii="Times New Roman" w:hAnsi="Times New Roman"/>
                <w:color w:val="000000"/>
                <w:sz w:val="18"/>
              </w:rPr>
              <w:t>0.399</w:t>
            </w:r>
          </w:p>
        </w:tc>
        <w:tc>
          <w:tcPr>
            <w:tcW w:type="dxa" w:w="1170"/>
          </w:tcPr>
          <w:p>
            <w:pPr>
              <w:spacing w:line="276" w:lineRule="auto" w:before="40" w:after="40"/>
              <w:jc w:val="center"/>
            </w:pPr>
            <w:r>
              <w:rPr>
                <w:rFonts w:ascii="Times New Roman" w:hAnsi="Times New Roman"/>
                <w:color w:val="000000"/>
                <w:sz w:val="18"/>
              </w:rPr>
              <w:t>0.165</w:t>
            </w:r>
          </w:p>
        </w:tc>
        <w:tc>
          <w:tcPr>
            <w:tcW w:type="dxa" w:w="1170"/>
          </w:tcPr>
          <w:p>
            <w:pPr>
              <w:spacing w:line="276" w:lineRule="auto" w:before="40" w:after="40"/>
              <w:jc w:val="center"/>
            </w:pPr>
            <w:r>
              <w:rPr>
                <w:rFonts w:ascii="Times New Roman" w:hAnsi="Times New Roman"/>
                <w:color w:val="000000"/>
                <w:sz w:val="18"/>
              </w:rPr>
              <w:t>0.165</w:t>
            </w:r>
          </w:p>
        </w:tc>
        <w:tc>
          <w:tcPr>
            <w:tcW w:type="dxa" w:w="1170"/>
          </w:tcPr>
          <w:p>
            <w:pPr>
              <w:spacing w:line="276" w:lineRule="auto" w:before="40" w:after="40"/>
              <w:jc w:val="center"/>
            </w:pPr>
            <w:r>
              <w:rPr>
                <w:rFonts w:ascii="Times New Roman" w:hAnsi="Times New Roman"/>
                <w:color w:val="000000"/>
                <w:sz w:val="18"/>
              </w:rPr>
              <w:t>0.949</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+0.60</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0.356</w:t>
            </w:r>
          </w:p>
        </w:tc>
        <w:tc>
          <w:tcPr>
            <w:tcW w:type="dxa" w:w="1170"/>
          </w:tcPr>
          <w:p>
            <w:pPr>
              <w:spacing w:line="276" w:lineRule="auto" w:before="40" w:after="40"/>
              <w:jc w:val="center"/>
            </w:pPr>
            <w:r>
              <w:rPr>
                <w:rFonts w:ascii="Times New Roman" w:hAnsi="Times New Roman"/>
                <w:color w:val="000000"/>
                <w:sz w:val="18"/>
              </w:rPr>
              <w:t>0.085</w:t>
            </w:r>
          </w:p>
        </w:tc>
        <w:tc>
          <w:tcPr>
            <w:tcW w:type="dxa" w:w="1170"/>
          </w:tcPr>
          <w:p>
            <w:pPr>
              <w:spacing w:line="276" w:lineRule="auto" w:before="40" w:after="40"/>
              <w:jc w:val="center"/>
            </w:pPr>
            <w:r>
              <w:rPr>
                <w:rFonts w:ascii="Times New Roman" w:hAnsi="Times New Roman"/>
                <w:color w:val="000000"/>
                <w:sz w:val="18"/>
              </w:rPr>
              <w:t>0.066</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-0.25</w:t>
            </w:r>
          </w:p>
        </w:tc>
        <w:tc>
          <w:tcPr>
            <w:tcW w:type="dxa" w:w="1170"/>
          </w:tcPr>
          <w:p>
            <w:pPr>
              <w:spacing w:line="276" w:lineRule="auto" w:before="40" w:after="40"/>
              <w:jc w:val="center"/>
            </w:pPr>
            <w:r>
              <w:rPr>
                <w:rFonts w:ascii="Times New Roman" w:hAnsi="Times New Roman"/>
                <w:color w:val="000000"/>
                <w:sz w:val="18"/>
              </w:rPr>
              <w:t>0.047</w:t>
            </w:r>
          </w:p>
        </w:tc>
        <w:tc>
          <w:tcPr>
            <w:tcW w:type="dxa" w:w="1170"/>
          </w:tcPr>
          <w:p>
            <w:pPr>
              <w:spacing w:line="276" w:lineRule="auto" w:before="40" w:after="40"/>
              <w:jc w:val="center"/>
            </w:pPr>
            <w:r>
              <w:rPr>
                <w:rFonts w:ascii="Times New Roman" w:hAnsi="Times New Roman"/>
                <w:color w:val="000000"/>
                <w:sz w:val="18"/>
              </w:rPr>
              <w:t>0.000</w:t>
            </w:r>
          </w:p>
        </w:tc>
        <w:tc>
          <w:tcPr>
            <w:tcW w:type="dxa" w:w="1170"/>
          </w:tcPr>
          <w:p>
            <w:pPr>
              <w:spacing w:line="276" w:lineRule="auto" w:before="40" w:after="40"/>
              <w:jc w:val="center"/>
            </w:pPr>
            <w:r>
              <w:rPr>
                <w:rFonts w:ascii="Times New Roman" w:hAnsi="Times New Roman"/>
                <w:color w:val="000000"/>
                <w:sz w:val="18"/>
              </w:rPr>
              <w:t>0.003</w:t>
            </w:r>
          </w:p>
        </w:tc>
        <w:tc>
          <w:tcPr>
            <w:tcW w:type="dxa" w:w="1170"/>
          </w:tcPr>
          <w:p>
            <w:pPr>
              <w:spacing w:line="276" w:lineRule="auto" w:before="40" w:after="40"/>
              <w:jc w:val="center"/>
            </w:pPr>
            <w:r>
              <w:rPr>
                <w:rFonts w:ascii="Times New Roman" w:hAnsi="Times New Roman"/>
                <w:color w:val="000000"/>
                <w:sz w:val="18"/>
              </w:rPr>
              <w:t>0.000</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-1.11</w:t>
            </w:r>
          </w:p>
        </w:tc>
        <w:tc>
          <w:tcPr>
            <w:tcW w:type="dxa" w:w="1170"/>
          </w:tcPr>
          <w:p>
            <w:pPr>
              <w:spacing w:line="276" w:lineRule="auto" w:before="40" w:after="40"/>
              <w:jc w:val="center"/>
            </w:pPr>
            <w:r>
              <w:rPr>
                <w:rFonts w:ascii="Times New Roman" w:hAnsi="Times New Roman"/>
                <w:color w:val="000000"/>
                <w:sz w:val="18"/>
              </w:rPr>
              <w:t>0.048</w:t>
            </w:r>
          </w:p>
        </w:tc>
        <w:tc>
          <w:tcPr>
            <w:tcW w:type="dxa" w:w="1170"/>
          </w:tcPr>
          <w:p>
            <w:pPr>
              <w:spacing w:line="276" w:lineRule="auto" w:before="40" w:after="40"/>
              <w:jc w:val="center"/>
            </w:pPr>
            <w:r>
              <w:rPr>
                <w:rFonts w:ascii="Times New Roman" w:hAnsi="Times New Roman"/>
                <w:color w:val="000000"/>
                <w:sz w:val="18"/>
              </w:rPr>
              <w:t>0.025</w:t>
            </w:r>
          </w:p>
        </w:tc>
        <w:tc>
          <w:tcPr>
            <w:tcW w:type="dxa" w:w="1170"/>
          </w:tcPr>
          <w:p>
            <w:pPr>
              <w:spacing w:line="276" w:lineRule="auto" w:before="40" w:after="40"/>
              <w:jc w:val="center"/>
            </w:pPr>
            <w:r>
              <w:rPr>
                <w:rFonts w:ascii="Times New Roman" w:hAnsi="Times New Roman"/>
                <w:color w:val="000000"/>
                <w:sz w:val="18"/>
              </w:rPr>
              <w:t>0.056</w:t>
            </w:r>
          </w:p>
        </w:tc>
        <w:tc>
          <w:tcPr>
            <w:tcW w:type="dxa" w:w="1170"/>
          </w:tcPr>
          <w:p>
            <w:pPr>
              <w:spacing w:line="276" w:lineRule="auto" w:before="40" w:after="40"/>
              <w:jc w:val="center"/>
            </w:pPr>
            <w:r>
              <w:rPr>
                <w:rFonts w:ascii="Times New Roman" w:hAnsi="Times New Roman"/>
                <w:color w:val="000000"/>
                <w:sz w:val="18"/>
              </w:rPr>
              <w:t>0.008</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+0.08</w:t>
            </w:r>
          </w:p>
        </w:tc>
        <w:tc>
          <w:tcPr>
            <w:tcW w:type="dxa" w:w="1170"/>
          </w:tcPr>
          <w:p>
            <w:pPr>
              <w:spacing w:line="276" w:lineRule="auto" w:before="40" w:after="40"/>
              <w:jc w:val="center"/>
            </w:pPr>
            <w:r>
              <w:rPr>
                <w:rFonts w:ascii="Times New Roman" w:hAnsi="Times New Roman"/>
                <w:color w:val="000000"/>
                <w:sz w:val="18"/>
              </w:rPr>
              <w:t>0.838</w:t>
            </w:r>
          </w:p>
        </w:tc>
        <w:tc>
          <w:tcPr>
            <w:tcW w:type="dxa" w:w="1170"/>
          </w:tcPr>
          <w:p>
            <w:pPr>
              <w:spacing w:line="276" w:lineRule="auto" w:before="40" w:after="40"/>
              <w:jc w:val="center"/>
            </w:pPr>
            <w:r>
              <w:rPr>
                <w:rFonts w:ascii="Times New Roman" w:hAnsi="Times New Roman"/>
                <w:color w:val="000000"/>
                <w:sz w:val="18"/>
              </w:rPr>
              <w:t>0.769</w:t>
            </w:r>
          </w:p>
        </w:tc>
        <w:tc>
          <w:tcPr>
            <w:tcW w:type="dxa" w:w="1170"/>
          </w:tcPr>
          <w:p>
            <w:pPr>
              <w:spacing w:line="276" w:lineRule="auto" w:before="40" w:after="40"/>
              <w:jc w:val="center"/>
            </w:pPr>
            <w:r>
              <w:rPr>
                <w:rFonts w:ascii="Times New Roman" w:hAnsi="Times New Roman"/>
                <w:color w:val="000000"/>
                <w:sz w:val="18"/>
              </w:rPr>
              <w:t>0.669</w:t>
            </w:r>
          </w:p>
        </w:tc>
        <w:tc>
          <w:tcPr>
            <w:tcW w:type="dxa" w:w="1170"/>
          </w:tcPr>
          <w:p>
            <w:pPr>
              <w:spacing w:line="276" w:lineRule="auto" w:before="40" w:after="40"/>
              <w:jc w:val="center"/>
            </w:pPr>
            <w:r>
              <w:rPr>
                <w:rFonts w:ascii="Times New Roman" w:hAnsi="Times New Roman"/>
                <w:color w:val="000000"/>
                <w:sz w:val="18"/>
              </w:rPr>
              <w:t>0.318</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+0.19</w:t>
            </w:r>
          </w:p>
        </w:tc>
        <w:tc>
          <w:tcPr>
            <w:tcW w:type="dxa" w:w="1170"/>
          </w:tcPr>
          <w:p>
            <w:pPr>
              <w:spacing w:line="276" w:lineRule="auto" w:before="40" w:after="40"/>
              <w:jc w:val="center"/>
            </w:pPr>
            <w:r>
              <w:rPr>
                <w:rFonts w:ascii="Times New Roman" w:hAnsi="Times New Roman"/>
                <w:color w:val="000000"/>
                <w:sz w:val="18"/>
              </w:rPr>
              <w:t>0.645</w:t>
            </w:r>
          </w:p>
        </w:tc>
        <w:tc>
          <w:tcPr>
            <w:tcW w:type="dxa" w:w="1170"/>
          </w:tcPr>
          <w:p>
            <w:pPr>
              <w:spacing w:line="276" w:lineRule="auto" w:before="40" w:after="40"/>
              <w:jc w:val="center"/>
            </w:pPr>
            <w:r>
              <w:rPr>
                <w:rFonts w:ascii="Times New Roman" w:hAnsi="Times New Roman"/>
                <w:color w:val="000000"/>
                <w:sz w:val="18"/>
              </w:rPr>
              <w:t>0.485</w:t>
            </w:r>
          </w:p>
        </w:tc>
        <w:tc>
          <w:tcPr>
            <w:tcW w:type="dxa" w:w="1170"/>
          </w:tcPr>
          <w:p>
            <w:pPr>
              <w:spacing w:line="276" w:lineRule="auto" w:before="40" w:after="40"/>
              <w:jc w:val="center"/>
            </w:pPr>
            <w:r>
              <w:rPr>
                <w:rFonts w:ascii="Times New Roman" w:hAnsi="Times New Roman"/>
                <w:color w:val="000000"/>
                <w:sz w:val="18"/>
              </w:rPr>
              <w:t>0.430</w:t>
            </w:r>
          </w:p>
        </w:tc>
        <w:tc>
          <w:tcPr>
            <w:tcW w:type="dxa" w:w="1170"/>
          </w:tcPr>
          <w:p>
            <w:pPr>
              <w:spacing w:line="276" w:lineRule="auto" w:before="40" w:after="40"/>
              <w:jc w:val="center"/>
            </w:pPr>
            <w:r>
              <w:rPr>
                <w:rFonts w:ascii="Times New Roman" w:hAnsi="Times New Roman"/>
                <w:color w:val="000000"/>
                <w:sz w:val="18"/>
              </w:rPr>
              <w:t>0.573</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+0.60</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0.356</w:t>
            </w:r>
          </w:p>
        </w:tc>
        <w:tc>
          <w:tcPr>
            <w:tcW w:type="dxa" w:w="1170"/>
          </w:tcPr>
          <w:p>
            <w:pPr>
              <w:spacing w:line="276" w:lineRule="auto" w:before="40" w:after="40"/>
              <w:jc w:val="center"/>
            </w:pPr>
            <w:r>
              <w:rPr>
                <w:rFonts w:ascii="Times New Roman" w:hAnsi="Times New Roman"/>
                <w:color w:val="000000"/>
                <w:sz w:val="18"/>
              </w:rPr>
              <w:t>0.089</w:t>
            </w:r>
          </w:p>
        </w:tc>
        <w:tc>
          <w:tcPr>
            <w:tcW w:type="dxa" w:w="1170"/>
          </w:tcPr>
          <w:p>
            <w:pPr>
              <w:spacing w:line="276" w:lineRule="auto" w:before="40" w:after="40"/>
              <w:jc w:val="center"/>
            </w:pPr>
            <w:r>
              <w:rPr>
                <w:rFonts w:ascii="Times New Roman" w:hAnsi="Times New Roman"/>
                <w:color w:val="000000"/>
                <w:sz w:val="18"/>
              </w:rPr>
              <w:t>0.065</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-0.52</w:t>
            </w:r>
          </w:p>
        </w:tc>
        <w:tc>
          <w:tcPr>
            <w:tcW w:type="dxa" w:w="1170"/>
          </w:tcPr>
          <w:p>
            <w:pPr>
              <w:spacing w:line="276" w:lineRule="auto" w:before="40" w:after="40"/>
              <w:jc w:val="center"/>
            </w:pPr>
            <w:r>
              <w:rPr>
                <w:rFonts w:ascii="Times New Roman" w:hAnsi="Times New Roman"/>
                <w:color w:val="000000"/>
                <w:sz w:val="18"/>
              </w:rPr>
              <w:t>0.008</w:t>
            </w:r>
          </w:p>
        </w:tc>
        <w:tc>
          <w:tcPr>
            <w:tcW w:type="dxa" w:w="1170"/>
          </w:tcPr>
          <w:p>
            <w:pPr>
              <w:spacing w:line="276" w:lineRule="auto" w:before="40" w:after="40"/>
              <w:jc w:val="center"/>
            </w:pPr>
            <w:r>
              <w:rPr>
                <w:rFonts w:ascii="Times New Roman" w:hAnsi="Times New Roman"/>
                <w:color w:val="000000"/>
                <w:sz w:val="18"/>
              </w:rPr>
              <w:t>0.000</w:t>
            </w:r>
          </w:p>
        </w:tc>
        <w:tc>
          <w:tcPr>
            <w:tcW w:type="dxa" w:w="1170"/>
          </w:tcPr>
          <w:p>
            <w:pPr>
              <w:spacing w:line="276" w:lineRule="auto" w:before="40" w:after="40"/>
              <w:jc w:val="center"/>
            </w:pPr>
            <w:r>
              <w:rPr>
                <w:rFonts w:ascii="Times New Roman" w:hAnsi="Times New Roman"/>
                <w:color w:val="000000"/>
                <w:sz w:val="18"/>
              </w:rPr>
              <w:t>0.001</w:t>
            </w:r>
          </w:p>
        </w:tc>
        <w:tc>
          <w:tcPr>
            <w:tcW w:type="dxa" w:w="1170"/>
          </w:tcPr>
          <w:p>
            <w:pPr>
              <w:spacing w:line="276" w:lineRule="auto" w:before="40" w:after="40"/>
              <w:jc w:val="center"/>
            </w:pPr>
            <w:r>
              <w:rPr>
                <w:rFonts w:ascii="Times New Roman" w:hAnsi="Times New Roman"/>
                <w:color w:val="000000"/>
                <w:sz w:val="18"/>
              </w:rPr>
              <w:t>0.000</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-1.82</w:t>
            </w:r>
          </w:p>
        </w:tc>
        <w:tc>
          <w:tcPr>
            <w:tcW w:type="dxa" w:w="1170"/>
          </w:tcPr>
          <w:p>
            <w:pPr>
              <w:spacing w:line="276" w:lineRule="auto" w:before="40" w:after="40"/>
              <w:jc w:val="center"/>
            </w:pPr>
            <w:r>
              <w:rPr>
                <w:rFonts w:ascii="Times New Roman" w:hAnsi="Times New Roman"/>
                <w:color w:val="000000"/>
                <w:sz w:val="18"/>
              </w:rPr>
              <w:t>0.004</w:t>
            </w:r>
          </w:p>
        </w:tc>
        <w:tc>
          <w:tcPr>
            <w:tcW w:type="dxa" w:w="1170"/>
          </w:tcPr>
          <w:p>
            <w:pPr>
              <w:spacing w:line="276" w:lineRule="auto" w:before="40" w:after="40"/>
              <w:jc w:val="center"/>
            </w:pPr>
            <w:r>
              <w:rPr>
                <w:rFonts w:ascii="Times New Roman" w:hAnsi="Times New Roman"/>
                <w:color w:val="000000"/>
                <w:sz w:val="18"/>
              </w:rPr>
              <w:t>0.002</w:t>
            </w:r>
          </w:p>
        </w:tc>
        <w:tc>
          <w:tcPr>
            <w:tcW w:type="dxa" w:w="1170"/>
          </w:tcPr>
          <w:p>
            <w:pPr>
              <w:spacing w:line="276" w:lineRule="auto" w:before="40" w:after="40"/>
              <w:jc w:val="center"/>
            </w:pPr>
            <w:r>
              <w:rPr>
                <w:rFonts w:ascii="Times New Roman" w:hAnsi="Times New Roman"/>
                <w:color w:val="000000"/>
                <w:sz w:val="18"/>
              </w:rPr>
              <w:t>0.008</w:t>
            </w:r>
          </w:p>
        </w:tc>
        <w:tc>
          <w:tcPr>
            <w:tcW w:type="dxa" w:w="1170"/>
          </w:tcPr>
          <w:p>
            <w:pPr>
              <w:spacing w:line="276" w:lineRule="auto" w:before="40" w:after="40"/>
              <w:jc w:val="center"/>
            </w:pPr>
            <w:r>
              <w:rPr>
                <w:rFonts w:ascii="Times New Roman" w:hAnsi="Times New Roman"/>
                <w:color w:val="000000"/>
                <w:sz w:val="18"/>
              </w:rPr>
              <w:t>0.000</w:t>
            </w:r>
          </w:p>
        </w:tc>
      </w:tr>
    </w:tbl>
    <w:p>
      <w:pPr>
        <w:spacing w:after="120"/>
      </w:pPr>
    </w:p>
    <w:p>
      <w:pPr>
        <w:spacing w:line="480" w:lineRule="auto" w:before="0" w:after="0"/>
        <w:jc w:val="left"/>
      </w:pPr>
      <w:r>
        <w:rPr>
          <w:rFonts w:ascii="Times New Roman" w:hAnsi="Times New Roman"/>
          <w:i/>
          <w:color w:val="000000"/>
          <w:sz w:val="20"/>
        </w:rPr>
        <w:t>Source: Author's computation (2026). p-values indicate statistical significance (Ledoit-Wolf 2,000 block resamples).</w:t>
      </w:r>
    </w:p>
    <w:p>
      <w:pPr>
        <w:spacing w:line="480" w:lineRule="auto" w:before="0" w:after="0"/>
        <w:jc w:val="left"/>
      </w:pPr>
      <w:r>
        <w:rPr>
          <w:rFonts w:ascii="Times New Roman" w:hAnsi="Times New Roman"/>
          <w:b/>
          <w:color w:val="000000"/>
          <w:sz w:val="24"/>
        </w:rPr>
        <w:t>4.2 Discussion of Findings</w:t>
      </w:r>
    </w:p>
    <w:p>
      <w:pPr>
        <w:spacing w:line="480" w:lineRule="auto" w:before="0" w:after="0"/>
        <w:jc w:val="both"/>
      </w:pPr>
      <w:r>
        <w:rPr>
          <w:rFonts w:ascii="Times New Roman" w:hAnsi="Times New Roman"/>
          <w:color w:val="000000"/>
          <w:sz w:val="24"/>
        </w:rPr>
        <w:t>The empirical findings presented in Section 4.1 provide quantitative insights into the dynamics of equity return forecasting and tail-risk-aware asset allocation on the Nigerian Exchange Group (NGX). To evaluate the academic and operational significance of these empirical results, the following discussion evaluates each empirical outcome directly against the four specific research objectives established in Chapter One, situating the findings within modern financial economics and empirical asset pricing literature.</w:t>
      </w:r>
    </w:p>
    <w:p>
      <w:pPr>
        <w:spacing w:line="480" w:lineRule="auto" w:before="0" w:after="0"/>
        <w:jc w:val="both"/>
      </w:pPr>
      <w:r>
        <w:rPr>
          <w:rFonts w:ascii="Times New Roman" w:hAnsi="Times New Roman"/>
          <w:color w:val="000000"/>
          <w:sz w:val="24"/>
        </w:rPr>
        <w:t>Firstly, regarding the evaluation of statistical non-normality and tail-risk exposure across NGX equities, the empirical diagnostic tests presented in Section 4.1.2 indicate that asset returns on the Nigerian Exchange Group depart from Gaussian normality. Formal Jarque-Bera and Shapiro-Wilk tests rejected the null hypothesis of normal distribution across all 28 evaluated equities (p &lt; 0.001), exhibiting negative skewness and excess kurtosis reaching up to 14.46. Econometrically, this confirms that empirical NGX equity returns are characterized by fat tails and asymmetric downside risk. These results support the theoretical arguments of Mozumder et al. (2024) and Adegboyo &amp; Sarwar (2025), who emphasize that emerging frontier stock markets experience price jumps, policy shifts, and liquidity shocks. Consequently, relying on classical Gaussian variance as a risk metric underestimates tail-risk exposure, supporting the adoption of downside risk measures such as Conditional Value-at-Risk (CVaR).</w:t>
      </w:r>
    </w:p>
    <w:p>
      <w:pPr>
        <w:spacing w:line="480" w:lineRule="auto" w:before="0" w:after="0"/>
        <w:jc w:val="both"/>
      </w:pPr>
      <w:r>
        <w:rPr>
          <w:rFonts w:ascii="Times New Roman" w:hAnsi="Times New Roman"/>
          <w:color w:val="000000"/>
          <w:sz w:val="24"/>
        </w:rPr>
        <w:t>Secondly, regarding the performance of non-linear Machine Learning models in forecasting weekly NGX equity returns under Expanding Rolling Window Walk-Forward Validation, the empirical results in Section 4.1.3 show that non-linear tree-based ensembles (Random Forest and XGBoost) capture predictive signals from market data. While raw point forecasting metrics (RMSE) hover close to historical baselines due to weekly noise variance, XGBoost achieved an out-of-sample directional accuracy of 55.76% across liquid NGX equities, compared to the 50.0% random walk benchmark. Feature importance analysis (Section 4.1.6) indicates that volume-confirmed technical momentum indicators, specifically the Percentage Price Oscillator (PPO), Relative Strength Index (RSI), and On-Balance Volume (OBV), serve as primary drivers of return predictability. This aligns with empirical asset pricing literature (Gu, Kelly, &amp; Xiu, 2020; Chao, 2024; Ojo &amp; Okafor, 2024; Ajiga et al., 2024), demonstrating that machine learning algorithms capture non-linear market dynamics in emerging economies.</w:t>
      </w:r>
    </w:p>
    <w:p>
      <w:pPr>
        <w:spacing w:line="480" w:lineRule="auto" w:before="0" w:after="0"/>
        <w:jc w:val="both"/>
      </w:pPr>
      <w:r>
        <w:rPr>
          <w:rFonts w:ascii="Times New Roman" w:hAnsi="Times New Roman"/>
          <w:color w:val="000000"/>
          <w:sz w:val="24"/>
        </w:rPr>
        <w:t>Thirdly, regarding the performance of integrated ML-CVaR portfolio strategies compared against classical Markowitz Mean-Variance Optimization and 1/N benchmarks, the backtest results in Section 4.1.4 indicate a higher risk-adjusted return profile for integrated Mean-CVaR strategies prior to transaction costs. Under zero fee friction, XGBoost + Mean-CVaR (XGB-CVaR) achieved a gross Sharpe ratio of 1.52 (42.00% annualized return, -22.09% max drawdown), compared to 0.91 for the passive NGX Index Buy-and-Hold benchmark and 0.76 for Markowitz MVO. Inferential hypothesis testing (Section 4.1.5) indicates that this Sharpe ratio outperformance is statistically significant under Ledoit-Wolf circular block bootstrap tests (p = 0.015 &lt; 0.05). Furthermore, Certainty Equivalent Return (CER) welfare analysis shows positive utility gains (+819 basis points CER gain over passive indexing). These findings align with portfolio selection theory (Markowitz, 1952; Rockafellar &amp; Uryasev, 2000; Bodnar et al., 2022; Hsiao, 2025), showing that combining return estimates with convex tail-risk constraints improves risk-adjusted outcomes.</w:t>
      </w:r>
    </w:p>
    <w:p>
      <w:pPr>
        <w:spacing w:line="480" w:lineRule="auto" w:before="0" w:after="0"/>
        <w:jc w:val="both"/>
      </w:pPr>
      <w:r>
        <w:rPr>
          <w:rFonts w:ascii="Times New Roman" w:hAnsi="Times New Roman"/>
          <w:color w:val="000000"/>
          <w:sz w:val="24"/>
        </w:rPr>
        <w:t>Fourthly, regarding portfolio robustness under market stress and transaction cost frictions, the empirical evaluation in Section 4.1.7 highlights execution dynamics across market participant regimes. Under 1.50% retail fees and slippage, unconstrained Markowitz MVO experienced weight instability (99.28% average weekly turnover), resulting in a maximum drawdown of -86.38% and negative economic welfare (CER = -64.09%). This supports Michaud's (1989) finding regarding the sensitivity of unconstrained MVO to estimation error in high-friction environments. Conversely, low-turnover Historical-CVaR (0.38% turnover) displayed resilience, retaining net Sharpe ratios of 1.48 (retail) and 1.49 (institutional). While active ML models generate gross alpha prior to friction, weekly rebalancing turnover (11.00%) incurs an annual fee drag (~3.6% to ~7.2%) that offsets marginal predictive gains post-fees. This finding aligns with transaction cost literature (Job, 2022; Alotaibi et al., 2022; Kevin &amp; Yugopuspito, 2025), indicating that structural tail-risk architecture (CVaR) plays a central role in frictional emerging markets.</w:t>
      </w:r>
    </w:p>
    <w:p>
      <w:pPr>
        <w:spacing w:line="480" w:lineRule="auto" w:before="0" w:after="0"/>
        <w:jc w:val="left"/>
      </w:pPr>
      <w:r>
        <w:rPr>
          <w:rFonts w:ascii="Times New Roman" w:hAnsi="Times New Roman"/>
          <w:b/>
          <w:color w:val="000000"/>
          <w:sz w:val="28"/>
        </w:rPr>
        <w:t>CHAPTER FIVE</w:t>
      </w:r>
    </w:p>
    <w:p>
      <w:pPr>
        <w:spacing w:line="480" w:lineRule="auto" w:before="0" w:after="0"/>
        <w:jc w:val="left"/>
      </w:pPr>
      <w:r>
        <w:rPr>
          <w:rFonts w:ascii="Times New Roman" w:hAnsi="Times New Roman"/>
          <w:b/>
          <w:color w:val="000000"/>
          <w:sz w:val="24"/>
        </w:rPr>
        <w:t>SUMMARY, CONCLUSION AND RECOMMENDATIONS</w:t>
      </w:r>
    </w:p>
    <w:p>
      <w:pPr>
        <w:spacing w:line="480" w:lineRule="auto" w:before="0" w:after="0"/>
        <w:jc w:val="left"/>
      </w:pPr>
      <w:r>
        <w:rPr>
          <w:rFonts w:ascii="Times New Roman" w:hAnsi="Times New Roman"/>
          <w:b/>
          <w:color w:val="000000"/>
          <w:sz w:val="24"/>
        </w:rPr>
        <w:t>5.1 Summary of Findings</w:t>
      </w:r>
    </w:p>
    <w:p>
      <w:pPr>
        <w:spacing w:line="480" w:lineRule="auto" w:before="0" w:after="0"/>
        <w:jc w:val="both"/>
      </w:pPr>
      <w:r>
        <w:rPr>
          <w:rFonts w:ascii="Times New Roman" w:hAnsi="Times New Roman"/>
          <w:color w:val="000000"/>
          <w:sz w:val="24"/>
        </w:rPr>
        <w:t>Formal statistical diagnostic tests (Jarque-Bera and Shapiro-Wilk) rejected Gaussian normality across all 28 evaluated NGX equities (p &lt; 0.001). The empirical return distributions displayed negative skewness and excess kurtosis (up to 14.46), reflecting heavy-tail risk exposure and supporting the use of downside Conditional Value-at-Risk (CVaR) over standard variance.</w:t>
      </w:r>
    </w:p>
    <w:p>
      <w:pPr>
        <w:spacing w:line="480" w:lineRule="auto" w:before="0" w:after="0"/>
        <w:jc w:val="both"/>
      </w:pPr>
      <w:r>
        <w:rPr>
          <w:rFonts w:ascii="Times New Roman" w:hAnsi="Times New Roman"/>
          <w:color w:val="000000"/>
          <w:sz w:val="24"/>
        </w:rPr>
        <w:t>Non-linear machine learning ensembles (Random Forest and XGBoost) evaluated under Expanding Rolling Window Walk-Forward Validation captured time-varying market dynamics. XGBoost achieved an out-of-sample directional accuracy of 55.76% across liquid NGX equities, driven primarily by volume-confirmed momentum features (Percentage Price Oscillator, Relative Strength Index, and On-Balance Volume).</w:t>
      </w:r>
    </w:p>
    <w:p>
      <w:pPr>
        <w:spacing w:line="480" w:lineRule="auto" w:before="0" w:after="0"/>
        <w:jc w:val="both"/>
      </w:pPr>
      <w:r>
        <w:rPr>
          <w:rFonts w:ascii="Times New Roman" w:hAnsi="Times New Roman"/>
          <w:color w:val="000000"/>
          <w:sz w:val="24"/>
        </w:rPr>
        <w:t>Integrating machine learning return forecasts into a convex Mean-CVaR optimization framework generated risk-adjusted returns under zero fee friction. XGBoost + Mean-CVaR achieved a gross Sharpe ratio of 1.52 (42.00% annualized return, -22.09% maximum drawdown) compared to 0.91 for the passive NGX Index Buy-Hold baseline, supported by Ledoit-Wolf circular block bootstrap Sharpe tests (p = 0.015 &lt; 0.05) and Certainty Equivalent Return utility gains (+819 bps CER gain).</w:t>
      </w:r>
    </w:p>
    <w:p>
      <w:pPr>
        <w:spacing w:line="480" w:lineRule="auto" w:before="0" w:after="0"/>
        <w:jc w:val="both"/>
      </w:pPr>
      <w:r>
        <w:rPr>
          <w:rFonts w:ascii="Times New Roman" w:hAnsi="Times New Roman"/>
          <w:color w:val="000000"/>
          <w:sz w:val="24"/>
        </w:rPr>
        <w:t>Evaluating portfolio performance under market stress and multi-tier transaction cost friction demonstrated that unconstrained Markowitz Mean-Variance Optimization experiences performance degradation (-86.38% drawdown, -64.09% CER utility) due to high turnover (99.28% weekly turnover). Under institutional (0.75%) and retail (1.50%) brokerage fees, active ML rebalancing turnover (11.00%) creates an annual fee drag (~3.6% to ~7.2%) that offsets marginal predictive gains post-fees, while low-turnover Historical-CVaR (0.38% turnover) maintains stable post-fee performance (net Sharpe 1.48 to 1.49, pairwise p = 0.000).</w:t>
      </w:r>
    </w:p>
    <w:p>
      <w:pPr>
        <w:spacing w:line="480" w:lineRule="auto" w:before="0" w:after="0"/>
        <w:jc w:val="left"/>
      </w:pPr>
      <w:r>
        <w:rPr>
          <w:rFonts w:ascii="Times New Roman" w:hAnsi="Times New Roman"/>
          <w:b/>
          <w:color w:val="000000"/>
          <w:sz w:val="24"/>
        </w:rPr>
        <w:t>5.2 Conclusion</w:t>
      </w:r>
    </w:p>
    <w:p>
      <w:pPr>
        <w:spacing w:line="480" w:lineRule="auto" w:before="0" w:after="0"/>
        <w:jc w:val="both"/>
      </w:pPr>
      <w:r>
        <w:rPr>
          <w:rFonts w:ascii="Times New Roman" w:hAnsi="Times New Roman"/>
          <w:color w:val="000000"/>
          <w:sz w:val="24"/>
        </w:rPr>
        <w:t>This study investigated equity return forecasting and tail-risk-aware portfolio optimization across 28 liquid equities on the Nigerian Exchange Group (NGX) spanning a 15-year period (2010-2025). The research evaluated non-normality diagnostics, Machine Learning return forecasting (Random Forest and XGBoost) under Expanding Rolling Window Walk-Forward Validation, and convex Mean-CVaR asset allocation backtesting.</w:t>
        <w:br/>
        <w:br/>
        <w:t>The overall conclusion of this research is that while Machine Learning models extract gross predictive alpha on the NGX, market transaction friction and rebalancing turnover neutralize these marginal predictive gains post-fees. Consequently, structural tail-risk management via Conditional Value-at-Risk (CVaR) constitutes the primary driver of real-world investor economic surplus (+819 bps CER gain over passive indexing). This indicates that downside tail-risk control plays a critical role relative to model forecasting complexity in frictional emerging equity markets.</w:t>
      </w:r>
    </w:p>
    <w:p>
      <w:pPr>
        <w:spacing w:line="480" w:lineRule="auto" w:before="0" w:after="0"/>
        <w:jc w:val="left"/>
      </w:pPr>
      <w:r>
        <w:rPr>
          <w:rFonts w:ascii="Times New Roman" w:hAnsi="Times New Roman"/>
          <w:b/>
          <w:color w:val="000000"/>
          <w:sz w:val="24"/>
        </w:rPr>
        <w:t>5.3 Policy and Practical Recommendations</w:t>
      </w:r>
    </w:p>
    <w:p>
      <w:pPr>
        <w:spacing w:line="480" w:lineRule="auto" w:before="0" w:after="0"/>
        <w:jc w:val="left"/>
      </w:pPr>
      <w:r>
        <w:rPr>
          <w:rFonts w:ascii="Times New Roman" w:hAnsi="Times New Roman"/>
          <w:b/>
          <w:color w:val="000000"/>
          <w:sz w:val="24"/>
        </w:rPr>
        <w:t>5.3.1 Regulatory and Macroeconomic Policy Recommendations</w:t>
      </w:r>
    </w:p>
    <w:p>
      <w:pPr>
        <w:spacing w:line="480" w:lineRule="auto" w:before="0" w:after="0"/>
        <w:jc w:val="both"/>
      </w:pPr>
      <w:r>
        <w:rPr>
          <w:rFonts w:ascii="Times New Roman" w:hAnsi="Times New Roman"/>
          <w:color w:val="000000"/>
          <w:sz w:val="24"/>
        </w:rPr>
        <w:t>1. PENCOM Investment Guidelines Update: The National Pension Commission (PENCOM) should update its Investment Guidelines for Fund I, Fund II, and Fund III equity portfolios to mandate downside tail-risk metrics, specifically Conditional Value-at-Risk (CVaR_0.95), alongside traditional variance. PFAs should adopt CVaR-constrained allocation models to protect pension assets during extreme macroeconomic shocks.</w:t>
        <w:br/>
        <w:br/>
        <w:t>2. SEC &amp; NGX Regulatory Data Transparency: The Securities and Exchange Commission (SEC) and NGX Regulation should establish open-access, low-latency API data infrastructure for market participants to support quantitative risk management. Furthermore, SEC should require asset management firms to publish quarterly CVaR metrics in fund factsheets to enhance retail investor risk transparency.</w:t>
      </w:r>
    </w:p>
    <w:p>
      <w:pPr>
        <w:spacing w:line="480" w:lineRule="auto" w:before="0" w:after="0"/>
        <w:jc w:val="left"/>
      </w:pPr>
      <w:r>
        <w:rPr>
          <w:rFonts w:ascii="Times New Roman" w:hAnsi="Times New Roman"/>
          <w:b/>
          <w:color w:val="000000"/>
          <w:sz w:val="24"/>
        </w:rPr>
        <w:t>5.3.2 Institutional Asset Allocation Recommendations</w:t>
      </w:r>
    </w:p>
    <w:p>
      <w:pPr>
        <w:spacing w:line="480" w:lineRule="auto" w:before="0" w:after="0"/>
        <w:jc w:val="both"/>
      </w:pPr>
      <w:r>
        <w:rPr>
          <w:rFonts w:ascii="Times New Roman" w:hAnsi="Times New Roman"/>
          <w:color w:val="000000"/>
          <w:sz w:val="24"/>
        </w:rPr>
        <w:t>1. Adoption of Low-Turnover Tail-Risk Frameworks: Pension Fund Administrators (PFAs) and institutional fund managers operating on the NGX should replace classical Markowitz Mean-Variance Optimization with convex Mean-CVaR asset allocation. To prevent fee erosion, institutional managers should enforce strict turnover caps or adopt quarterly rebalancing protocols.</w:t>
        <w:br/>
        <w:br/>
        <w:t>2. Dynamic Risk-Free Asset Allocation: Institutional portfolios should actively incorporate sovereign risk-free assets (such as CBN 91-day T-Bills) to stabilize portfolio Sharpe ratios during market drawdown regimes.</w:t>
      </w:r>
    </w:p>
    <w:p>
      <w:pPr>
        <w:spacing w:line="480" w:lineRule="auto" w:before="0" w:after="0"/>
        <w:jc w:val="left"/>
      </w:pPr>
      <w:r>
        <w:rPr>
          <w:rFonts w:ascii="Times New Roman" w:hAnsi="Times New Roman"/>
          <w:b/>
          <w:color w:val="000000"/>
          <w:sz w:val="24"/>
        </w:rPr>
        <w:t>5.3.3 Quantitative Risk Management Recommendations</w:t>
      </w:r>
    </w:p>
    <w:p>
      <w:pPr>
        <w:spacing w:line="480" w:lineRule="auto" w:before="0" w:after="0"/>
        <w:jc w:val="both"/>
      </w:pPr>
      <w:r>
        <w:rPr>
          <w:rFonts w:ascii="Times New Roman" w:hAnsi="Times New Roman"/>
          <w:color w:val="000000"/>
          <w:sz w:val="24"/>
        </w:rPr>
        <w:t>1. Stress-Testing and Downside Risk Auditing: Risk officers and quantitative portfolio managers should mandate regular stress testing using historical block bootstrap resampling and non-parametric CVaR estimation to evaluate portfolio tail loss limits.</w:t>
        <w:br/>
        <w:br/>
        <w:t>2. Integration of Volume-Confirmed Technical Features: Quantitative models deployed on emerging exchanges should integrate volume-confirmed technical momentum indicators (PPO, RSI, OBV) to capture trend persistence and downside liquidity risks.</w:t>
      </w:r>
    </w:p>
    <w:p>
      <w:pPr>
        <w:spacing w:line="480" w:lineRule="auto" w:before="0" w:after="0"/>
        <w:jc w:val="left"/>
      </w:pPr>
      <w:r>
        <w:rPr>
          <w:rFonts w:ascii="Times New Roman" w:hAnsi="Times New Roman"/>
          <w:b/>
          <w:color w:val="000000"/>
          <w:sz w:val="24"/>
        </w:rPr>
        <w:t>5.4 Limitations of the Study</w:t>
      </w:r>
    </w:p>
    <w:p>
      <w:pPr>
        <w:spacing w:line="480" w:lineRule="auto" w:before="0" w:after="0"/>
        <w:jc w:val="both"/>
      </w:pPr>
      <w:r>
        <w:rPr>
          <w:rFonts w:ascii="Times New Roman" w:hAnsi="Times New Roman"/>
          <w:color w:val="000000"/>
          <w:sz w:val="24"/>
        </w:rPr>
        <w:t>While this study provides empirical insights, several limitations are acknowledged:</w:t>
        <w:br/>
        <w:t>1. Asset Universe Scope: The study evaluated 28 liquid equities from the NGX Pension Index with complete 15-year histories (2010–2025). Recently listed high-capitalization assets (e.g., BUA Foods, Geregu Power, Aradel Holdings) were excluded to maintain continuous historical data without imputation.</w:t>
        <w:br/>
        <w:t>2. Data Frequency: Analysis was conducted using weekly log returns. While weekly sampling effectively mitigates daily bid-ask bounce and microstructural noise, it does not capture intraday high-frequency trading dynamics.</w:t>
        <w:br/>
        <w:t>3. Exogenous Macroeconomic Signals: The ML feature matrix focused on price and volume technical indicators; exogenous macroeconomic variables (such as USD/NGN exchange rate shocks and Brent crude oil prices) were not explicitly included in the feature set.</w:t>
      </w:r>
    </w:p>
    <w:p>
      <w:pPr>
        <w:spacing w:line="480" w:lineRule="auto" w:before="0" w:after="0"/>
        <w:jc w:val="left"/>
      </w:pPr>
      <w:r>
        <w:rPr>
          <w:rFonts w:ascii="Times New Roman" w:hAnsi="Times New Roman"/>
          <w:b/>
          <w:color w:val="000000"/>
          <w:sz w:val="24"/>
        </w:rPr>
        <w:t>5.5 Suggestions for Further Research</w:t>
      </w:r>
    </w:p>
    <w:p>
      <w:pPr>
        <w:spacing w:line="480" w:lineRule="auto" w:before="0" w:after="0"/>
        <w:jc w:val="both"/>
      </w:pPr>
      <w:r>
        <w:rPr>
          <w:rFonts w:ascii="Times New Roman" w:hAnsi="Times New Roman"/>
          <w:color w:val="000000"/>
          <w:sz w:val="24"/>
        </w:rPr>
        <w:t>1. Macroeconomic and Exogenous Feature Integration: Future research should expand the ML feature space to include macroeconomic variables, foreign exchange volatility, and crude oil price dynamics.</w:t>
        <w:br/>
        <w:t>2. Deep Learning and High-Frequency Architectures: Extending forecasting models to Transformer-based temporal models and Long Short-Term Memory (LSTM) networks on daily or intraday NGX trading data.</w:t>
        <w:br/>
        <w:t>3. Multi-Period Friction-Constrained CVaR Optimization: Incorporating transaction cost penalties directly into the CVaR objective function to minimize rebalancing turnover during high-volatility regimes.</w:t>
      </w:r>
    </w:p>
    <w:p>
      <w:pPr>
        <w:spacing w:line="480" w:lineRule="auto" w:before="0" w:after="0"/>
        <w:jc w:val="left"/>
      </w:pPr>
      <w:r>
        <w:rPr>
          <w:rFonts w:ascii="Times New Roman" w:hAnsi="Times New Roman"/>
          <w:b/>
          <w:color w:val="000000"/>
          <w:sz w:val="24"/>
        </w:rPr>
        <w:t>5.6 Contribution to Knowledge</w:t>
      </w:r>
    </w:p>
    <w:p>
      <w:pPr>
        <w:spacing w:line="480" w:lineRule="auto" w:before="0" w:after="0"/>
        <w:jc w:val="both"/>
      </w:pPr>
      <w:r>
        <w:rPr>
          <w:rFonts w:ascii="Times New Roman" w:hAnsi="Times New Roman"/>
          <w:color w:val="000000"/>
          <w:sz w:val="24"/>
        </w:rPr>
        <w:t>This research contributes to quantitative finance literature in the following ways:</w:t>
        <w:br/>
        <w:t>1. Empirical Contribution: Provides an empirical evaluation of Machine Learning integrated with convex Mean-CVaR optimization on the Nigerian Exchange Group using a clean 15-year dataset (2010–2025).</w:t>
        <w:br/>
        <w:t>2. Theoretical Contribution: Evaluates the performance of classical Markowitz Mean-Variance Optimization under non-normal emerging market return distributions and examines how structural tail-risk architecture (CVaR) performs relative to model complexity post-fees.</w:t>
        <w:br/>
        <w:t>3. Practical Contribution: Formulates a low-turnover tail-risk asset allocation framework designed to improve economic welfare for institutional investors in frontier markets.</w:t>
      </w:r>
    </w:p>
    <w:p>
      <w:pPr>
        <w:spacing w:line="480" w:lineRule="auto" w:before="0" w:after="0"/>
        <w:jc w:val="left"/>
      </w:pPr>
      <w:r>
        <w:rPr>
          <w:rFonts w:ascii="Times New Roman" w:hAnsi="Times New Roman"/>
          <w:b/>
          <w:color w:val="000000"/>
          <w:sz w:val="24"/>
        </w:rPr>
        <w:t>5.7 Data and Code Availability Statement</w:t>
      </w:r>
    </w:p>
    <w:p>
      <w:pPr>
        <w:spacing w:line="480" w:lineRule="auto" w:before="0" w:after="0"/>
        <w:jc w:val="both"/>
      </w:pPr>
      <w:r>
        <w:rPr>
          <w:rFonts w:ascii="Times New Roman" w:hAnsi="Times New Roman"/>
          <w:color w:val="000000"/>
          <w:sz w:val="24"/>
        </w:rPr>
        <w:t>To guarantee complete computational reproducibility and scientific transparency, the entire quantitative finance pipeline, encompassing data cleaning scripts, non-normality diagnostic tests, technical feature extraction (with Welles Wilder's Parabolic SAR), expanding walk-forward machine learning models (Random Forest and XGBoost with TimeSeriesSplit cross-validation tuning), convex Mean-CVaR linear programming portfolio optimization backtests, and ReportLab PDF synthesis, is open-source and publicly hosted on GitHub at:</w:t>
        <w:br/>
        <w:br/>
        <w:t>Repository URL: https://github.com/abdulameen962/equity-optimization</w:t>
      </w:r>
    </w:p>
    <w:p>
      <w:r>
        <w:br w:type="page"/>
      </w:r>
    </w:p>
    <w:p>
      <w:pPr>
        <w:spacing w:line="480" w:lineRule="auto" w:before="0" w:after="0"/>
        <w:jc w:val="left"/>
      </w:pPr>
      <w:r>
        <w:rPr>
          <w:rFonts w:ascii="Times New Roman" w:hAnsi="Times New Roman"/>
          <w:b/>
          <w:color w:val="000000"/>
          <w:sz w:val="24"/>
        </w:rPr>
        <w:t>References</w:t>
      </w:r>
    </w:p>
    <w:p>
      <w:pPr>
        <w:spacing w:line="480" w:lineRule="auto" w:before="0" w:after="0"/>
        <w:ind w:left="720" w:hanging="720"/>
        <w:jc w:val="both"/>
      </w:pPr>
      <w:r>
        <w:rPr>
          <w:rFonts w:ascii="Times New Roman" w:hAnsi="Times New Roman"/>
          <w:color w:val="000000"/>
          <w:sz w:val="24"/>
        </w:rPr>
        <w:t>Adegboyo, O. S., &amp; Sarwar, K. (2025). Modelling and forecasting of Nigeria stock market volatility. Future Business Journal, 11(1), Article 124. https://doi.org/10.1186/s43093-025-00536-4</w:t>
      </w:r>
    </w:p>
    <w:p>
      <w:pPr>
        <w:spacing w:line="480" w:lineRule="auto" w:before="0" w:after="0"/>
        <w:ind w:left="720" w:hanging="720"/>
        <w:jc w:val="both"/>
      </w:pPr>
      <w:r>
        <w:rPr>
          <w:rFonts w:ascii="Times New Roman" w:hAnsi="Times New Roman"/>
          <w:color w:val="000000"/>
          <w:sz w:val="24"/>
        </w:rPr>
        <w:t>Ajiga, D. I., Adeleye, R. A., Tubokirifuruar, T. S., Bello, B. G., Ndubuisi, N. L., Asuzu, O. F., &amp; Owolabi, O. R. (2024). Machine learning for stock market forecasting: A review of models and accuracy. Finance &amp; Accounting Research Journal, 6(2).</w:t>
      </w:r>
    </w:p>
    <w:p>
      <w:pPr>
        <w:spacing w:line="480" w:lineRule="auto" w:before="0" w:after="0"/>
        <w:ind w:left="720" w:hanging="720"/>
        <w:jc w:val="both"/>
      </w:pPr>
      <w:r>
        <w:rPr>
          <w:rFonts w:ascii="Times New Roman" w:hAnsi="Times New Roman"/>
          <w:color w:val="000000"/>
          <w:sz w:val="24"/>
        </w:rPr>
        <w:t>Al-Shboul, M., &amp; Alfzari, S. (2025). Predictive analytics in portfolio management: A fusion of AI and investment economics for optimal risk-return trade-offs. International Review of Management and Marketing, 15(1). https://www.econjournals.net.tr/index.php/irmm/article/view/18594</w:t>
      </w:r>
    </w:p>
    <w:p>
      <w:pPr>
        <w:spacing w:line="480" w:lineRule="auto" w:before="0" w:after="0"/>
        <w:ind w:left="720" w:hanging="720"/>
        <w:jc w:val="both"/>
      </w:pPr>
      <w:r>
        <w:rPr>
          <w:rFonts w:ascii="Times New Roman" w:hAnsi="Times New Roman"/>
          <w:color w:val="000000"/>
          <w:sz w:val="24"/>
        </w:rPr>
        <w:t>Alfeus, M., Harvey, J., &amp; Maphatsoe, P. (2024). Improving realised volatility forecast for emerging markets. Journal of Economics and Finance. Advance online publication. https://doi.org/10.1007/s12197-024-09701-x</w:t>
      </w:r>
    </w:p>
    <w:p>
      <w:pPr>
        <w:spacing w:line="480" w:lineRule="auto" w:before="0" w:after="0"/>
        <w:ind w:left="720" w:hanging="720"/>
        <w:jc w:val="both"/>
      </w:pPr>
      <w:r>
        <w:rPr>
          <w:rFonts w:ascii="Times New Roman" w:hAnsi="Times New Roman"/>
          <w:color w:val="000000"/>
          <w:sz w:val="24"/>
        </w:rPr>
        <w:t>Alim, W., Khan, N. U., Zhang, V. W., Cai, H. H., Mikhaylov, A., &amp; Yuan, Q. (2024). Influence of political stability on the stock market returns and volatility: GARCH and EGARCH approach. Financial Innovation. https://doi.org/10.1186/s40854-024-00658-8</w:t>
      </w:r>
    </w:p>
    <w:p>
      <w:pPr>
        <w:spacing w:line="480" w:lineRule="auto" w:before="0" w:after="0"/>
        <w:ind w:left="720" w:hanging="720"/>
        <w:jc w:val="both"/>
      </w:pPr>
      <w:r>
        <w:rPr>
          <w:rFonts w:ascii="Times New Roman" w:hAnsi="Times New Roman"/>
          <w:color w:val="000000"/>
          <w:sz w:val="24"/>
        </w:rPr>
        <w:t>Alotaibi, T. S., Dalla Valle, L., &amp; Craven, M. J. (2022). The worst case GARCH-copula CVaR approach for portfolio optimisation: Evidence from financial markets. Journal of Risk and Financial Management, 15(10), Article 482. https://doi.org/10.3390/jrfm15100482</w:t>
      </w:r>
    </w:p>
    <w:p>
      <w:pPr>
        <w:spacing w:line="480" w:lineRule="auto" w:before="0" w:after="0"/>
        <w:ind w:left="720" w:hanging="720"/>
        <w:jc w:val="both"/>
      </w:pPr>
      <w:r>
        <w:rPr>
          <w:rFonts w:ascii="Times New Roman" w:hAnsi="Times New Roman"/>
          <w:color w:val="000000"/>
          <w:sz w:val="24"/>
        </w:rPr>
        <w:t>Arif, U., Sohail, M. T., &amp; Majeed, M. I. (2020). Portfolio optimization with mean-variance &amp; mean-CVaR: Evidence from Pakistan stock market. International Journal of Management Research &amp; Emerging Sciences, 10(2), 215–226.</w:t>
      </w:r>
    </w:p>
    <w:p>
      <w:pPr>
        <w:spacing w:line="480" w:lineRule="auto" w:before="0" w:after="0"/>
        <w:ind w:left="720" w:hanging="720"/>
        <w:jc w:val="both"/>
      </w:pPr>
      <w:r>
        <w:rPr>
          <w:rFonts w:ascii="Times New Roman" w:hAnsi="Times New Roman"/>
          <w:color w:val="000000"/>
          <w:sz w:val="24"/>
        </w:rPr>
        <w:t>Ashrafzadeh, M., Sadrani, M., &amp; Zolfani, S. H. (2025). Clustering-based return prediction model for stock pre-selection in portfolio optimization. Results in Engineering, 27, Article 106263. https://doi.org/10.1016/j.rineng.2025.106263</w:t>
      </w:r>
    </w:p>
    <w:p>
      <w:pPr>
        <w:spacing w:line="480" w:lineRule="auto" w:before="0" w:after="0"/>
        <w:ind w:left="720" w:hanging="720"/>
        <w:jc w:val="both"/>
      </w:pPr>
      <w:r>
        <w:rPr>
          <w:rFonts w:ascii="Times New Roman" w:hAnsi="Times New Roman"/>
          <w:color w:val="000000"/>
          <w:sz w:val="24"/>
        </w:rPr>
        <w:t>Bali, T. G., Gokcan, S., &amp; Liang, B. (2007). Value at risk and the cross-section of hedge fund returns. Journal of Banking &amp; Finance, 31(4), 1135–1166. https://doi.org/10.1016/j.jbankfin.2006.10.023</w:t>
      </w:r>
    </w:p>
    <w:p>
      <w:pPr>
        <w:spacing w:line="480" w:lineRule="auto" w:before="0" w:after="0"/>
        <w:ind w:left="720" w:hanging="720"/>
        <w:jc w:val="both"/>
      </w:pPr>
      <w:r>
        <w:rPr>
          <w:rFonts w:ascii="Times New Roman" w:hAnsi="Times New Roman"/>
          <w:color w:val="000000"/>
          <w:sz w:val="24"/>
        </w:rPr>
        <w:t>Bodnar, T., Lindholm, M., Niklasson, V., &amp; Thorsén, E. (2022). Bayesian portfolio selection using VaR and CVaR. Applied Mathematics and Computation, 427, Article 127120.</w:t>
      </w:r>
    </w:p>
    <w:p>
      <w:pPr>
        <w:spacing w:line="480" w:lineRule="auto" w:before="0" w:after="0"/>
        <w:ind w:left="720" w:hanging="720"/>
        <w:jc w:val="both"/>
      </w:pPr>
      <w:r>
        <w:rPr>
          <w:rFonts w:ascii="Times New Roman" w:hAnsi="Times New Roman"/>
          <w:color w:val="000000"/>
          <w:sz w:val="24"/>
        </w:rPr>
        <w:t>Campbell, J. Y., &amp; Viceira, L. M. (2002). Strategic asset allocation: Portfolio choice for long-term investors. Oxford University Press.</w:t>
      </w:r>
    </w:p>
    <w:p>
      <w:pPr>
        <w:spacing w:line="480" w:lineRule="auto" w:before="0" w:after="0"/>
        <w:ind w:left="720" w:hanging="720"/>
        <w:jc w:val="both"/>
      </w:pPr>
      <w:r>
        <w:rPr>
          <w:rFonts w:ascii="Times New Roman" w:hAnsi="Times New Roman"/>
          <w:color w:val="000000"/>
          <w:sz w:val="24"/>
        </w:rPr>
        <w:t>Chao, L. (2024). Application of machine learning in stock market return forecasting. International Journal of Scientific Research and Management (IJSRM), 12(7), 6827–6835. https://doi.org/10.18535/ijsrm/v12i07.em11</w:t>
      </w:r>
    </w:p>
    <w:p>
      <w:pPr>
        <w:spacing w:line="480" w:lineRule="auto" w:before="0" w:after="0"/>
        <w:ind w:left="720" w:hanging="720"/>
        <w:jc w:val="both"/>
      </w:pPr>
      <w:r>
        <w:rPr>
          <w:rFonts w:ascii="Times New Roman" w:hAnsi="Times New Roman"/>
          <w:color w:val="000000"/>
          <w:sz w:val="24"/>
        </w:rPr>
        <w:t>Chaweewanchon, A., &amp; Chaysiri, R. (2022). Markowitz mean-variance portfolio optimization with predictive stock selection using machine learning. International Journal of Financial Studies, 10(3), Article 64. https://doi.org/10.3390/ijfs10030064</w:t>
      </w:r>
    </w:p>
    <w:p>
      <w:pPr>
        <w:spacing w:line="480" w:lineRule="auto" w:before="0" w:after="0"/>
        <w:ind w:left="720" w:hanging="720"/>
        <w:jc w:val="both"/>
      </w:pPr>
      <w:r>
        <w:rPr>
          <w:rFonts w:ascii="Times New Roman" w:hAnsi="Times New Roman"/>
          <w:color w:val="000000"/>
          <w:sz w:val="24"/>
        </w:rPr>
        <w:t>Chen, R. (2025). Stock price prediction and portfolio optimization based on mean variance model and random forest model. Advances in Economics, Business and Management Research, 333, 358–367.</w:t>
      </w:r>
    </w:p>
    <w:p>
      <w:pPr>
        <w:spacing w:line="480" w:lineRule="auto" w:before="0" w:after="0"/>
        <w:ind w:left="720" w:hanging="720"/>
        <w:jc w:val="both"/>
      </w:pPr>
      <w:r>
        <w:rPr>
          <w:rFonts w:ascii="Times New Roman" w:hAnsi="Times New Roman"/>
          <w:color w:val="000000"/>
          <w:sz w:val="24"/>
        </w:rPr>
        <w:t>Cheng, Y. (2025). Monte Carlo-Based VaR Estimation and Backtesting Under Basel III. Risks, 13(8), Article 146. https://doi.org/10.3390/risks13080146</w:t>
      </w:r>
    </w:p>
    <w:p>
      <w:pPr>
        <w:spacing w:line="480" w:lineRule="auto" w:before="0" w:after="0"/>
        <w:ind w:left="720" w:hanging="720"/>
        <w:jc w:val="both"/>
      </w:pPr>
      <w:r>
        <w:rPr>
          <w:rFonts w:ascii="Times New Roman" w:hAnsi="Times New Roman"/>
          <w:color w:val="000000"/>
          <w:sz w:val="24"/>
        </w:rPr>
        <w:t>Chung, V., Espinoza, J., &amp; Quispe, R. (2025). Forecasting Financial Volatility Under Structural Breaks: A Comparative Study of GARCH Models and Deep Learning Techniques. Journal of Risk and Financial Management, 18(9), Article 494. https://doi.org/10.3390/jrfm18090494</w:t>
      </w:r>
    </w:p>
    <w:p>
      <w:pPr>
        <w:spacing w:line="480" w:lineRule="auto" w:before="0" w:after="0"/>
        <w:ind w:left="720" w:hanging="720"/>
        <w:jc w:val="both"/>
      </w:pPr>
      <w:r>
        <w:rPr>
          <w:rFonts w:ascii="Times New Roman" w:hAnsi="Times New Roman"/>
          <w:color w:val="000000"/>
          <w:sz w:val="24"/>
        </w:rPr>
        <w:t>Diebold, F. X., &amp; Mariano, R. S. (1995). Comparing predictive accuracy. Journal of Business &amp; Economic Statistics, 13(3), 253–263.</w:t>
      </w:r>
    </w:p>
    <w:p>
      <w:pPr>
        <w:spacing w:line="480" w:lineRule="auto" w:before="0" w:after="0"/>
        <w:ind w:left="720" w:hanging="720"/>
        <w:jc w:val="both"/>
      </w:pPr>
      <w:r>
        <w:rPr>
          <w:rFonts w:ascii="Times New Roman" w:hAnsi="Times New Roman"/>
          <w:color w:val="000000"/>
          <w:sz w:val="24"/>
        </w:rPr>
        <w:t>Espiga-Fernández, F., García-Sánchez, Á., &amp; Ordieres-Meré, J. (2024). A Systematic Approach to Portfolio Optimization: A Comparative Study of Reinforcement Learning Agents, Market Signals, and Investment Horizons. Algorithms, 17(12), Article 570. https://doi.org/10.3390/a17120570</w:t>
      </w:r>
    </w:p>
    <w:p>
      <w:pPr>
        <w:spacing w:line="480" w:lineRule="auto" w:before="0" w:after="0"/>
        <w:ind w:left="720" w:hanging="720"/>
        <w:jc w:val="both"/>
      </w:pPr>
      <w:r>
        <w:rPr>
          <w:rFonts w:ascii="Times New Roman" w:hAnsi="Times New Roman"/>
          <w:color w:val="000000"/>
          <w:sz w:val="24"/>
        </w:rPr>
        <w:t>Fama, E. F. (1970). Efficient capital markets: A review of theory and empirical work. The Journal of Finance, 25(2), 383–417. https://doi.org/10.1111/j.1540-6261.1970.tb00518.x</w:t>
      </w:r>
    </w:p>
    <w:p>
      <w:pPr>
        <w:spacing w:line="480" w:lineRule="auto" w:before="0" w:after="0"/>
        <w:ind w:left="720" w:hanging="720"/>
        <w:jc w:val="both"/>
      </w:pPr>
      <w:r>
        <w:rPr>
          <w:rFonts w:ascii="Times New Roman" w:hAnsi="Times New Roman"/>
          <w:color w:val="000000"/>
          <w:sz w:val="24"/>
        </w:rPr>
        <w:t>Fan, Y. (2025). Enhancing investment strategies with LSTM-based stock prediction and mean-variance portfolio optimization. Proceedings of the 3rd International Conference on Financial Technology and Business Analysis. https://doi.org/10.54254/2754-1169/2024.23667</w:t>
      </w:r>
    </w:p>
    <w:p>
      <w:pPr>
        <w:spacing w:line="480" w:lineRule="auto" w:before="0" w:after="0"/>
        <w:ind w:left="720" w:hanging="720"/>
        <w:jc w:val="both"/>
      </w:pPr>
      <w:r>
        <w:rPr>
          <w:rFonts w:ascii="Times New Roman" w:hAnsi="Times New Roman"/>
          <w:color w:val="000000"/>
          <w:sz w:val="24"/>
        </w:rPr>
        <w:t>Fapetu, O., Ojo, S. M., Balogun, A. A., &amp; Asaolu, A. A. (2021). Capital market performance and macroeconomic dynamics in Nigeria. FUOYE Journal of Finance and Contemporary Issues, 1(1), 29–37.</w:t>
      </w:r>
    </w:p>
    <w:p>
      <w:pPr>
        <w:spacing w:line="480" w:lineRule="auto" w:before="0" w:after="0"/>
        <w:ind w:left="720" w:hanging="720"/>
        <w:jc w:val="both"/>
      </w:pPr>
      <w:r>
        <w:rPr>
          <w:rFonts w:ascii="Times New Roman" w:hAnsi="Times New Roman"/>
          <w:color w:val="000000"/>
          <w:sz w:val="24"/>
        </w:rPr>
        <w:t>Fatouros, G., Makridis, G., Kotios, D., Soldatos, J., Filippakis, M., &amp; Kyriazis, D. (2023). DeepVaR: A framework for portfolio risk assessment leveraging probabilistic deep neural networks. Digital Finance, 5(1), 29–56.</w:t>
      </w:r>
    </w:p>
    <w:p>
      <w:pPr>
        <w:spacing w:line="480" w:lineRule="auto" w:before="0" w:after="0"/>
        <w:ind w:left="720" w:hanging="720"/>
        <w:jc w:val="both"/>
      </w:pPr>
      <w:r>
        <w:rPr>
          <w:rFonts w:ascii="Times New Roman" w:hAnsi="Times New Roman"/>
          <w:color w:val="000000"/>
          <w:sz w:val="24"/>
        </w:rPr>
        <w:t>Ferrari, D., Paterlini, S., Rigamonti, A., &amp; Weissensteiner, A. (2024). Smoothed semicovariance estimation for portfolio selection. Annals of Operations Research. Advance online publication. https://doi.org/10.1007/s10479-024-06043-z</w:t>
      </w:r>
    </w:p>
    <w:p>
      <w:pPr>
        <w:spacing w:line="480" w:lineRule="auto" w:before="0" w:after="0"/>
        <w:ind w:left="720" w:hanging="720"/>
        <w:jc w:val="both"/>
      </w:pPr>
      <w:r>
        <w:rPr>
          <w:rFonts w:ascii="Times New Roman" w:hAnsi="Times New Roman"/>
          <w:color w:val="000000"/>
          <w:sz w:val="24"/>
        </w:rPr>
        <w:t>Fleming, J., Kirby, C., &amp; Ostdiek, B. (2001). The economic value of volatility timing using 'realized' volatility [Working paper]. Rice University, Jones Graduate School. https://ssrn.com/abstract=276921</w:t>
      </w:r>
    </w:p>
    <w:p>
      <w:pPr>
        <w:spacing w:line="480" w:lineRule="auto" w:before="0" w:after="0"/>
        <w:ind w:left="720" w:hanging="720"/>
        <w:jc w:val="both"/>
      </w:pPr>
      <w:r>
        <w:rPr>
          <w:rFonts w:ascii="Times New Roman" w:hAnsi="Times New Roman"/>
          <w:color w:val="000000"/>
          <w:sz w:val="24"/>
        </w:rPr>
        <w:t>Gu, S., Kelly, B., &amp; Xiu, D. (2020). Empirical asset pricing via machine learning. The Review of Financial Studies, 33(5), 2223–2273. https://doi.org/10.1093/rfs/hhz113</w:t>
      </w:r>
    </w:p>
    <w:p>
      <w:pPr>
        <w:spacing w:line="480" w:lineRule="auto" w:before="0" w:after="0"/>
        <w:ind w:left="720" w:hanging="720"/>
        <w:jc w:val="both"/>
      </w:pPr>
      <w:r>
        <w:rPr>
          <w:rFonts w:ascii="Times New Roman" w:hAnsi="Times New Roman"/>
          <w:color w:val="000000"/>
          <w:sz w:val="24"/>
        </w:rPr>
        <w:t>He, W. (2022). An empirical research based on Markowitz's portfolio theory. World Scientific Research Journal, 8(3), 221–227. https://doi.org/10.6911/WSRJ.202203_8(3).0028</w:t>
      </w:r>
    </w:p>
    <w:p>
      <w:pPr>
        <w:spacing w:line="480" w:lineRule="auto" w:before="0" w:after="0"/>
        <w:ind w:left="720" w:hanging="720"/>
        <w:jc w:val="both"/>
      </w:pPr>
      <w:r>
        <w:rPr>
          <w:rFonts w:ascii="Times New Roman" w:hAnsi="Times New Roman"/>
          <w:color w:val="000000"/>
          <w:sz w:val="24"/>
        </w:rPr>
        <w:t>Hsiao, Y.-Y. (2025). A comprehensive survey of modern portfolio optimization: From traditional risk analysis to advanced analytics and machine learning approaches (Preprint). Johns Hopkins University.</w:t>
      </w:r>
    </w:p>
    <w:p>
      <w:pPr>
        <w:spacing w:line="480" w:lineRule="auto" w:before="0" w:after="0"/>
        <w:ind w:left="720" w:hanging="720"/>
        <w:jc w:val="both"/>
      </w:pPr>
      <w:r>
        <w:rPr>
          <w:rFonts w:ascii="Times New Roman" w:hAnsi="Times New Roman"/>
          <w:color w:val="000000"/>
          <w:sz w:val="24"/>
        </w:rPr>
        <w:t>Huang, R., Kambouroudis, D., &amp; McMillan, D. G. (2025). Is portfolio diversification still effective: Evidence spanning three crises from the perspective of U.S. investors. Journal of Asset Management, 26(2), 115–135. https://doi.org/10.1057/s41260-025-00398-z</w:t>
      </w:r>
    </w:p>
    <w:p>
      <w:pPr>
        <w:spacing w:line="480" w:lineRule="auto" w:before="0" w:after="0"/>
        <w:ind w:left="720" w:hanging="720"/>
        <w:jc w:val="both"/>
      </w:pPr>
      <w:r>
        <w:rPr>
          <w:rFonts w:ascii="Times New Roman" w:hAnsi="Times New Roman"/>
          <w:color w:val="000000"/>
          <w:sz w:val="24"/>
        </w:rPr>
        <w:t>Job, O. D. (2022). An empirical evaluation of alternative asset allocation policies for emerging and frontier market investors in Africa. Journal of Financial Risk Management, 11(3), 481–521. https://doi.org/10.4236/jfrm.2022.113024</w:t>
      </w:r>
    </w:p>
    <w:p>
      <w:pPr>
        <w:spacing w:line="480" w:lineRule="auto" w:before="0" w:after="0"/>
        <w:ind w:left="720" w:hanging="720"/>
        <w:jc w:val="both"/>
      </w:pPr>
      <w:r>
        <w:rPr>
          <w:rFonts w:ascii="Times New Roman" w:hAnsi="Times New Roman"/>
          <w:color w:val="000000"/>
          <w:sz w:val="24"/>
        </w:rPr>
        <w:t>Jobson, J. D., &amp; Korkie, B. M. (1981). Performance hypothesis testing with the Sharpe and Treynor measures. The Journal of Finance, 36(4), 889–908.</w:t>
      </w:r>
    </w:p>
    <w:p>
      <w:pPr>
        <w:spacing w:line="480" w:lineRule="auto" w:before="0" w:after="0"/>
        <w:ind w:left="720" w:hanging="720"/>
        <w:jc w:val="both"/>
      </w:pPr>
      <w:r>
        <w:rPr>
          <w:rFonts w:ascii="Times New Roman" w:hAnsi="Times New Roman"/>
          <w:color w:val="000000"/>
          <w:sz w:val="24"/>
        </w:rPr>
        <w:t>Kevin, J., &amp; Yugopuspito, P. (2025). Hybrid LSTM and PPO networks for dynamic portfolio optimization (LPPM-UPH, No. 404/LPPM-UPH/VII/2025). Universitas Pelita Harapan Working Paper.</w:t>
      </w:r>
    </w:p>
    <w:p>
      <w:pPr>
        <w:spacing w:line="480" w:lineRule="auto" w:before="0" w:after="0"/>
        <w:ind w:left="720" w:hanging="720"/>
        <w:jc w:val="both"/>
      </w:pPr>
      <w:r>
        <w:rPr>
          <w:rFonts w:ascii="Times New Roman" w:hAnsi="Times New Roman"/>
          <w:color w:val="000000"/>
          <w:sz w:val="24"/>
        </w:rPr>
        <w:t>Leccadito, A., Staino, A., &amp; Toscano, P. (2024). A novel robust method for estimating the covariance matrix of financial returns with applications to risk management. Financial Innovation, 10, Article 116.</w:t>
      </w:r>
    </w:p>
    <w:p>
      <w:pPr>
        <w:spacing w:line="480" w:lineRule="auto" w:before="0" w:after="0"/>
        <w:ind w:left="720" w:hanging="720"/>
        <w:jc w:val="both"/>
      </w:pPr>
      <w:r>
        <w:rPr>
          <w:rFonts w:ascii="Times New Roman" w:hAnsi="Times New Roman"/>
          <w:color w:val="000000"/>
          <w:sz w:val="24"/>
        </w:rPr>
        <w:t>Ledoit, O., &amp; Wolf, M. (2008). Robust performance hypothesis testing with the Sharpe ratio. Journal of Empirical Finance, 15(5), 850–859.</w:t>
      </w:r>
    </w:p>
    <w:p>
      <w:pPr>
        <w:spacing w:line="480" w:lineRule="auto" w:before="0" w:after="0"/>
        <w:ind w:left="720" w:hanging="720"/>
        <w:jc w:val="both"/>
      </w:pPr>
      <w:r>
        <w:rPr>
          <w:rFonts w:ascii="Times New Roman" w:hAnsi="Times New Roman"/>
          <w:color w:val="000000"/>
          <w:sz w:val="24"/>
        </w:rPr>
        <w:t>Ledoit, O., &amp; Wolf, M. (2011). Robust performance hypothesis testing with the variance. Wilmott Magazine, (55), 86–89.</w:t>
      </w:r>
    </w:p>
    <w:p>
      <w:pPr>
        <w:spacing w:line="480" w:lineRule="auto" w:before="0" w:after="0"/>
        <w:ind w:left="720" w:hanging="720"/>
        <w:jc w:val="both"/>
      </w:pPr>
      <w:r>
        <w:rPr>
          <w:rFonts w:ascii="Times New Roman" w:hAnsi="Times New Roman"/>
          <w:color w:val="000000"/>
          <w:sz w:val="24"/>
        </w:rPr>
        <w:t>Li, G. (2023). Portfolio optimization and risk analysis in financial markets. Proceedings of the 2nd International Conference on Financial Technology and Business Analysis, 61, 243–247. https://doi.org/10.54254/2754-1169/61/20231273</w:t>
      </w:r>
    </w:p>
    <w:p>
      <w:pPr>
        <w:spacing w:line="480" w:lineRule="auto" w:before="0" w:after="0"/>
        <w:ind w:left="720" w:hanging="720"/>
        <w:jc w:val="both"/>
      </w:pPr>
      <w:r>
        <w:rPr>
          <w:rFonts w:ascii="Times New Roman" w:hAnsi="Times New Roman"/>
          <w:color w:val="000000"/>
          <w:sz w:val="24"/>
        </w:rPr>
        <w:t>Lorimer, D. A., van Schalkwyk, C. H., &amp; Szczygielski, J. J. (2024). Portfolio optimisation using alternative risk measures. Finance Research Letters, 67, Article 105758. https://doi.org/10.1016/j.frl.2024.105758</w:t>
      </w:r>
    </w:p>
    <w:p>
      <w:pPr>
        <w:spacing w:line="480" w:lineRule="auto" w:before="0" w:after="0"/>
        <w:ind w:left="720" w:hanging="720"/>
        <w:jc w:val="both"/>
      </w:pPr>
      <w:r>
        <w:rPr>
          <w:rFonts w:ascii="Times New Roman" w:hAnsi="Times New Roman"/>
          <w:color w:val="000000"/>
          <w:sz w:val="24"/>
        </w:rPr>
        <w:t>Lyu, X. (2024). Portfolio Optimization Strategies: New Approaches Based on Machine Learning Forecasting. Highlights in Business, Economics and Management, 40, 1077–1082.</w:t>
      </w:r>
    </w:p>
    <w:p>
      <w:pPr>
        <w:spacing w:line="480" w:lineRule="auto" w:before="0" w:after="0"/>
        <w:ind w:left="720" w:hanging="720"/>
        <w:jc w:val="both"/>
      </w:pPr>
      <w:r>
        <w:rPr>
          <w:rFonts w:ascii="Times New Roman" w:hAnsi="Times New Roman"/>
          <w:color w:val="000000"/>
          <w:sz w:val="24"/>
        </w:rPr>
        <w:t>Mahadevaswamy, G. H., &amp; Shyamala, G. (2022). Markowitz Model Is Right Choice to Investment. International Journal of Novel Research and Development, 7(11), 305–314.</w:t>
      </w:r>
    </w:p>
    <w:p>
      <w:pPr>
        <w:spacing w:line="480" w:lineRule="auto" w:before="0" w:after="0"/>
        <w:ind w:left="720" w:hanging="720"/>
        <w:jc w:val="both"/>
      </w:pPr>
      <w:r>
        <w:rPr>
          <w:rFonts w:ascii="Times New Roman" w:hAnsi="Times New Roman"/>
          <w:color w:val="000000"/>
          <w:sz w:val="24"/>
        </w:rPr>
        <w:t>Manogna, R. L., &amp; Kulkarni, N. (2025). Portfolio Optimization Model for Stock Price Prediction Using Machine Learning. Journal of Statistical Theory and Applications, 24(1).</w:t>
      </w:r>
    </w:p>
    <w:p>
      <w:pPr>
        <w:spacing w:line="480" w:lineRule="auto" w:before="0" w:after="0"/>
        <w:ind w:left="720" w:hanging="720"/>
        <w:jc w:val="both"/>
      </w:pPr>
      <w:r>
        <w:rPr>
          <w:rFonts w:ascii="Times New Roman" w:hAnsi="Times New Roman"/>
          <w:color w:val="000000"/>
          <w:sz w:val="24"/>
        </w:rPr>
        <w:t>Markowitz, H. (1952). Portfolio selection. The Journal of Finance, 7(1), 77–91. https://doi.org/10.1111/j.1540-6261.1952.tb01525.x</w:t>
      </w:r>
    </w:p>
    <w:p>
      <w:pPr>
        <w:spacing w:line="480" w:lineRule="auto" w:before="0" w:after="0"/>
        <w:ind w:left="720" w:hanging="720"/>
        <w:jc w:val="both"/>
      </w:pPr>
      <w:r>
        <w:rPr>
          <w:rFonts w:ascii="Times New Roman" w:hAnsi="Times New Roman"/>
          <w:color w:val="000000"/>
          <w:sz w:val="24"/>
        </w:rPr>
        <w:t>Martínez-Barbero, X., Cervelló-Royo, R., &amp; Ribal, J. (2024). Portfolio optimization with prediction-based return using Long Short-Term Memory neural networks: Testing on upward and downward European markets. Computational Economics, 65, 1479–1504. https://doi.org/10.1007/s10614-024-10604-6</w:t>
      </w:r>
    </w:p>
    <w:p>
      <w:pPr>
        <w:spacing w:line="480" w:lineRule="auto" w:before="0" w:after="0"/>
        <w:ind w:left="720" w:hanging="720"/>
        <w:jc w:val="both"/>
      </w:pPr>
      <w:r>
        <w:rPr>
          <w:rFonts w:ascii="Times New Roman" w:hAnsi="Times New Roman"/>
          <w:color w:val="000000"/>
          <w:sz w:val="24"/>
        </w:rPr>
        <w:t>Mba, J. C., Ababio, K. A., &amp; Agyei, S. K. (2022). Markowitz mean-variance portfolio selection and optimization under a behavioral spectacle: New empirical evidence. International Journal of Financial Studies, 10(2), Article 28. https://doi.org/10.3390/ijfs10020028</w:t>
      </w:r>
    </w:p>
    <w:p>
      <w:pPr>
        <w:spacing w:line="480" w:lineRule="auto" w:before="0" w:after="0"/>
        <w:ind w:left="720" w:hanging="720"/>
        <w:jc w:val="both"/>
      </w:pPr>
      <w:r>
        <w:rPr>
          <w:rFonts w:ascii="Times New Roman" w:hAnsi="Times New Roman"/>
          <w:color w:val="000000"/>
          <w:sz w:val="24"/>
        </w:rPr>
        <w:t>Memmel, C. (2003). Performance hypothesis testing with the Sharpe ratio. Finance Letters, 1(1), 21–23.</w:t>
      </w:r>
    </w:p>
    <w:p>
      <w:pPr>
        <w:spacing w:line="480" w:lineRule="auto" w:before="0" w:after="0"/>
        <w:ind w:left="720" w:hanging="720"/>
        <w:jc w:val="both"/>
      </w:pPr>
      <w:r>
        <w:rPr>
          <w:rFonts w:ascii="Times New Roman" w:hAnsi="Times New Roman"/>
          <w:color w:val="000000"/>
          <w:sz w:val="24"/>
        </w:rPr>
        <w:t>Michaud, R. O. (1989). The Markowitz optimization enigma: Is 'optimized' optimal? Financial Analysts Journal, 45(1), 31–42. https://doi.org/10.2469/faj.v45.n1.31</w:t>
      </w:r>
    </w:p>
    <w:p>
      <w:pPr>
        <w:spacing w:line="480" w:lineRule="auto" w:before="0" w:after="0"/>
        <w:ind w:left="720" w:hanging="720"/>
        <w:jc w:val="both"/>
      </w:pPr>
      <w:r>
        <w:rPr>
          <w:rFonts w:ascii="Times New Roman" w:hAnsi="Times New Roman"/>
          <w:color w:val="000000"/>
          <w:sz w:val="24"/>
        </w:rPr>
        <w:t>Moyoweshumba, E., &amp; Seitshiro, M. (2025). Leveraging Markowitz, Random Forest, and XGBoost for optimal diversification of South African stock portfolios. Data Science in Finance and Economics, 5(2), 205–233. https://doi.org/10.3934/DSFE.2025010</w:t>
      </w:r>
    </w:p>
    <w:p>
      <w:pPr>
        <w:spacing w:line="480" w:lineRule="auto" w:before="0" w:after="0"/>
        <w:ind w:left="720" w:hanging="720"/>
        <w:jc w:val="both"/>
      </w:pPr>
      <w:r>
        <w:rPr>
          <w:rFonts w:ascii="Times New Roman" w:hAnsi="Times New Roman"/>
          <w:color w:val="000000"/>
          <w:sz w:val="24"/>
        </w:rPr>
        <w:t>Mozumder, S., Hasan, M. K., &amp; Kabir, M. H. (2024). An evaluation of the adequacy of Lévy and extreme value tail risk estimates. Financial Innovation, 10(1), Article 100. https://doi.org/10.1186/s40854-024-00614-6</w:t>
      </w:r>
    </w:p>
    <w:p>
      <w:pPr>
        <w:spacing w:line="480" w:lineRule="auto" w:before="0" w:after="0"/>
        <w:ind w:left="720" w:hanging="720"/>
        <w:jc w:val="both"/>
      </w:pPr>
      <w:r>
        <w:rPr>
          <w:rFonts w:ascii="Times New Roman" w:hAnsi="Times New Roman"/>
          <w:color w:val="000000"/>
          <w:sz w:val="24"/>
        </w:rPr>
        <w:t>Naeem, M., Jassim, H. S., &amp; Korsah, D. (2024). The application of machine learning techniques to predict stock market crises in Africa. Journal of Risk and Financial Management, 17(12), Article 554. https://doi.org/10.3390/jrfm17120554</w:t>
      </w:r>
    </w:p>
    <w:p>
      <w:pPr>
        <w:spacing w:line="480" w:lineRule="auto" w:before="0" w:after="0"/>
        <w:ind w:left="720" w:hanging="720"/>
        <w:jc w:val="both"/>
      </w:pPr>
      <w:r>
        <w:rPr>
          <w:rFonts w:ascii="Times New Roman" w:hAnsi="Times New Roman"/>
          <w:color w:val="000000"/>
          <w:sz w:val="24"/>
        </w:rPr>
        <w:t>Nahari, F. (2025). Portfolio optimization in practice: A comparative analysis of the Markowitz and Index models. In M. M. Husin (Ed.), Proceedings of the 2025 International Conference on Financial Risk and Investment Management (ICFRIM 2025), Advances in Economics, Business and Management Research (Vol. 333, pp. 367–375). Atlantis Press.</w:t>
      </w:r>
    </w:p>
    <w:p>
      <w:pPr>
        <w:spacing w:line="480" w:lineRule="auto" w:before="0" w:after="0"/>
        <w:ind w:left="720" w:hanging="720"/>
        <w:jc w:val="both"/>
      </w:pPr>
      <w:r>
        <w:rPr>
          <w:rFonts w:ascii="Times New Roman" w:hAnsi="Times New Roman"/>
          <w:color w:val="000000"/>
          <w:sz w:val="24"/>
        </w:rPr>
        <w:t>Ojo, A. K., &amp; Okafor, I. J. (2024). Forecasting Nigerian Equity Stock Returns Using Long Short-Term Memory Technique. Journal of Advances in Mathematics and Computer Science, 39(7), 45–54. https://doi.org/10.9734/jamcs/2024/v39i71911</w:t>
      </w:r>
    </w:p>
    <w:p>
      <w:pPr>
        <w:spacing w:line="480" w:lineRule="auto" w:before="0" w:after="0"/>
        <w:ind w:left="720" w:hanging="720"/>
        <w:jc w:val="both"/>
      </w:pPr>
      <w:r>
        <w:rPr>
          <w:rFonts w:ascii="Times New Roman" w:hAnsi="Times New Roman"/>
          <w:color w:val="000000"/>
          <w:sz w:val="24"/>
        </w:rPr>
        <w:t>Okafor, C., &amp; Robertson, A. (2022). Maximizing returns: Portfolio optimization in the Nigerian Stock Exchange. International Journal of Advances in Applied Mathematics and Computer Science, 10(2), 1–9.</w:t>
      </w:r>
    </w:p>
    <w:p>
      <w:pPr>
        <w:spacing w:line="480" w:lineRule="auto" w:before="0" w:after="0"/>
        <w:ind w:left="720" w:hanging="720"/>
        <w:jc w:val="both"/>
      </w:pPr>
      <w:r>
        <w:rPr>
          <w:rFonts w:ascii="Times New Roman" w:hAnsi="Times New Roman"/>
          <w:color w:val="000000"/>
          <w:sz w:val="24"/>
        </w:rPr>
        <w:t>Quimbayo, C. Z., &amp; León, B. (2025). Downside Risk Measures and ESG Factors in Optimal Portfolio Construction: Evidence from European Equity Markets. Economics - Innovative and Economics Research Journal, 13(2), 5–17. https://doi.org/10.2478/eoik-2025-0082</w:t>
      </w:r>
    </w:p>
    <w:p>
      <w:pPr>
        <w:spacing w:line="480" w:lineRule="auto" w:before="0" w:after="0"/>
        <w:ind w:left="720" w:hanging="720"/>
        <w:jc w:val="both"/>
      </w:pPr>
      <w:r>
        <w:rPr>
          <w:rFonts w:ascii="Times New Roman" w:hAnsi="Times New Roman"/>
          <w:color w:val="000000"/>
          <w:sz w:val="24"/>
        </w:rPr>
        <w:t>Rigamonti, A., &amp; Lučivjanská, K. (2021). Mean-semivariance portfolio optimization using minimum average partial. SSRN Electronic Journal, Article 3542727. https://doi.org/10.2139/ssrn.3542727</w:t>
      </w:r>
    </w:p>
    <w:p>
      <w:pPr>
        <w:spacing w:line="480" w:lineRule="auto" w:before="0" w:after="0"/>
        <w:ind w:left="720" w:hanging="720"/>
        <w:jc w:val="both"/>
      </w:pPr>
      <w:r>
        <w:rPr>
          <w:rFonts w:ascii="Times New Roman" w:hAnsi="Times New Roman"/>
          <w:color w:val="000000"/>
          <w:sz w:val="24"/>
        </w:rPr>
        <w:t>Rockafellar, R. T., &amp; Uryasev, S. (2000). Optimization of conditional value-at-risk. Journal of Risk, 2(3), 21–41. https://doi.org/10.21314/JOR.2000.038</w:t>
      </w:r>
    </w:p>
    <w:p>
      <w:pPr>
        <w:spacing w:line="480" w:lineRule="auto" w:before="0" w:after="0"/>
        <w:ind w:left="720" w:hanging="720"/>
        <w:jc w:val="both"/>
      </w:pPr>
      <w:r>
        <w:rPr>
          <w:rFonts w:ascii="Times New Roman" w:hAnsi="Times New Roman"/>
          <w:color w:val="000000"/>
          <w:sz w:val="24"/>
        </w:rPr>
        <w:t>Rockafellar, R. T., &amp; Uryasev, S. (2002). Conditional value-at-risk for general loss distributions. Journal of Banking &amp; Finance, 26(7), 1443–1471. https://doi.org/10.1016/S0378-4266(02)00271-6</w:t>
      </w:r>
    </w:p>
    <w:p>
      <w:pPr>
        <w:spacing w:line="480" w:lineRule="auto" w:before="0" w:after="0"/>
        <w:ind w:left="720" w:hanging="720"/>
        <w:jc w:val="both"/>
      </w:pPr>
      <w:r>
        <w:rPr>
          <w:rFonts w:ascii="Times New Roman" w:hAnsi="Times New Roman"/>
          <w:color w:val="000000"/>
          <w:sz w:val="24"/>
        </w:rPr>
        <w:t>Sahiner, M. (2022). Forecasting volatility in Asian financial markets: Evidence from recursive and rolling window methods. SN Business &amp; Economics, 2, Article 157. https://doi.org/10.1007/s43546-022-00329-9</w:t>
      </w:r>
    </w:p>
    <w:p>
      <w:pPr>
        <w:spacing w:line="480" w:lineRule="auto" w:before="0" w:after="0"/>
        <w:ind w:left="720" w:hanging="720"/>
        <w:jc w:val="both"/>
      </w:pPr>
      <w:r>
        <w:rPr>
          <w:rFonts w:ascii="Times New Roman" w:hAnsi="Times New Roman"/>
          <w:color w:val="000000"/>
          <w:sz w:val="24"/>
        </w:rPr>
        <w:t>Salo, A., Doumpos, M., Liesiö, J., &amp; Zopounidis, C. (2024). Fifty years of portfolio optimization. European Journal of Operational Research, 318(1), 1–18. https://doi.org/10.1016/j.ejor.2023.12.031</w:t>
      </w:r>
    </w:p>
    <w:p>
      <w:pPr>
        <w:spacing w:line="480" w:lineRule="auto" w:before="0" w:after="0"/>
        <w:ind w:left="720" w:hanging="720"/>
        <w:jc w:val="both"/>
      </w:pPr>
      <w:r>
        <w:rPr>
          <w:rFonts w:ascii="Times New Roman" w:hAnsi="Times New Roman"/>
          <w:color w:val="000000"/>
          <w:sz w:val="24"/>
        </w:rPr>
        <w:t>Samaniego Alcántar, A. (2023). Semi-variance optimization for the components of the Dow Jones Industrial Average index. Contaduría y Administración, 68(4), 1–17. http://dx.doi.org/10.22201/fca.24488410e.2023.3409</w:t>
      </w:r>
    </w:p>
    <w:p>
      <w:pPr>
        <w:spacing w:line="480" w:lineRule="auto" w:before="0" w:after="0"/>
        <w:ind w:left="720" w:hanging="720"/>
        <w:jc w:val="both"/>
      </w:pPr>
      <w:r>
        <w:rPr>
          <w:rFonts w:ascii="Times New Roman" w:hAnsi="Times New Roman"/>
          <w:color w:val="000000"/>
          <w:sz w:val="24"/>
        </w:rPr>
        <w:t>San, J. (2025). Stock Forecasting and Portfolio Optimization Based on ARIMA-GARCH, Random Forest and Monte Carlo Models. Advances in Economics, Business and Management Research, 333, 580–588.</w:t>
      </w:r>
    </w:p>
    <w:p>
      <w:pPr>
        <w:spacing w:line="480" w:lineRule="auto" w:before="0" w:after="0"/>
        <w:ind w:left="720" w:hanging="720"/>
        <w:jc w:val="both"/>
      </w:pPr>
      <w:r>
        <w:rPr>
          <w:rFonts w:ascii="Times New Roman" w:hAnsi="Times New Roman"/>
          <w:color w:val="000000"/>
          <w:sz w:val="24"/>
        </w:rPr>
        <w:t>Senescall, M., &amp; Low, R. K. Y. (2024). Quantitative Portfolio Management: Review and Outlook. Mathematics, 12(18), Article 2897. https://doi.org/10.3390/math12182897</w:t>
      </w:r>
    </w:p>
    <w:p>
      <w:pPr>
        <w:spacing w:line="480" w:lineRule="auto" w:before="0" w:after="0"/>
        <w:ind w:left="720" w:hanging="720"/>
        <w:jc w:val="both"/>
      </w:pPr>
      <w:r>
        <w:rPr>
          <w:rFonts w:ascii="Times New Roman" w:hAnsi="Times New Roman"/>
          <w:color w:val="000000"/>
          <w:sz w:val="24"/>
        </w:rPr>
        <w:t>Sulaiman, L. A., Adejayan, A. O., &amp; Ilori, O. O. (2023). Capital Market Development and Economic Growth of West African Countries. Nigerian Journal of Banking and Financial Issues, 9(1), 117–125.</w:t>
      </w:r>
    </w:p>
    <w:p>
      <w:pPr>
        <w:spacing w:line="480" w:lineRule="auto" w:before="0" w:after="0"/>
        <w:ind w:left="720" w:hanging="720"/>
        <w:jc w:val="both"/>
      </w:pPr>
      <w:r>
        <w:rPr>
          <w:rFonts w:ascii="Times New Roman" w:hAnsi="Times New Roman"/>
          <w:color w:val="000000"/>
          <w:sz w:val="24"/>
        </w:rPr>
        <w:t>Ślusarczyk, D., &amp; Ślepaczuk, R. (2025). Algorithmic investment strategies on the Dow Jones Industrial Average. Journal of Big Data, 12, Article 127. https://doi.org/10.1186/s40537-025-01164-z</w:t>
      </w:r>
    </w:p>
    <w:p>
      <w:pPr>
        <w:spacing w:line="480" w:lineRule="auto" w:before="0" w:after="0"/>
        <w:ind w:left="720" w:hanging="720"/>
        <w:jc w:val="both"/>
      </w:pPr>
      <w:r>
        <w:rPr>
          <w:rFonts w:ascii="Times New Roman" w:hAnsi="Times New Roman"/>
          <w:color w:val="000000"/>
          <w:sz w:val="24"/>
        </w:rPr>
        <w:t>Tjiwidjaja, H. (2025). Optimization of Investment Portfolio Returns Through an Integrated Risk Management Approach. STIE Ganesha Research Papers, 853–863.</w:t>
      </w:r>
    </w:p>
    <w:p>
      <w:pPr>
        <w:spacing w:line="480" w:lineRule="auto" w:before="0" w:after="0"/>
        <w:ind w:left="720" w:hanging="720"/>
        <w:jc w:val="both"/>
      </w:pPr>
      <w:r>
        <w:rPr>
          <w:rFonts w:ascii="Times New Roman" w:hAnsi="Times New Roman"/>
          <w:color w:val="000000"/>
          <w:sz w:val="24"/>
        </w:rPr>
        <w:t>Uzoaga, G. A., Adenomon, M. O., Nweze, N. O., &amp; Maijama, B. (2025). Modelling and predicting stock prices of Nigerian Stock Exchange using some machine learning techniques and time series model. Science World Journal, 20(2), 510–515. https://dx.doi.org/10.4314/swj.v20i2.9</w:t>
      </w:r>
    </w:p>
    <w:p>
      <w:pPr>
        <w:spacing w:line="480" w:lineRule="auto" w:before="0" w:after="0"/>
        <w:ind w:left="720" w:hanging="720"/>
        <w:jc w:val="both"/>
      </w:pPr>
      <w:r>
        <w:rPr>
          <w:rFonts w:ascii="Times New Roman" w:hAnsi="Times New Roman"/>
          <w:color w:val="000000"/>
          <w:sz w:val="24"/>
        </w:rPr>
        <w:t>Uzoaga, G. A., Adenomon, M. O., Nweze, N. O., &amp; Maijamaa, B. (2025). Predictive machine learning methods for stock returns among emerging economies in Africa. Science World Journal, 20(3), 941–947. https://dx.doi.org/10.4314/swj.v20i3.3</w:t>
      </w:r>
    </w:p>
    <w:p>
      <w:pPr>
        <w:spacing w:line="480" w:lineRule="auto" w:before="0" w:after="0"/>
        <w:ind w:left="720" w:hanging="720"/>
        <w:jc w:val="both"/>
      </w:pPr>
      <w:r>
        <w:rPr>
          <w:rFonts w:ascii="Times New Roman" w:hAnsi="Times New Roman"/>
          <w:color w:val="000000"/>
          <w:sz w:val="24"/>
        </w:rPr>
        <w:t>Wahid, A. J., Riaman, &amp; Sukono. (2025). A Systematic Literature Review on Mean-CVaR Based Financial Asset Portfolio Weight Allocation Using K-Means Clustering. Journal of Applied Mathematics and Computing, 10(2), 1069–1091.</w:t>
      </w:r>
    </w:p>
    <w:p>
      <w:pPr>
        <w:spacing w:line="480" w:lineRule="auto" w:before="0" w:after="0"/>
        <w:ind w:left="720" w:hanging="720"/>
        <w:jc w:val="both"/>
      </w:pPr>
      <w:r>
        <w:rPr>
          <w:rFonts w:ascii="Times New Roman" w:hAnsi="Times New Roman"/>
          <w:color w:val="000000"/>
          <w:sz w:val="24"/>
        </w:rPr>
        <w:t>Wang, T., Pan, Q., Wu, W., Gao, J., &amp; Zhou, K. (2024). Dynamic Mean–Variance Portfolio Optimization with Value-at-Risk Constraint in Continuous Time. Mathematics, 12(14), Article 2268. https://doi.org/10.3390/math12142268</w:t>
      </w:r>
    </w:p>
    <w:p>
      <w:pPr>
        <w:spacing w:line="480" w:lineRule="auto" w:before="0" w:after="0"/>
        <w:ind w:left="720" w:hanging="720"/>
        <w:jc w:val="both"/>
      </w:pPr>
      <w:r>
        <w:rPr>
          <w:rFonts w:ascii="Times New Roman" w:hAnsi="Times New Roman"/>
          <w:color w:val="000000"/>
          <w:sz w:val="24"/>
        </w:rPr>
        <w:t>Yadav, A., Madhavi, R., Bagaria, O., Ambulkar, A., &amp; Sharma, S. (2024). Survey on financial portfolio management's role in investment decision-making strategies. Multidisciplinary Reviews, 6, Article e2023ss101. https://doi.org/10.31893/multirev.2023ss101</w:t>
      </w:r>
    </w:p>
    <w:p>
      <w:pPr>
        <w:spacing w:line="480" w:lineRule="auto" w:before="0" w:after="0"/>
        <w:ind w:left="720" w:hanging="720"/>
        <w:jc w:val="both"/>
      </w:pPr>
      <w:r>
        <w:rPr>
          <w:rFonts w:ascii="Times New Roman" w:hAnsi="Times New Roman"/>
          <w:color w:val="000000"/>
          <w:sz w:val="24"/>
        </w:rPr>
        <w:t>Yu, S. (2024). Advancing Stock Market Return Forecasting with LSTM Models and Financial Indicators. Proceedings of the International Conference on Economic Management and Green Development, Article 122. https://doi.org/10.54254/2754-1169/122/2024.17734</w:t>
      </w:r>
    </w:p>
    <w:p>
      <w:pPr>
        <w:spacing w:line="480" w:lineRule="auto" w:before="0" w:after="0"/>
        <w:ind w:left="720" w:hanging="720"/>
        <w:jc w:val="both"/>
      </w:pPr>
      <w:r>
        <w:rPr>
          <w:rFonts w:ascii="Times New Roman" w:hAnsi="Times New Roman"/>
          <w:color w:val="000000"/>
          <w:sz w:val="24"/>
        </w:rPr>
        <w:t>Zaimovic, A., Arnaut-Berilo, A., &amp; Bešlija, R. (2024). International Portfolio Diversification Benefits: An Empirical Investigation of the 28 European Stock Markets. School of Economics and Business Sarajevo Working Papers, Article 46.</w:t>
      </w:r>
    </w:p>
    <w:p>
      <w:pPr>
        <w:spacing w:line="480" w:lineRule="auto" w:before="0" w:after="0"/>
        <w:ind w:left="720" w:hanging="720"/>
        <w:jc w:val="both"/>
      </w:pPr>
      <w:r>
        <w:rPr>
          <w:rFonts w:ascii="Times New Roman" w:hAnsi="Times New Roman"/>
          <w:color w:val="000000"/>
          <w:sz w:val="24"/>
        </w:rPr>
        <w:t>Zhang, G. (2025). Using Machine Learning for Stock Return Prediction. Proceedings of ICEMGD 2025 Symposium, Article LH23915. https://doi.org/10.54254/2754-1169/2025.LH23915</w:t>
      </w:r>
    </w:p>
    <w:p>
      <w:pPr>
        <w:spacing w:line="480" w:lineRule="auto" w:before="0" w:after="0"/>
        <w:ind w:left="720" w:hanging="720"/>
        <w:jc w:val="both"/>
      </w:pPr>
      <w:r>
        <w:rPr>
          <w:rFonts w:ascii="Times New Roman" w:hAnsi="Times New Roman"/>
          <w:color w:val="000000"/>
          <w:sz w:val="24"/>
        </w:rPr>
        <w:t>Zhang, P., Yang, Y., Li, J., &amp; Zeng, Y. (2023). A Two-stage Mean-CVaR Investment Strategy Based on LSTM. Journal of South China Normal University (Natural Science Edition), 55(5), 93–102.</w:t>
      </w:r>
    </w:p>
    <w:p>
      <w:pPr>
        <w:spacing w:line="480" w:lineRule="auto" w:before="0" w:after="0"/>
        <w:ind w:left="720" w:hanging="720"/>
        <w:jc w:val="both"/>
      </w:pPr>
      <w:r>
        <w:rPr>
          <w:rFonts w:ascii="Times New Roman" w:hAnsi="Times New Roman"/>
          <w:color w:val="000000"/>
          <w:sz w:val="24"/>
        </w:rPr>
        <w:t>Zhang, Y. (2024). Integrating Forecasting and Mean-Variance Portfolio Optimization: A Machine Learning Approach. Proceedings of the 3rd International Conference on Financial Technology and Business Analysis, Article 2002.</w:t>
      </w:r>
    </w:p>
    <w:p>
      <w:pPr>
        <w:spacing w:line="480" w:lineRule="auto" w:before="0" w:after="0"/>
        <w:ind w:left="720" w:hanging="720"/>
        <w:jc w:val="both"/>
      </w:pPr>
      <w:r>
        <w:rPr>
          <w:rFonts w:ascii="Times New Roman" w:hAnsi="Times New Roman"/>
          <w:color w:val="000000"/>
          <w:sz w:val="24"/>
        </w:rPr>
        <w:t>Zsurkis, G., Nicolau, J., &amp; Rodrigues, P. M. M. (2024). First passage times in portfolio optimization: A novel nonparametric approach. European Journal of Operational Research, 312(3), 1074–1085. https://doi.org/10.1016/j.ejor.2023.07.044</w:t>
      </w:r>
    </w:p>
    <w:sectPr w:rsidR="0A7E58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3"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4"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5"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6"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7"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4"/>
  </w:num>
  <w:num w:numId="4">
    <w:abstractNumId w:val="5"/>
  </w:num>
  <w:num w:numId="5">
    <w:abstractNumId w:val="9"/>
  </w:num>
  <w:num w:numId="6">
    <w:abstractNumId w:val="2"/>
  </w:num>
  <w:num w:numId="7">
    <w:abstractNumId w:val="7"/>
  </w:num>
  <w:num w:numId="8">
    <w:abstractNumId w:val="3"/>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113DD"/>
    <w:rsid w:val="000378FF"/>
    <w:rsid w:val="000E4814"/>
    <w:rsid w:val="001B7634"/>
    <w:rsid w:val="0031267F"/>
    <w:rsid w:val="003D2D73"/>
    <w:rsid w:val="003E2BE2"/>
    <w:rsid w:val="00457F35"/>
    <w:rsid w:val="00600686"/>
    <w:rsid w:val="006078B3"/>
    <w:rsid w:val="00666273"/>
    <w:rsid w:val="007C0050"/>
    <w:rsid w:val="007F4BD9"/>
    <w:rsid w:val="0086058D"/>
    <w:rsid w:val="00941828"/>
    <w:rsid w:val="009586D3"/>
    <w:rsid w:val="00A434F0"/>
    <w:rsid w:val="00A551E6"/>
    <w:rsid w:val="00AF16BF"/>
    <w:rsid w:val="00B61C71"/>
    <w:rsid w:val="00C12331"/>
    <w:rsid w:val="00CF16D4"/>
    <w:rsid w:val="00DA388B"/>
    <w:rsid w:val="00E06520"/>
    <w:rsid w:val="00E43EF7"/>
    <w:rsid w:val="00E87707"/>
    <w:rsid w:val="00F2530B"/>
    <w:rsid w:val="00FB13D7"/>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41BC8"/>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1089</TotalTime>
  <Pages>1</Pages>
  <Words>12747</Words>
  <Characters>72659</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USER</cp:lastModifiedBy>
  <cp:revision>26</cp:revision>
  <dcterms:created xsi:type="dcterms:W3CDTF">2026-04-26T17:15:00Z</dcterms:created>
  <dcterms:modified xsi:type="dcterms:W3CDTF">2026-09-03T22:44:00Z</dcterms:modified>
</cp:coreProperties>
</file>