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6DE09B" w14:textId="57DD70E2" w:rsidR="28C1B626" w:rsidRDefault="28C1B626" w:rsidP="28C1B626">
      <w:pPr>
        <w:spacing w:line="480" w:lineRule="auto"/>
        <w:rPr>
          <w:rFonts w:ascii="Times New Roman" w:eastAsia="Times New Roman" w:hAnsi="Times New Roman" w:cs="Times New Roman"/>
        </w:rPr>
      </w:pPr>
    </w:p>
    <w:p w14:paraId="7BBD2FD8" w14:textId="5BE1068A" w:rsidR="3C49F491" w:rsidRDefault="6B591443"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Equity Return Forecasting on Tail</w:t>
      </w:r>
      <w:r w:rsidR="734E68BF"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Risk</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Aware Portfolio Optimization on the Nigerian Exchange Group (NGX)</w:t>
      </w:r>
    </w:p>
    <w:p w14:paraId="6C0D4015" w14:textId="4FA17AF8"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BY</w:t>
      </w:r>
    </w:p>
    <w:p w14:paraId="50555D0E" w14:textId="30869131"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SANNI ABDUL</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AMEEN OLUWADARASIMI</w:t>
      </w:r>
    </w:p>
    <w:p w14:paraId="32CDFF16" w14:textId="538D90EA"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ECN/2021/158</w:t>
      </w:r>
    </w:p>
    <w:p w14:paraId="1ABCD030" w14:textId="385567A3" w:rsidR="28C1B626" w:rsidRDefault="28C1B626" w:rsidP="47575B0A">
      <w:pPr>
        <w:spacing w:after="200" w:line="480" w:lineRule="auto"/>
        <w:rPr>
          <w:rFonts w:ascii="Times New Roman" w:eastAsia="Times New Roman" w:hAnsi="Times New Roman" w:cs="Times New Roman"/>
          <w:b/>
          <w:bCs/>
          <w:color w:val="000000" w:themeColor="text1"/>
        </w:rPr>
      </w:pPr>
    </w:p>
    <w:p w14:paraId="6150B642" w14:textId="1A6340F0" w:rsidR="28C1B626" w:rsidRDefault="28C1B626" w:rsidP="47575B0A">
      <w:pPr>
        <w:spacing w:after="200" w:line="480" w:lineRule="auto"/>
        <w:rPr>
          <w:rFonts w:ascii="Times New Roman" w:eastAsia="Times New Roman" w:hAnsi="Times New Roman" w:cs="Times New Roman"/>
          <w:b/>
          <w:bCs/>
          <w:color w:val="000000" w:themeColor="text1"/>
        </w:rPr>
      </w:pPr>
    </w:p>
    <w:p w14:paraId="120A09B0" w14:textId="7B445B5B" w:rsidR="28C1B626" w:rsidRDefault="28C1B626" w:rsidP="47575B0A">
      <w:pPr>
        <w:spacing w:after="200" w:line="480" w:lineRule="auto"/>
        <w:rPr>
          <w:rFonts w:ascii="Times New Roman" w:eastAsia="Times New Roman" w:hAnsi="Times New Roman" w:cs="Times New Roman"/>
          <w:b/>
          <w:bCs/>
          <w:color w:val="000000" w:themeColor="text1"/>
        </w:rPr>
      </w:pPr>
    </w:p>
    <w:p w14:paraId="373E3A3D" w14:textId="18A58DBB" w:rsidR="28C1B626" w:rsidRDefault="28C1B626" w:rsidP="47575B0A">
      <w:pPr>
        <w:spacing w:after="200" w:line="480" w:lineRule="auto"/>
        <w:rPr>
          <w:rFonts w:ascii="Times New Roman" w:eastAsia="Times New Roman" w:hAnsi="Times New Roman" w:cs="Times New Roman"/>
          <w:b/>
          <w:bCs/>
          <w:color w:val="000000" w:themeColor="text1"/>
        </w:rPr>
      </w:pPr>
    </w:p>
    <w:p w14:paraId="59CC243D" w14:textId="157E9069" w:rsidR="28C1B626" w:rsidRDefault="28C1B626" w:rsidP="47575B0A">
      <w:pPr>
        <w:spacing w:after="200" w:line="480" w:lineRule="auto"/>
        <w:rPr>
          <w:rFonts w:ascii="Times New Roman" w:eastAsia="Times New Roman" w:hAnsi="Times New Roman" w:cs="Times New Roman"/>
          <w:b/>
          <w:bCs/>
          <w:color w:val="000000" w:themeColor="text1"/>
        </w:rPr>
      </w:pPr>
    </w:p>
    <w:p w14:paraId="37CD8943" w14:textId="6B91A556" w:rsidR="28C1B626" w:rsidRDefault="28C1B626" w:rsidP="47575B0A">
      <w:pPr>
        <w:spacing w:after="200" w:line="480" w:lineRule="auto"/>
        <w:rPr>
          <w:rFonts w:ascii="Times New Roman" w:eastAsia="Times New Roman" w:hAnsi="Times New Roman" w:cs="Times New Roman"/>
          <w:b/>
          <w:bCs/>
          <w:color w:val="000000" w:themeColor="text1"/>
        </w:rPr>
      </w:pPr>
    </w:p>
    <w:p w14:paraId="7A1F5F2E" w14:textId="2D851C8B" w:rsidR="28C1B626" w:rsidRDefault="28C1B626" w:rsidP="47575B0A">
      <w:pPr>
        <w:spacing w:after="200" w:line="480" w:lineRule="auto"/>
        <w:rPr>
          <w:rFonts w:ascii="Times New Roman" w:eastAsia="Times New Roman" w:hAnsi="Times New Roman" w:cs="Times New Roman"/>
          <w:b/>
          <w:bCs/>
          <w:color w:val="000000" w:themeColor="text1"/>
        </w:rPr>
      </w:pPr>
    </w:p>
    <w:p w14:paraId="2505F970" w14:textId="2F852488" w:rsidR="28C1B626" w:rsidRDefault="28C1B626" w:rsidP="47575B0A">
      <w:pPr>
        <w:spacing w:after="200" w:line="480" w:lineRule="auto"/>
        <w:rPr>
          <w:rFonts w:ascii="Times New Roman" w:eastAsia="Times New Roman" w:hAnsi="Times New Roman" w:cs="Times New Roman"/>
          <w:b/>
          <w:bCs/>
          <w:color w:val="000000" w:themeColor="text1"/>
        </w:rPr>
      </w:pPr>
    </w:p>
    <w:p w14:paraId="1C136752" w14:textId="13F5372A" w:rsidR="28C1B626" w:rsidRDefault="28C1B626" w:rsidP="47575B0A">
      <w:pPr>
        <w:spacing w:after="200" w:line="480" w:lineRule="auto"/>
        <w:rPr>
          <w:rFonts w:ascii="Times New Roman" w:eastAsia="Times New Roman" w:hAnsi="Times New Roman" w:cs="Times New Roman"/>
          <w:b/>
          <w:bCs/>
          <w:color w:val="000000" w:themeColor="text1"/>
        </w:rPr>
      </w:pPr>
    </w:p>
    <w:p w14:paraId="02E0A667" w14:textId="3BFBA279" w:rsidR="28C1B626" w:rsidRDefault="28C1B626" w:rsidP="47575B0A">
      <w:pPr>
        <w:spacing w:after="200" w:line="480" w:lineRule="auto"/>
        <w:rPr>
          <w:rFonts w:ascii="Times New Roman" w:eastAsia="Times New Roman" w:hAnsi="Times New Roman" w:cs="Times New Roman"/>
          <w:b/>
          <w:bCs/>
          <w:color w:val="000000" w:themeColor="text1"/>
        </w:rPr>
      </w:pPr>
    </w:p>
    <w:p w14:paraId="5B130E3F" w14:textId="03C1839F" w:rsidR="28C1B626" w:rsidRDefault="28C1B626" w:rsidP="47575B0A">
      <w:pPr>
        <w:spacing w:after="200" w:line="480" w:lineRule="auto"/>
        <w:rPr>
          <w:rFonts w:ascii="Times New Roman" w:eastAsia="Times New Roman" w:hAnsi="Times New Roman" w:cs="Times New Roman"/>
          <w:b/>
          <w:bCs/>
          <w:color w:val="000000" w:themeColor="text1"/>
        </w:rPr>
      </w:pPr>
    </w:p>
    <w:p w14:paraId="42F8C932" w14:textId="055829A5"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Chapter 1</w:t>
      </w:r>
    </w:p>
    <w:p w14:paraId="008E774A" w14:textId="0839BF33"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1.1 Background to the Study</w:t>
      </w:r>
    </w:p>
    <w:p w14:paraId="2F5120AA" w14:textId="5169E72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Pr>
          <w:rFonts w:ascii="Times New Roman" w:eastAsia="Times New Roman" w:hAnsi="Times New Roman" w:cs="Times New Roman"/>
          <w:color w:val="000000" w:themeColor="text1"/>
        </w:rPr>
        <w:t>(</w:t>
      </w:r>
      <w:proofErr w:type="spellStart"/>
      <w:r w:rsidR="00600686">
        <w:rPr>
          <w:rFonts w:ascii="Times New Roman" w:eastAsia="Times New Roman" w:hAnsi="Times New Roman" w:cs="Times New Roman"/>
          <w:color w:val="000000" w:themeColor="text1"/>
        </w:rPr>
        <w:t>Sulaiman</w:t>
      </w:r>
      <w:proofErr w:type="spellEnd"/>
      <w:r w:rsidR="00600686">
        <w:rPr>
          <w:rFonts w:ascii="Times New Roman" w:eastAsia="Times New Roman" w:hAnsi="Times New Roman" w:cs="Times New Roman"/>
          <w:color w:val="000000" w:themeColor="text1"/>
        </w:rPr>
        <w:t>, 2023</w:t>
      </w:r>
      <w:r w:rsidRPr="47575B0A">
        <w:rPr>
          <w:rFonts w:ascii="Times New Roman" w:eastAsia="Times New Roman" w:hAnsi="Times New Roman" w:cs="Times New Roman"/>
          <w:color w:val="000000" w:themeColor="text1"/>
        </w:rPr>
        <w:t xml:space="preserve">). The stock market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47575B0A">
        <w:rPr>
          <w:rFonts w:ascii="Times New Roman" w:eastAsia="Times New Roman" w:hAnsi="Times New Roman" w:cs="Times New Roman"/>
          <w:color w:val="000000" w:themeColor="text1"/>
        </w:rPr>
        <w:t>Mahadevaswamy</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Shyamala</w:t>
      </w:r>
      <w:proofErr w:type="spellEnd"/>
      <w:r w:rsidRPr="47575B0A">
        <w:rPr>
          <w:rFonts w:ascii="Times New Roman" w:eastAsia="Times New Roman" w:hAnsi="Times New Roman" w:cs="Times New Roman"/>
          <w:color w:val="000000" w:themeColor="text1"/>
        </w:rPr>
        <w:t>, 2022), based on their level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ratio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14:paraId="072AABFD" w14:textId="6E60ACF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Diversification is not an automatic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reduction mechanism as its effectiveness depends on the co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how to optimally allocate resources. For example, </w:t>
      </w:r>
      <w:r w:rsidR="4652B728" w:rsidRPr="47575B0A">
        <w:rPr>
          <w:rFonts w:ascii="Times New Roman" w:eastAsia="Times New Roman" w:hAnsi="Times New Roman" w:cs="Times New Roman"/>
          <w:color w:val="000000" w:themeColor="text1"/>
        </w:rPr>
        <w:t>international</w:t>
      </w:r>
      <w:r w:rsidRPr="47575B0A">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increases </w:t>
      </w:r>
      <w:proofErr w:type="gramStart"/>
      <w:r w:rsidRPr="47575B0A">
        <w:rPr>
          <w:rFonts w:ascii="Times New Roman" w:eastAsia="Times New Roman" w:hAnsi="Times New Roman" w:cs="Times New Roman"/>
          <w:color w:val="000000" w:themeColor="text1"/>
        </w:rPr>
        <w:t>over  time</w:t>
      </w:r>
      <w:proofErr w:type="gramEnd"/>
      <w:r w:rsidRPr="47575B0A">
        <w:rPr>
          <w:rFonts w:ascii="Times New Roman" w:eastAsia="Times New Roman" w:hAnsi="Times New Roman" w:cs="Times New Roman"/>
          <w:color w:val="000000" w:themeColor="text1"/>
        </w:rPr>
        <w:t xml:space="preserve">, international portfolio diversification remains if investors continuously </w:t>
      </w:r>
      <w:r w:rsidRPr="47575B0A">
        <w:rPr>
          <w:rFonts w:ascii="Times New Roman" w:eastAsia="Times New Roman" w:hAnsi="Times New Roman" w:cs="Times New Roman"/>
          <w:color w:val="000000" w:themeColor="text1"/>
        </w:rPr>
        <w:lastRenderedPageBreak/>
        <w:t xml:space="preserve">measure correlation among these markets so as to create an optimal market combination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w:t>
      </w:r>
    </w:p>
    <w:p w14:paraId="56356AEA" w14:textId="63B8648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To deal with the problems that come with diversification, portfolio management has become a step</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markets keep evolving, portfolio management is essential for long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growth </w:t>
      </w:r>
      <w:r w:rsidR="79E2A240"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maximize returns (Yadav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The main goal of portfolio construction is to </w:t>
      </w:r>
      <w:r w:rsidR="28879BD1" w:rsidRPr="47575B0A">
        <w:rPr>
          <w:rFonts w:ascii="Times New Roman" w:eastAsia="Times New Roman" w:hAnsi="Times New Roman" w:cs="Times New Roman"/>
          <w:color w:val="000000" w:themeColor="text1"/>
        </w:rPr>
        <w:t>diversify</w:t>
      </w:r>
      <w:r w:rsidRPr="47575B0A">
        <w:rPr>
          <w:rFonts w:ascii="Times New Roman" w:eastAsia="Times New Roman" w:hAnsi="Times New Roman" w:cs="Times New Roman"/>
          <w:color w:val="000000" w:themeColor="text1"/>
        </w:rPr>
        <w:t xml:space="preserve"> unsystematic risk through a two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allocation plan. Firstly, investors balance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by splitting funds between the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w:t>
      </w:r>
    </w:p>
    <w:p w14:paraId="504CECFE" w14:textId="3690B62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w:t>
      </w:r>
      <w:r w:rsidR="6FE3A5EF" w:rsidRPr="47575B0A">
        <w:rPr>
          <w:rFonts w:ascii="Times New Roman" w:eastAsia="Times New Roman" w:hAnsi="Times New Roman" w:cs="Times New Roman"/>
          <w:color w:val="000000" w:themeColor="text1"/>
        </w:rPr>
        <w:t>optimization</w:t>
      </w:r>
      <w:r w:rsidRPr="47575B0A">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47575B0A">
        <w:rPr>
          <w:rFonts w:ascii="Times New Roman" w:eastAsia="Times New Roman" w:hAnsi="Times New Roman" w:cs="Times New Roman"/>
          <w:color w:val="000000" w:themeColor="text1"/>
        </w:rPr>
        <w:t>volatility,</w:t>
      </w:r>
      <w:r w:rsidRPr="47575B0A">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47575B0A">
        <w:rPr>
          <w:rFonts w:ascii="Times New Roman" w:eastAsia="Times New Roman" w:hAnsi="Times New Roman" w:cs="Times New Roman"/>
          <w:color w:val="000000" w:themeColor="text1"/>
        </w:rPr>
        <w:t>Senescall</w:t>
      </w:r>
      <w:proofErr w:type="spellEnd"/>
      <w:r w:rsidRPr="47575B0A">
        <w:rPr>
          <w:rFonts w:ascii="Times New Roman" w:eastAsia="Times New Roman" w:hAnsi="Times New Roman" w:cs="Times New Roman"/>
          <w:color w:val="000000" w:themeColor="text1"/>
        </w:rPr>
        <w:t xml:space="preserve"> &amp; Low, 2024). Optimization models provide a structure for an investor's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and integrate multiple </w:t>
      </w:r>
      <w:r w:rsidRPr="47575B0A">
        <w:rPr>
          <w:rFonts w:ascii="Times New Roman" w:eastAsia="Times New Roman" w:hAnsi="Times New Roman" w:cs="Times New Roman"/>
          <w:color w:val="000000" w:themeColor="text1"/>
        </w:rPr>
        <w:lastRenderedPageBreak/>
        <w:t>dimensions of risk, including credit, market and liquidity risk, into a single process of making investment decisions rather than relying on traditional methods of diversification (</w:t>
      </w:r>
      <w:proofErr w:type="spellStart"/>
      <w:r w:rsidRPr="47575B0A">
        <w:rPr>
          <w:rFonts w:ascii="Times New Roman" w:eastAsia="Times New Roman" w:hAnsi="Times New Roman" w:cs="Times New Roman"/>
          <w:color w:val="000000" w:themeColor="text1"/>
        </w:rPr>
        <w:t>Tjiwidjaja</w:t>
      </w:r>
      <w:proofErr w:type="spellEnd"/>
      <w:r w:rsidRPr="47575B0A">
        <w:rPr>
          <w:rFonts w:ascii="Times New Roman" w:eastAsia="Times New Roman" w:hAnsi="Times New Roman" w:cs="Times New Roman"/>
          <w:color w:val="000000" w:themeColor="text1"/>
        </w:rPr>
        <w:t>, 2025).</w:t>
      </w:r>
    </w:p>
    <w:p w14:paraId="67C928FE" w14:textId="78898EA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introduced by Harry </w:t>
      </w:r>
      <w:r w:rsidR="046D6FE9" w:rsidRPr="47575B0A">
        <w:rPr>
          <w:rFonts w:ascii="Times New Roman" w:eastAsia="Times New Roman" w:hAnsi="Times New Roman" w:cs="Times New Roman"/>
          <w:color w:val="000000" w:themeColor="text1"/>
        </w:rPr>
        <w:t>Markowitz (</w:t>
      </w:r>
      <w:r w:rsidRPr="47575B0A">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47575B0A">
        <w:rPr>
          <w:rFonts w:ascii="Times New Roman" w:eastAsia="Times New Roman" w:hAnsi="Times New Roman" w:cs="Times New Roman"/>
          <w:color w:val="000000" w:themeColor="text1"/>
        </w:rPr>
        <w:t>Mba</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14:paraId="48C37B8C" w14:textId="1BB0959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Markowitz’s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investors during extreme events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especially in emerging markets which are </w:t>
      </w:r>
      <w:r w:rsidRPr="47575B0A">
        <w:rPr>
          <w:rFonts w:ascii="Times New Roman" w:eastAsia="Times New Roman" w:hAnsi="Times New Roman" w:cs="Times New Roman"/>
          <w:color w:val="000000" w:themeColor="text1"/>
        </w:rPr>
        <w:lastRenderedPageBreak/>
        <w:t>marked by high volatility, low liquidity and asymmetric information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w:t>
      </w:r>
      <w:r w:rsidRPr="47575B0A">
        <w:rPr>
          <w:rFonts w:ascii="Times New Roman" w:eastAsia="Times New Roman" w:hAnsi="Times New Roman" w:cs="Times New Roman"/>
          <w:i/>
          <w:iCs/>
          <w:color w:val="000000" w:themeColor="text1"/>
        </w:rPr>
        <w:t>)</w:t>
      </w:r>
      <w:r w:rsidRPr="47575B0A">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shows that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doesn't truly perceive the </w:t>
      </w:r>
      <w:r w:rsidR="23513D7A"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perception of risk.</w:t>
      </w:r>
    </w:p>
    <w:p w14:paraId="4F8DF4E1" w14:textId="4B78CBB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Due to the limitations of the mean and variance approach, other risk measures like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emerged.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w:t>
      </w:r>
    </w:p>
    <w:p w14:paraId="577E1F59" w14:textId="586EDA7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(2022). Moreover,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Moreover, it is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additive, meaning the sum of individual asset </w:t>
      </w:r>
      <w:proofErr w:type="spellStart"/>
      <w:r w:rsidRPr="47575B0A">
        <w:rPr>
          <w:rFonts w:ascii="Times New Roman" w:eastAsia="Times New Roman" w:hAnsi="Times New Roman" w:cs="Times New Roman"/>
          <w:color w:val="000000" w:themeColor="text1"/>
        </w:rPr>
        <w:t>VaRs</w:t>
      </w:r>
      <w:proofErr w:type="spellEnd"/>
      <w:r w:rsidRPr="47575B0A">
        <w:rPr>
          <w:rFonts w:ascii="Times New Roman" w:eastAsia="Times New Roman" w:hAnsi="Times New Roman" w:cs="Times New Roman"/>
          <w:color w:val="000000" w:themeColor="text1"/>
        </w:rPr>
        <w:t xml:space="preserve"> can underestimate total portfolio risk.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All of these </w:t>
      </w:r>
      <w:r w:rsidR="38A31958" w:rsidRPr="47575B0A">
        <w:rPr>
          <w:rFonts w:ascii="Times New Roman" w:eastAsia="Times New Roman" w:hAnsi="Times New Roman" w:cs="Times New Roman"/>
          <w:color w:val="000000" w:themeColor="text1"/>
        </w:rPr>
        <w:t>highlight</w:t>
      </w:r>
      <w:r w:rsidRPr="47575B0A">
        <w:rPr>
          <w:rFonts w:ascii="Times New Roman" w:eastAsia="Times New Roman" w:hAnsi="Times New Roman" w:cs="Times New Roman"/>
          <w:color w:val="000000" w:themeColor="text1"/>
        </w:rPr>
        <w:t xml:space="preserve"> the need for a risk measure to show severity of extreme losses thereby showing the need for a technique that goes beyond the traditional measures thereby aiding investors in the construction of a more robust portfolio (Fan, 2020).</w:t>
      </w:r>
    </w:p>
    <w:p w14:paraId="6B08B94E" w14:textId="0AE43C8A"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Consequently, portfolio optimization models based solely on historical data can misrepresent future risk, indicating the need for methods that incorporate predictive approaches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varying dynamics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forecasting (</w:t>
      </w:r>
      <w:proofErr w:type="spellStart"/>
      <w:r w:rsidRPr="47575B0A">
        <w:rPr>
          <w:rFonts w:ascii="Times New Roman" w:eastAsia="Times New Roman" w:hAnsi="Times New Roman" w:cs="Times New Roman"/>
          <w:color w:val="000000" w:themeColor="text1"/>
        </w:rPr>
        <w:t>Sahiner</w:t>
      </w:r>
      <w:proofErr w:type="spellEnd"/>
      <w:r w:rsidRPr="47575B0A">
        <w:rPr>
          <w:rFonts w:ascii="Times New Roman" w:eastAsia="Times New Roman" w:hAnsi="Times New Roman" w:cs="Times New Roman"/>
          <w:color w:val="000000" w:themeColor="text1"/>
        </w:rPr>
        <w:t xml:space="preserve">, 2022;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14:paraId="2E29AB3F" w14:textId="54E9E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47575B0A">
        <w:rPr>
          <w:rFonts w:ascii="Times New Roman" w:eastAsia="Times New Roman" w:hAnsi="Times New Roman" w:cs="Times New Roman"/>
          <w:color w:val="000000" w:themeColor="text1"/>
        </w:rPr>
        <w:t>Alfeus</w:t>
      </w:r>
      <w:proofErr w:type="spellEnd"/>
      <w:r w:rsidRPr="47575B0A">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problems because of randomness and randomness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47575B0A">
        <w:rPr>
          <w:rFonts w:ascii="Times New Roman" w:eastAsia="Times New Roman" w:hAnsi="Times New Roman" w:cs="Times New Roman"/>
          <w:color w:val="000000" w:themeColor="text1"/>
        </w:rPr>
        <w:t xml:space="preserve">2020; </w:t>
      </w:r>
      <w:proofErr w:type="spellStart"/>
      <w:r w:rsidR="7515CDAC"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w:t>
      </w:r>
      <w:r w:rsidR="1A77D2E2" w:rsidRPr="47575B0A">
        <w:rPr>
          <w:rFonts w:ascii="Times New Roman" w:eastAsia="Times New Roman" w:hAnsi="Times New Roman" w:cs="Times New Roman"/>
          <w:color w:val="000000" w:themeColor="text1"/>
        </w:rPr>
        <w:t>2025; Kevin</w:t>
      </w:r>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Hence, forecasting models not only assist in estimating predictable </w:t>
      </w:r>
      <w:r w:rsidRPr="47575B0A">
        <w:rPr>
          <w:rFonts w:ascii="Times New Roman" w:eastAsia="Times New Roman" w:hAnsi="Times New Roman" w:cs="Times New Roman"/>
          <w:color w:val="000000" w:themeColor="text1"/>
        </w:rPr>
        <w:lastRenderedPageBreak/>
        <w:t>risks and rewards but are also helpful in understanding the importance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techniques.</w:t>
      </w:r>
    </w:p>
    <w:p w14:paraId="0375FC4B" w14:textId="0E0AD2C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relationships in financial time series data (</w:t>
      </w:r>
      <w:proofErr w:type="spellStart"/>
      <w:r w:rsidRPr="47575B0A">
        <w:rPr>
          <w:rFonts w:ascii="Times New Roman" w:eastAsia="Times New Roman" w:hAnsi="Times New Roman" w:cs="Times New Roman"/>
          <w:color w:val="000000" w:themeColor="text1"/>
        </w:rPr>
        <w:t>Naeem</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0CD273C8" w14:textId="6F99F3B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intersection and fusion between predictive models such as machine learning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47575B0A">
        <w:rPr>
          <w:rFonts w:ascii="Times New Roman" w:eastAsia="Times New Roman" w:hAnsi="Times New Roman" w:cs="Times New Roman"/>
          <w:color w:val="000000" w:themeColor="text1"/>
        </w:rPr>
        <w:lastRenderedPageBreak/>
        <w:t>markets and developing markets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Kevin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and accordingly underlay and serve as background for this research work and project. </w:t>
      </w:r>
    </w:p>
    <w:p w14:paraId="7567B385" w14:textId="643B9CC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1.2 Statement of the Research Problem</w:t>
      </w:r>
    </w:p>
    <w:p w14:paraId="0DC0875D" w14:textId="55B2DF86"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increasing variety of investment opportunities (</w:t>
      </w:r>
      <w:proofErr w:type="spellStart"/>
      <w:r w:rsidRPr="47575B0A">
        <w:rPr>
          <w:rFonts w:ascii="Times New Roman" w:eastAsia="Times New Roman" w:hAnsi="Times New Roman" w:cs="Times New Roman"/>
          <w:color w:val="000000" w:themeColor="text1"/>
        </w:rPr>
        <w:t>Lii</w:t>
      </w:r>
      <w:proofErr w:type="spellEnd"/>
      <w:r w:rsidRPr="47575B0A">
        <w:rPr>
          <w:rFonts w:ascii="Times New Roman" w:eastAsia="Times New Roman" w:hAnsi="Times New Roman" w:cs="Times New Roman"/>
          <w:color w:val="000000" w:themeColor="text1"/>
        </w:rPr>
        <w:t xml:space="preserve">, 2023). This is seen on Nigerian Exchange Group (NGX)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one of Africa's leading financial </w:t>
      </w:r>
      <w:r w:rsidR="62DFBB47" w:rsidRPr="47575B0A">
        <w:rPr>
          <w:rFonts w:ascii="Times New Roman" w:eastAsia="Times New Roman" w:hAnsi="Times New Roman" w:cs="Times New Roman"/>
          <w:color w:val="000000" w:themeColor="text1"/>
        </w:rPr>
        <w:t>hubs</w:t>
      </w:r>
      <w:r w:rsidRPr="47575B0A">
        <w:rPr>
          <w:rFonts w:ascii="Times New Roman" w:eastAsia="Times New Roman" w:hAnsi="Times New Roman" w:cs="Times New Roman"/>
          <w:color w:val="000000" w:themeColor="text1"/>
        </w:rPr>
        <w:t xml:space="preserve">, where the number of securities listed has increased from 19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hampers the predictability of market fluctuations, as seen on the NGX.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analysis, and market shifts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14:paraId="47D83BB5" w14:textId="62CDBD9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an efficient portfolio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47575B0A">
        <w:rPr>
          <w:rFonts w:ascii="Times New Roman" w:eastAsia="Times New Roman" w:hAnsi="Times New Roman" w:cs="Times New Roman"/>
          <w:color w:val="000000" w:themeColor="text1"/>
        </w:rPr>
        <w:lastRenderedPageBreak/>
        <w:t>improving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However, </w:t>
      </w:r>
      <w:proofErr w:type="spellStart"/>
      <w:r w:rsidRPr="47575B0A">
        <w:rPr>
          <w:rFonts w:ascii="Times New Roman" w:eastAsia="Times New Roman" w:hAnsi="Times New Roman" w:cs="Times New Roman"/>
          <w:color w:val="000000" w:themeColor="text1"/>
        </w:rPr>
        <w:t>misestimation</w:t>
      </w:r>
      <w:proofErr w:type="spellEnd"/>
      <w:r w:rsidRPr="47575B0A">
        <w:rPr>
          <w:rFonts w:ascii="Times New Roman" w:eastAsia="Times New Roman" w:hAnsi="Times New Roman" w:cs="Times New Roman"/>
          <w:color w:val="000000" w:themeColor="text1"/>
        </w:rPr>
        <w:t xml:space="preserve"> of these inputs can distort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return profile and investment outcomes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 This suggests that these advantages critically depend on how risk and returns are measured and anticipated.</w:t>
      </w:r>
    </w:p>
    <w:p w14:paraId="545AB6D5" w14:textId="3CFEC03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in periods of crises, extreme events and recessions such as </w:t>
      </w:r>
      <w:r w:rsidR="62B284CC" w:rsidRPr="47575B0A">
        <w:rPr>
          <w:rFonts w:ascii="Times New Roman" w:eastAsia="Times New Roman" w:hAnsi="Times New Roman" w:cs="Times New Roman"/>
          <w:color w:val="000000" w:themeColor="text1"/>
        </w:rPr>
        <w:t>the 2020</w:t>
      </w:r>
      <w:r w:rsidRPr="47575B0A">
        <w:rPr>
          <w:rFonts w:ascii="Times New Roman" w:eastAsia="Times New Roman" w:hAnsi="Times New Roman" w:cs="Times New Roman"/>
          <w:color w:val="000000" w:themeColor="text1"/>
        </w:rPr>
        <w:t xml:space="preserv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2023). Empirical studies also show that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2009 diversification delivers less benefits as correlations among assets rise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Traditional measures underestimate extreme losses such as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has been criticized not to show the magnitude of extreme losses and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additive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In emerging markets, these issues are amplified due to structural issues, </w:t>
      </w:r>
      <w:r w:rsidR="2A433FA1" w:rsidRPr="47575B0A">
        <w:rPr>
          <w:rFonts w:ascii="Times New Roman" w:eastAsia="Times New Roman" w:hAnsi="Times New Roman" w:cs="Times New Roman"/>
          <w:color w:val="000000" w:themeColor="text1"/>
        </w:rPr>
        <w:t>illiquidity,</w:t>
      </w:r>
      <w:r w:rsidRPr="47575B0A">
        <w:rPr>
          <w:rFonts w:ascii="Times New Roman" w:eastAsia="Times New Roman" w:hAnsi="Times New Roman" w:cs="Times New Roman"/>
          <w:color w:val="000000" w:themeColor="text1"/>
        </w:rPr>
        <w:t xml:space="preserve"> and fat tail distributions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47575B0A">
        <w:rPr>
          <w:rFonts w:ascii="Times New Roman" w:eastAsia="Times New Roman" w:hAnsi="Times New Roman" w:cs="Times New Roman"/>
          <w:color w:val="000000" w:themeColor="text1"/>
        </w:rPr>
        <w:t>themselves,</w:t>
      </w:r>
      <w:r w:rsidRPr="47575B0A">
        <w:rPr>
          <w:rFonts w:ascii="Times New Roman" w:eastAsia="Times New Roman" w:hAnsi="Times New Roman" w:cs="Times New Roman"/>
          <w:color w:val="000000" w:themeColor="text1"/>
        </w:rPr>
        <w:t xml:space="preserve"> but how expected risks and returns are computed.</w:t>
      </w:r>
    </w:p>
    <w:p w14:paraId="0354711F" w14:textId="0524F7C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47575B0A">
        <w:rPr>
          <w:rFonts w:ascii="Times New Roman" w:eastAsia="Times New Roman" w:hAnsi="Times New Roman" w:cs="Times New Roman"/>
          <w:color w:val="000000" w:themeColor="text1"/>
        </w:rPr>
        <w:t>criticised</w:t>
      </w:r>
      <w:proofErr w:type="spellEnd"/>
      <w:r w:rsidRPr="47575B0A">
        <w:rPr>
          <w:rFonts w:ascii="Times New Roman" w:eastAsia="Times New Roman" w:hAnsi="Times New Roman" w:cs="Times New Roman"/>
          <w:color w:val="000000" w:themeColor="text1"/>
        </w:rPr>
        <w:t xml:space="preserve">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model for estimation errors in the expected return </w:t>
      </w:r>
      <w:r w:rsidRPr="47575B0A">
        <w:rPr>
          <w:rFonts w:ascii="Times New Roman" w:eastAsia="Times New Roman" w:hAnsi="Times New Roman" w:cs="Times New Roman"/>
          <w:color w:val="000000" w:themeColor="text1"/>
        </w:rPr>
        <w:lastRenderedPageBreak/>
        <w:t>vector and covariance matrix (Job, 2022) giving rise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w:t>
      </w:r>
      <w:proofErr w:type="spellStart"/>
      <w:r w:rsidRPr="47575B0A">
        <w:rPr>
          <w:rFonts w:ascii="Times New Roman" w:eastAsia="Times New Roman" w:hAnsi="Times New Roman" w:cs="Times New Roman"/>
          <w:color w:val="000000" w:themeColor="text1"/>
        </w:rPr>
        <w:t>Martínez</w:t>
      </w:r>
      <w:r w:rsidR="3C49F491">
        <w:noBreakHyphen/>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data performance, have stability assumptions, failure to capture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and time varying dynamics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2025;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14:paraId="675E5285" w14:textId="53916BB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47575B0A">
        <w:rPr>
          <w:rFonts w:ascii="Times New Roman" w:eastAsia="Times New Roman" w:hAnsi="Times New Roman" w:cs="Times New Roman"/>
          <w:color w:val="000000" w:themeColor="text1"/>
        </w:rPr>
        <w:t>Martíinez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As illustrated by relevant research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644D706B" w14:textId="02A1210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using classical frameworks </w:t>
      </w:r>
      <w:r w:rsidR="65CA31DB" w:rsidRPr="47575B0A">
        <w:rPr>
          <w:rFonts w:ascii="Times New Roman" w:eastAsia="Times New Roman" w:hAnsi="Times New Roman" w:cs="Times New Roman"/>
          <w:color w:val="000000" w:themeColor="text1"/>
        </w:rPr>
        <w:t>has</w:t>
      </w:r>
      <w:r w:rsidRPr="47575B0A">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proposed by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47575B0A">
        <w:rPr>
          <w:rFonts w:ascii="Times New Roman" w:eastAsia="Times New Roman" w:hAnsi="Times New Roman" w:cs="Times New Roman"/>
          <w:color w:val="000000" w:themeColor="text1"/>
        </w:rPr>
        <w:t>With</w:t>
      </w:r>
      <w:r w:rsidRPr="47575B0A">
        <w:rPr>
          <w:rFonts w:ascii="Times New Roman" w:eastAsia="Times New Roman" w:hAnsi="Times New Roman" w:cs="Times New Roman"/>
          <w:color w:val="000000" w:themeColor="text1"/>
        </w:rPr>
        <w:t xml:space="preserve"> this measure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rather than variance, it has been shown to be more robust than before when </w:t>
      </w:r>
      <w:r w:rsidRPr="47575B0A">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essentially depends on how well </w:t>
      </w:r>
      <w:r w:rsidR="4CF19147" w:rsidRPr="47575B0A">
        <w:rPr>
          <w:rFonts w:ascii="Times New Roman" w:eastAsia="Times New Roman" w:hAnsi="Times New Roman" w:cs="Times New Roman"/>
          <w:color w:val="000000" w:themeColor="text1"/>
        </w:rPr>
        <w:t>input</w:t>
      </w:r>
      <w:r w:rsidRPr="47575B0A">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distributions. This indicates an important need for a hybrid combination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and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14:paraId="3807856C" w14:textId="20D8690E"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1.3 Research Questions</w:t>
      </w:r>
    </w:p>
    <w:p w14:paraId="73197A15" w14:textId="5AB70C7E"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study aims to answer the following questions:</w:t>
      </w:r>
    </w:p>
    <w:p w14:paraId="18E052C2" w14:textId="0BC2A90C"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Can machine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learning models improve the accuracy of stock return forecasts on the NSE?</w:t>
      </w:r>
    </w:p>
    <w:p w14:paraId="111DBA17" w14:textId="568C6B1E"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Does incorporating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return forecasts into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improve portfolio performance?</w:t>
      </w:r>
    </w:p>
    <w:p w14:paraId="06E9129A" w14:textId="717BF407"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 does the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 compare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portfolios?</w:t>
      </w:r>
    </w:p>
    <w:p w14:paraId="1EE3C4A4" w14:textId="3CAE0DB9"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1.4 Objectives of the Study</w:t>
      </w:r>
    </w:p>
    <w:p w14:paraId="3E703960" w14:textId="7F305DE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Following the research questions highlighted above, the broad objective of this study is to examine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optimization on the Nigerian Exchange Group (NGX) while the specific objectives are to:</w:t>
      </w:r>
    </w:p>
    <w:p w14:paraId="6ACE190A" w14:textId="58BCE5D1"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 ML models (Random Forest and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to forecast stock returns.</w:t>
      </w:r>
    </w:p>
    <w:p w14:paraId="0EF13F81" w14:textId="6F61BADC"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Integrate predicted returns into a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framework.</w:t>
      </w:r>
    </w:p>
    <w:p w14:paraId="5C503977" w14:textId="229D6B88"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Compare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portfolios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using metrics such as Sharpe ratio, Annualized returns, </w:t>
      </w:r>
      <w:proofErr w:type="spellStart"/>
      <w:r w:rsidRPr="47575B0A">
        <w:rPr>
          <w:rFonts w:ascii="Times New Roman" w:eastAsia="Times New Roman" w:hAnsi="Times New Roman" w:cs="Times New Roman"/>
          <w:color w:val="000000" w:themeColor="text1"/>
        </w:rPr>
        <w:t>Sortino</w:t>
      </w:r>
      <w:proofErr w:type="spellEnd"/>
      <w:r w:rsidRPr="47575B0A">
        <w:rPr>
          <w:rFonts w:ascii="Times New Roman" w:eastAsia="Times New Roman" w:hAnsi="Times New Roman" w:cs="Times New Roman"/>
          <w:color w:val="000000" w:themeColor="text1"/>
        </w:rPr>
        <w:t xml:space="preserve"> ratio, and maximum drawdown.</w:t>
      </w:r>
    </w:p>
    <w:p w14:paraId="6882AFFB" w14:textId="56F19A32"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Assess robustness of portfolios under extreme market conditions.</w:t>
      </w:r>
    </w:p>
    <w:p w14:paraId="03837A58" w14:textId="0468B87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1.5 Justification of the Study</w:t>
      </w:r>
    </w:p>
    <w:p w14:paraId="15A9287C" w14:textId="7AB104F5"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modern finance, portfolio optimization has evolved to be central investment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both in theory and practice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47575B0A">
        <w:rPr>
          <w:rFonts w:ascii="Times New Roman" w:eastAsia="Times New Roman" w:hAnsi="Times New Roman" w:cs="Times New Roman"/>
          <w:color w:val="000000" w:themeColor="text1"/>
        </w:rPr>
        <w:t>traditonal</w:t>
      </w:r>
      <w:proofErr w:type="spellEnd"/>
      <w:r w:rsidRPr="47575B0A">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especially during periods of stress. This is </w:t>
      </w:r>
      <w:r w:rsidR="6644CEBE" w:rsidRPr="47575B0A">
        <w:rPr>
          <w:rFonts w:ascii="Times New Roman" w:eastAsia="Times New Roman" w:hAnsi="Times New Roman" w:cs="Times New Roman"/>
          <w:color w:val="000000" w:themeColor="text1"/>
        </w:rPr>
        <w:t>the cause</w:t>
      </w:r>
      <w:r w:rsidRPr="47575B0A">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47575B0A">
        <w:rPr>
          <w:rFonts w:ascii="Times New Roman" w:eastAsia="Times New Roman" w:hAnsi="Times New Roman" w:cs="Times New Roman"/>
          <w:color w:val="000000" w:themeColor="text1"/>
        </w:rPr>
        <w:t>instability,</w:t>
      </w:r>
      <w:r w:rsidRPr="47575B0A">
        <w:rPr>
          <w:rFonts w:ascii="Times New Roman" w:eastAsia="Times New Roman" w:hAnsi="Times New Roman" w:cs="Times New Roman"/>
          <w:color w:val="000000" w:themeColor="text1"/>
        </w:rPr>
        <w:t xml:space="preserve"> and poor capital allocation. This has led </w:t>
      </w:r>
      <w:r w:rsidR="50B9A20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address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linearity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varying dynamics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47575B0A">
        <w:rPr>
          <w:rFonts w:ascii="Times New Roman" w:eastAsia="Times New Roman" w:hAnsi="Times New Roman" w:cs="Times New Roman"/>
          <w:color w:val="000000" w:themeColor="text1"/>
        </w:rPr>
        <w:t>reassment</w:t>
      </w:r>
      <w:proofErr w:type="spellEnd"/>
      <w:r w:rsidRPr="47575B0A">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14:paraId="34BBB1FC" w14:textId="0A4DB93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One, classical optimization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and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are foundational and </w:t>
      </w:r>
      <w:r w:rsidR="623DE374" w:rsidRPr="47575B0A">
        <w:rPr>
          <w:rFonts w:ascii="Times New Roman" w:eastAsia="Times New Roman" w:hAnsi="Times New Roman" w:cs="Times New Roman"/>
          <w:color w:val="000000" w:themeColor="text1"/>
        </w:rPr>
        <w:t>important,</w:t>
      </w:r>
      <w:r w:rsidRPr="47575B0A">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integrating ML models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measures into portfolio optimization particularly </w:t>
      </w:r>
      <w:r w:rsidRPr="47575B0A">
        <w:rPr>
          <w:rFonts w:ascii="Times New Roman" w:eastAsia="Times New Roman" w:hAnsi="Times New Roman" w:cs="Times New Roman"/>
          <w:color w:val="000000" w:themeColor="text1"/>
        </w:rPr>
        <w:lastRenderedPageBreak/>
        <w:t>in emerging markets, this may properly address these persistent limitations. Two,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 xml:space="preserve">2020; Wahid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During events such as </w:t>
      </w:r>
      <w:r w:rsidR="13EEB440" w:rsidRPr="47575B0A">
        <w:rPr>
          <w:rFonts w:ascii="Times New Roman" w:eastAsia="Times New Roman" w:hAnsi="Times New Roman" w:cs="Times New Roman"/>
          <w:color w:val="000000" w:themeColor="text1"/>
        </w:rPr>
        <w:t>the 2008</w:t>
      </w:r>
      <w:r w:rsidRPr="47575B0A">
        <w:rPr>
          <w:rFonts w:ascii="Times New Roman" w:eastAsia="Times New Roman" w:hAnsi="Times New Roman" w:cs="Times New Roman"/>
          <w:color w:val="000000" w:themeColor="text1"/>
        </w:rPr>
        <w:t xml:space="preserve"> financial crisis and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crash, portfolios that were constructed with </w:t>
      </w:r>
      <w:r w:rsidR="55FC43E8" w:rsidRPr="47575B0A">
        <w:rPr>
          <w:rFonts w:ascii="Times New Roman" w:eastAsia="Times New Roman" w:hAnsi="Times New Roman" w:cs="Times New Roman"/>
          <w:color w:val="000000" w:themeColor="text1"/>
        </w:rPr>
        <w:t>variance</w:t>
      </w:r>
      <w:r w:rsidR="3CB00BA7" w:rsidRPr="47575B0A">
        <w:rPr>
          <w:rFonts w:ascii="Times New Roman" w:eastAsia="Times New Roman" w:hAnsi="Times New Roman" w:cs="Times New Roman"/>
          <w:color w:val="000000" w:themeColor="text1"/>
        </w:rPr>
        <w:t>-</w:t>
      </w:r>
      <w:r w:rsidR="55FC43E8" w:rsidRPr="47575B0A">
        <w:rPr>
          <w:rFonts w:ascii="Times New Roman" w:eastAsia="Times New Roman" w:hAnsi="Times New Roman" w:cs="Times New Roman"/>
          <w:color w:val="000000" w:themeColor="text1"/>
        </w:rPr>
        <w:t>based</w:t>
      </w:r>
      <w:r w:rsidRPr="47575B0A">
        <w:rPr>
          <w:rFonts w:ascii="Times New Roman" w:eastAsia="Times New Roman" w:hAnsi="Times New Roman" w:cs="Times New Roman"/>
          <w:color w:val="000000" w:themeColor="text1"/>
        </w:rPr>
        <w:t xml:space="preserve"> measures either greatly underperformed or made huge losses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 Due to these limitations, it justifies the use of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as a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14:paraId="6EC61D8A" w14:textId="3CE6685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w:t>
      </w:r>
      <w:r w:rsidR="69689EFF"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w:t>
      </w:r>
      <w:r w:rsidR="31BE40A6"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47575B0A">
        <w:rPr>
          <w:rFonts w:ascii="Times New Roman" w:eastAsia="Times New Roman" w:hAnsi="Times New Roman" w:cs="Times New Roman"/>
          <w:color w:val="000000" w:themeColor="text1"/>
        </w:rPr>
        <w:t>station</w:t>
      </w:r>
      <w:r w:rsidR="2885E949" w:rsidRPr="47575B0A">
        <w:rPr>
          <w:rFonts w:ascii="Times New Roman" w:eastAsia="Times New Roman" w:hAnsi="Times New Roman" w:cs="Times New Roman"/>
          <w:color w:val="000000" w:themeColor="text1"/>
        </w:rPr>
        <w:t>a</w:t>
      </w:r>
      <w:r w:rsidR="7A2E36C3" w:rsidRPr="47575B0A">
        <w:rPr>
          <w:rFonts w:ascii="Times New Roman" w:eastAsia="Times New Roman" w:hAnsi="Times New Roman" w:cs="Times New Roman"/>
          <w:color w:val="000000" w:themeColor="text1"/>
        </w:rPr>
        <w:t>r</w:t>
      </w:r>
      <w:r w:rsidR="259F462C" w:rsidRPr="47575B0A">
        <w:rPr>
          <w:rFonts w:ascii="Times New Roman" w:eastAsia="Times New Roman" w:hAnsi="Times New Roman" w:cs="Times New Roman"/>
          <w:color w:val="000000" w:themeColor="text1"/>
        </w:rPr>
        <w:t>it</w:t>
      </w:r>
      <w:r w:rsidR="7A2E36C3" w:rsidRPr="47575B0A">
        <w:rPr>
          <w:rFonts w:ascii="Times New Roman" w:eastAsia="Times New Roman" w:hAnsi="Times New Roman" w:cs="Times New Roman"/>
          <w:color w:val="000000" w:themeColor="text1"/>
        </w:rPr>
        <w:t>y</w:t>
      </w:r>
      <w:r w:rsidRPr="47575B0A">
        <w:rPr>
          <w:rFonts w:ascii="Times New Roman" w:eastAsia="Times New Roman" w:hAnsi="Times New Roman" w:cs="Times New Roman"/>
          <w:color w:val="000000" w:themeColor="text1"/>
        </w:rPr>
        <w:t xml:space="preserve">. This implies that the models won't be able to capture nonlinear </w:t>
      </w:r>
      <w:r w:rsidR="66996024" w:rsidRPr="47575B0A">
        <w:rPr>
          <w:rFonts w:ascii="Times New Roman" w:eastAsia="Times New Roman" w:hAnsi="Times New Roman" w:cs="Times New Roman"/>
          <w:color w:val="000000" w:themeColor="text1"/>
        </w:rPr>
        <w:t>relationships</w:t>
      </w:r>
      <w:r w:rsidRPr="47575B0A">
        <w:rPr>
          <w:rFonts w:ascii="Times New Roman" w:eastAsia="Times New Roman" w:hAnsi="Times New Roman" w:cs="Times New Roman"/>
          <w:color w:val="000000" w:themeColor="text1"/>
        </w:rPr>
        <w:t xml:space="preserve">, time </w:t>
      </w:r>
      <w:r w:rsidR="6F49E6E4" w:rsidRPr="47575B0A">
        <w:rPr>
          <w:rFonts w:ascii="Times New Roman" w:eastAsia="Times New Roman" w:hAnsi="Times New Roman" w:cs="Times New Roman"/>
          <w:color w:val="000000" w:themeColor="text1"/>
        </w:rPr>
        <w:t>varying,</w:t>
      </w:r>
      <w:r w:rsidRPr="47575B0A">
        <w:rPr>
          <w:rFonts w:ascii="Times New Roman" w:eastAsia="Times New Roman" w:hAnsi="Times New Roman" w:cs="Times New Roman"/>
          <w:color w:val="000000" w:themeColor="text1"/>
        </w:rPr>
        <w:t xml:space="preserve"> and complex market dynamics (</w:t>
      </w:r>
      <w:proofErr w:type="spellStart"/>
      <w:r w:rsidRPr="47575B0A">
        <w:rPr>
          <w:rFonts w:ascii="Times New Roman" w:eastAsia="Times New Roman" w:hAnsi="Times New Roman" w:cs="Times New Roman"/>
          <w:color w:val="000000" w:themeColor="text1"/>
        </w:rPr>
        <w:t>Lyu</w:t>
      </w:r>
      <w:proofErr w:type="spellEnd"/>
      <w:r w:rsidRPr="47575B0A">
        <w:rPr>
          <w:rFonts w:ascii="Times New Roman" w:eastAsia="Times New Roman" w:hAnsi="Times New Roman" w:cs="Times New Roman"/>
          <w:color w:val="000000" w:themeColor="text1"/>
        </w:rPr>
        <w:t>, 2024</w:t>
      </w:r>
      <w:r w:rsidR="2F288F03"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These improved forecasts directly </w:t>
      </w:r>
      <w:r w:rsidR="0A87E54C" w:rsidRPr="47575B0A">
        <w:rPr>
          <w:rFonts w:ascii="Times New Roman" w:eastAsia="Times New Roman" w:hAnsi="Times New Roman" w:cs="Times New Roman"/>
          <w:color w:val="000000" w:themeColor="text1"/>
        </w:rPr>
        <w:t>make</w:t>
      </w:r>
      <w:r w:rsidRPr="47575B0A">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However, to </w:t>
      </w:r>
      <w:r w:rsidRPr="47575B0A">
        <w:rPr>
          <w:rFonts w:ascii="Times New Roman" w:eastAsia="Times New Roman" w:hAnsi="Times New Roman" w:cs="Times New Roman"/>
          <w:color w:val="000000" w:themeColor="text1"/>
        </w:rPr>
        <w:lastRenderedPageBreak/>
        <w:t>achieve the full benefits of ML forecasts, it needs to be effectively integrated into portfolio optimization frameworks rather than used in isolation. Hence, this necessitates the study.</w:t>
      </w:r>
    </w:p>
    <w:p w14:paraId="295B606C" w14:textId="09456A4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47575B0A">
        <w:rPr>
          <w:rFonts w:ascii="Times New Roman" w:eastAsia="Times New Roman" w:hAnsi="Times New Roman" w:cs="Times New Roman"/>
          <w:color w:val="000000" w:themeColor="text1"/>
        </w:rPr>
        <w:t>separate</w:t>
      </w:r>
      <w:r w:rsidRPr="47575B0A">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Although joint forecasting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optimization models have been observed to outperform traditional models and achieve better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performance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these studies are few and limited and even fewer 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existent in emerging markets. This uniquely positions this study as a unified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framework to enhance robustness, </w:t>
      </w:r>
      <w:r w:rsidR="19D645E9" w:rsidRPr="47575B0A">
        <w:rPr>
          <w:rFonts w:ascii="Times New Roman" w:eastAsia="Times New Roman" w:hAnsi="Times New Roman" w:cs="Times New Roman"/>
          <w:color w:val="000000" w:themeColor="text1"/>
        </w:rPr>
        <w:t>coherence,</w:t>
      </w:r>
      <w:r w:rsidRPr="47575B0A">
        <w:rPr>
          <w:rFonts w:ascii="Times New Roman" w:eastAsia="Times New Roman" w:hAnsi="Times New Roman" w:cs="Times New Roman"/>
          <w:color w:val="000000" w:themeColor="text1"/>
        </w:rPr>
        <w:t xml:space="preserve"> and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relevance of portfolio decisions. Six, most portfolio optimization and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47575B0A">
        <w:rPr>
          <w:rFonts w:ascii="Times New Roman" w:eastAsia="Times New Roman" w:hAnsi="Times New Roman" w:cs="Times New Roman"/>
          <w:color w:val="000000" w:themeColor="text1"/>
        </w:rPr>
        <w:t>these leads</w:t>
      </w:r>
      <w:r w:rsidRPr="47575B0A">
        <w:rPr>
          <w:rFonts w:ascii="Times New Roman" w:eastAsia="Times New Roman" w:hAnsi="Times New Roman" w:cs="Times New Roman"/>
          <w:color w:val="000000" w:themeColor="text1"/>
        </w:rPr>
        <w:t xml:space="preserve"> to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forecasts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on the NGX.</w:t>
      </w:r>
    </w:p>
    <w:p w14:paraId="519AB58D" w14:textId="1A70122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Together,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such as the Nigerian Exchange Group (NGX) </w:t>
      </w:r>
      <w:r w:rsidR="2F56BDA8" w:rsidRPr="47575B0A">
        <w:rPr>
          <w:rFonts w:ascii="Times New Roman" w:eastAsia="Times New Roman" w:hAnsi="Times New Roman" w:cs="Times New Roman"/>
          <w:color w:val="000000" w:themeColor="text1"/>
        </w:rPr>
        <w:t>remains</w:t>
      </w:r>
      <w:r w:rsidRPr="47575B0A">
        <w:rPr>
          <w:rFonts w:ascii="Times New Roman" w:eastAsia="Times New Roman" w:hAnsi="Times New Roman" w:cs="Times New Roman"/>
          <w:color w:val="000000" w:themeColor="text1"/>
        </w:rPr>
        <w:t xml:space="preserve"> under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explored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2025). This necessitates the study not only for academics and researchers but also for real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w:t>
      </w:r>
    </w:p>
    <w:p w14:paraId="1BDC2C71" w14:textId="140CE9A6"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1.6 Scope of the Study</w:t>
      </w:r>
    </w:p>
    <w:p w14:paraId="683B6AB4" w14:textId="4272B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study examines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optimization on the Nigerian Exchange Group (NGX). Weekly price data on </w:t>
      </w:r>
      <w:r w:rsidR="00A551E6">
        <w:rPr>
          <w:rFonts w:ascii="Times New Roman" w:eastAsia="Times New Roman" w:hAnsi="Times New Roman" w:cs="Times New Roman"/>
          <w:color w:val="000000" w:themeColor="text1"/>
        </w:rPr>
        <w:t>selected companies in the NGX Pension</w:t>
      </w:r>
      <w:r w:rsidRPr="47575B0A">
        <w:rPr>
          <w:rFonts w:ascii="Times New Roman" w:eastAsia="Times New Roman" w:hAnsi="Times New Roman" w:cs="Times New Roman"/>
          <w:color w:val="000000" w:themeColor="text1"/>
        </w:rPr>
        <w:t xml:space="preserve"> Index between the </w:t>
      </w:r>
      <w:proofErr w:type="gramStart"/>
      <w:r w:rsidRPr="47575B0A">
        <w:rPr>
          <w:rFonts w:ascii="Times New Roman" w:eastAsia="Times New Roman" w:hAnsi="Times New Roman" w:cs="Times New Roman"/>
          <w:color w:val="000000" w:themeColor="text1"/>
        </w:rPr>
        <w:t>period</w:t>
      </w:r>
      <w:proofErr w:type="gramEnd"/>
      <w:r w:rsidRPr="47575B0A">
        <w:rPr>
          <w:rFonts w:ascii="Times New Roman" w:eastAsia="Times New Roman" w:hAnsi="Times New Roman" w:cs="Times New Roman"/>
          <w:color w:val="000000" w:themeColor="text1"/>
        </w:rPr>
        <w:t xml:space="preserve"> of 2010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2025 will be </w:t>
      </w:r>
      <w:r w:rsidR="2C1846AE" w:rsidRPr="47575B0A">
        <w:rPr>
          <w:rFonts w:ascii="Times New Roman" w:eastAsia="Times New Roman" w:hAnsi="Times New Roman" w:cs="Times New Roman"/>
          <w:color w:val="000000" w:themeColor="text1"/>
        </w:rPr>
        <w:t>utilized</w:t>
      </w:r>
      <w:r w:rsidRPr="47575B0A">
        <w:rPr>
          <w:rFonts w:ascii="Times New Roman" w:eastAsia="Times New Roman" w:hAnsi="Times New Roman" w:cs="Times New Roman"/>
          <w:color w:val="000000" w:themeColor="text1"/>
        </w:rPr>
        <w:t xml:space="preserve"> for the study. This study could not </w:t>
      </w:r>
      <w:r w:rsidR="441465E5" w:rsidRPr="47575B0A">
        <w:rPr>
          <w:rFonts w:ascii="Times New Roman" w:eastAsia="Times New Roman" w:hAnsi="Times New Roman" w:cs="Times New Roman"/>
          <w:color w:val="000000" w:themeColor="text1"/>
        </w:rPr>
        <w:t>extend</w:t>
      </w:r>
      <w:r w:rsidRPr="47575B0A">
        <w:rPr>
          <w:rFonts w:ascii="Times New Roman" w:eastAsia="Times New Roman" w:hAnsi="Times New Roman" w:cs="Times New Roman"/>
          <w:color w:val="000000" w:themeColor="text1"/>
        </w:rPr>
        <w:t xml:space="preserve"> beyond the selected time frame due to unavailability of price data due to </w:t>
      </w:r>
      <w:r w:rsidR="31EA3651" w:rsidRPr="47575B0A">
        <w:rPr>
          <w:rFonts w:ascii="Times New Roman" w:eastAsia="Times New Roman" w:hAnsi="Times New Roman" w:cs="Times New Roman"/>
          <w:color w:val="000000" w:themeColor="text1"/>
        </w:rPr>
        <w:t>the date</w:t>
      </w:r>
      <w:r w:rsidRPr="47575B0A">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14:paraId="656490B3" w14:textId="4910F827"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1.7 Organization of the Study</w:t>
      </w:r>
    </w:p>
    <w:p w14:paraId="2EC9D89A" w14:textId="219468D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47575B0A">
        <w:rPr>
          <w:rFonts w:ascii="Times New Roman" w:eastAsia="Times New Roman" w:hAnsi="Times New Roman" w:cs="Times New Roman"/>
          <w:color w:val="000000" w:themeColor="text1"/>
        </w:rPr>
        <w:t>in</w:t>
      </w:r>
      <w:r w:rsidRPr="47575B0A">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47575B0A">
        <w:rPr>
          <w:rFonts w:ascii="Times New Roman" w:eastAsia="Times New Roman" w:hAnsi="Times New Roman" w:cs="Times New Roman"/>
          <w:color w:val="000000" w:themeColor="text1"/>
        </w:rPr>
        <w:t>recommendations,</w:t>
      </w:r>
      <w:r w:rsidRPr="47575B0A">
        <w:rPr>
          <w:rFonts w:ascii="Times New Roman" w:eastAsia="Times New Roman" w:hAnsi="Times New Roman" w:cs="Times New Roman"/>
          <w:color w:val="000000" w:themeColor="text1"/>
        </w:rPr>
        <w:t xml:space="preserve"> and suggestions for further studies will be made in chapter five.</w:t>
      </w:r>
    </w:p>
    <w:p w14:paraId="218A7C76" w14:textId="5C567A29" w:rsidR="28C1B626" w:rsidRDefault="28C1B626" w:rsidP="00B61C71">
      <w:pPr>
        <w:spacing w:line="480" w:lineRule="auto"/>
        <w:jc w:val="both"/>
        <w:rPr>
          <w:rFonts w:ascii="Times New Roman" w:eastAsia="Times New Roman" w:hAnsi="Times New Roman" w:cs="Times New Roman"/>
        </w:rPr>
      </w:pPr>
    </w:p>
    <w:p w14:paraId="5F77440E" w14:textId="424660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CHAPTER TWO</w:t>
      </w:r>
    </w:p>
    <w:p w14:paraId="4CD111E1" w14:textId="7813667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LITERATURE REVIEW</w:t>
      </w:r>
    </w:p>
    <w:p w14:paraId="07D08F43" w14:textId="48933C9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research will examine the current literature regarding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14:paraId="244C8563" w14:textId="35107CE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2.1 Conceptual Framework</w:t>
      </w:r>
    </w:p>
    <w:p w14:paraId="5630063A" w14:textId="6A1E876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Understanding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optimization has become increasingly important in modern financial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enhances </w:t>
      </w:r>
      <w:r w:rsidR="7EA46923" w:rsidRPr="47575B0A">
        <w:rPr>
          <w:rFonts w:ascii="Times New Roman" w:eastAsia="Times New Roman" w:hAnsi="Times New Roman" w:cs="Times New Roman"/>
          <w:color w:val="000000" w:themeColor="text1"/>
        </w:rPr>
        <w:t>portfolio</w:t>
      </w:r>
      <w:r w:rsidRPr="47575B0A">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14:paraId="06E36F82" w14:textId="69C2F9D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2.1.1 Portfolio Optimization</w:t>
      </w:r>
    </w:p>
    <w:p w14:paraId="082C09CA" w14:textId="5BDCBA9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w:t>
      </w:r>
    </w:p>
    <w:p w14:paraId="1B83E497" w14:textId="1EE113D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Building from portfolio optimization, </w:t>
      </w:r>
      <w:r w:rsidR="16C3BFA7" w:rsidRPr="47575B0A">
        <w:rPr>
          <w:rFonts w:ascii="Times New Roman" w:eastAsia="Times New Roman" w:hAnsi="Times New Roman" w:cs="Times New Roman"/>
          <w:color w:val="000000" w:themeColor="text1"/>
        </w:rPr>
        <w:t>an efficient</w:t>
      </w:r>
      <w:r w:rsidRPr="47575B0A">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making continuous monitoring and adjustment essential. By following </w:t>
      </w:r>
      <w:r w:rsidRPr="47575B0A">
        <w:rPr>
          <w:rFonts w:ascii="Times New Roman" w:eastAsia="Times New Roman" w:hAnsi="Times New Roman" w:cs="Times New Roman"/>
          <w:color w:val="000000" w:themeColor="text1"/>
        </w:rPr>
        <w:lastRenderedPageBreak/>
        <w:t xml:space="preserve">these principles, investors can construct portfolios that not only optimize performance but are also more resilient to market fluctuations (Zhang, 2024; Okafor and Robertson, 2022). </w:t>
      </w:r>
    </w:p>
    <w:p w14:paraId="37BAAAB9" w14:textId="129A23B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As a result of modern advances in technology and market complexities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black</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litterman</w:t>
      </w:r>
      <w:proofErr w:type="spellEnd"/>
      <w:r w:rsidRPr="47575B0A">
        <w:rPr>
          <w:rFonts w:ascii="Times New Roman" w:eastAsia="Times New Roman" w:hAnsi="Times New Roman" w:cs="Times New Roman"/>
          <w:color w:val="000000" w:themeColor="text1"/>
        </w:rPr>
        <w:t xml:space="preserve"> model and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14:paraId="61FFAFF1" w14:textId="04F6E9D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2.1.2 Tail</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Risk</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Aware Portfolio Optimization</w:t>
      </w:r>
    </w:p>
    <w:p w14:paraId="0710F3A0" w14:textId="1403B53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2002;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47575B0A">
        <w:rPr>
          <w:rFonts w:ascii="Times New Roman" w:eastAsia="Times New Roman" w:hAnsi="Times New Roman" w:cs="Times New Roman"/>
          <w:color w:val="000000" w:themeColor="text1"/>
        </w:rPr>
        <w:t>Alim</w:t>
      </w:r>
      <w:proofErr w:type="spellEnd"/>
      <w:r w:rsidRPr="47575B0A">
        <w:rPr>
          <w:rFonts w:ascii="Times New Roman" w:eastAsia="Times New Roman" w:hAnsi="Times New Roman" w:cs="Times New Roman"/>
          <w:color w:val="000000" w:themeColor="text1"/>
        </w:rPr>
        <w:t xml:space="preserve"> et al., 2024; Bali et al., 2007). </w:t>
      </w:r>
    </w:p>
    <w:p w14:paraId="2C374CDE" w14:textId="7321EEE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understanding how crucial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is, traditional methods like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47575B0A">
        <w:rPr>
          <w:rFonts w:ascii="Times New Roman" w:eastAsia="Times New Roman" w:hAnsi="Times New Roman" w:cs="Times New Roman"/>
          <w:color w:val="000000" w:themeColor="text1"/>
        </w:rPr>
        <w:t>i.e</w:t>
      </w:r>
      <w:proofErr w:type="spellEnd"/>
      <w:r w:rsidRPr="47575B0A">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w:t>
      </w:r>
      <w:r w:rsidRPr="47575B0A">
        <w:rPr>
          <w:rFonts w:ascii="Times New Roman" w:eastAsia="Times New Roman" w:hAnsi="Times New Roman" w:cs="Times New Roman"/>
          <w:color w:val="000000" w:themeColor="text1"/>
        </w:rPr>
        <w:lastRenderedPageBreak/>
        <w:t xml:space="preserve">returns above the mean as desirable rather than dangerous (Zapata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2025; Lorimer et al., 2024). In contrast, downside risk measures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w:t>
      </w:r>
    </w:p>
    <w:p w14:paraId="39D41E25" w14:textId="61DB97A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models such as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for robust risk assessment during periods of structural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2002).</w:t>
      </w:r>
    </w:p>
    <w:p w14:paraId="2C644350" w14:textId="29B1E3B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2.1.3 Equity Return Forecasting</w:t>
      </w:r>
    </w:p>
    <w:p w14:paraId="37649D16" w14:textId="70C0A2E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refers to the analytical process of estimating the future financial performance or price direction of stock assets to enhance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lastRenderedPageBreak/>
        <w:t>linear correlations, and volatility clustering that can be modeled to generate abnormal returns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55AB5B33" w14:textId="24D3E1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estimates, thereby allowing optimization models to adapt to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stationary market conditions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Yu, 2024). By integrating advanced algorithms such as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while </w:t>
      </w:r>
      <w:r w:rsidR="3EEA2A5D" w:rsidRPr="47575B0A">
        <w:rPr>
          <w:rFonts w:ascii="Times New Roman" w:eastAsia="Times New Roman" w:hAnsi="Times New Roman" w:cs="Times New Roman"/>
          <w:color w:val="000000" w:themeColor="text1"/>
        </w:rPr>
        <w:t>mitigate</w:t>
      </w:r>
      <w:r w:rsidRPr="47575B0A">
        <w:rPr>
          <w:rFonts w:ascii="Times New Roman" w:eastAsia="Times New Roman" w:hAnsi="Times New Roman" w:cs="Times New Roman"/>
          <w:color w:val="000000" w:themeColor="text1"/>
        </w:rPr>
        <w:t xml:space="preserve"> the estimation errors common in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or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strategies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w:t>
      </w:r>
    </w:p>
    <w:p w14:paraId="0A096E87" w14:textId="5224E4E6"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2.1.4 Machine Learning in Financial Forecasting </w:t>
      </w:r>
    </w:p>
    <w:p w14:paraId="7955F25D" w14:textId="191890E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have historically served as the foundation for financial time series analysis, their reliance on linear assumptions often limits their effectiveness in capturing the chaotic and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nature of stock market volatility (San, 2025; </w:t>
      </w:r>
      <w:proofErr w:type="spellStart"/>
      <w:r w:rsidRPr="47575B0A">
        <w:rPr>
          <w:rFonts w:ascii="Times New Roman" w:eastAsia="Times New Roman" w:hAnsi="Times New Roman" w:cs="Times New Roman"/>
          <w:color w:val="000000" w:themeColor="text1"/>
        </w:rPr>
        <w:t>Ajiga</w:t>
      </w:r>
      <w:proofErr w:type="spellEnd"/>
      <w:r w:rsidRPr="47575B0A">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14:paraId="38F79626" w14:textId="18F2A33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 and identifying latent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patterns without strict distributional assumptions (Chao, 2024;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w:t>
      </w:r>
      <w:r w:rsidRPr="47575B0A">
        <w:rPr>
          <w:rFonts w:ascii="Times New Roman" w:eastAsia="Times New Roman" w:hAnsi="Times New Roman" w:cs="Times New Roman"/>
          <w:color w:val="000000" w:themeColor="text1"/>
        </w:rPr>
        <w:lastRenderedPageBreak/>
        <w:t>al., 2019). Parallel to deep learning, tree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methods such as Random Forest (RF) and </w:t>
      </w:r>
      <w:proofErr w:type="spellStart"/>
      <w:r w:rsidRPr="47575B0A">
        <w:rPr>
          <w:rFonts w:ascii="Times New Roman" w:eastAsia="Times New Roman" w:hAnsi="Times New Roman" w:cs="Times New Roman"/>
          <w:color w:val="000000" w:themeColor="text1"/>
        </w:rPr>
        <w:t>eXtreme</w:t>
      </w:r>
      <w:proofErr w:type="spellEnd"/>
      <w:r w:rsidRPr="47575B0A">
        <w:rPr>
          <w:rFonts w:ascii="Times New Roman" w:eastAsia="Times New Roman" w:hAnsi="Times New Roman" w:cs="Times New Roman"/>
          <w:color w:val="000000" w:themeColor="text1"/>
        </w:rPr>
        <w:t xml:space="preserve"> Gradient Boosting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47575B0A">
        <w:rPr>
          <w:rFonts w:ascii="Times New Roman" w:eastAsia="Times New Roman" w:hAnsi="Times New Roman" w:cs="Times New Roman"/>
          <w:color w:val="000000" w:themeColor="text1"/>
        </w:rPr>
        <w:t>enhances</w:t>
      </w:r>
      <w:r w:rsidRPr="47575B0A">
        <w:rPr>
          <w:rFonts w:ascii="Times New Roman" w:eastAsia="Times New Roman" w:hAnsi="Times New Roman" w:cs="Times New Roman"/>
          <w:color w:val="000000" w:themeColor="text1"/>
        </w:rPr>
        <w:t xml:space="preserve"> asset allocation decisions by providing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returns estimates and improving the balance between risk and return in portfolio performance.</w:t>
      </w:r>
    </w:p>
    <w:p w14:paraId="26390900" w14:textId="670EB52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2.1.5 Nigerian Exchange Group (NGX) market characteristics </w:t>
      </w:r>
    </w:p>
    <w:p w14:paraId="3D5FD03C" w14:textId="2BC1E4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
    <w:p w14:paraId="2727566D" w14:textId="2A93D8F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47575B0A">
        <w:rPr>
          <w:rFonts w:ascii="Times New Roman" w:eastAsia="Times New Roman" w:hAnsi="Times New Roman" w:cs="Times New Roman"/>
          <w:color w:val="000000" w:themeColor="text1"/>
        </w:rPr>
        <w:t>. A</w:t>
      </w:r>
      <w:r w:rsidRPr="47575B0A">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47575B0A">
        <w:rPr>
          <w:rFonts w:ascii="Times New Roman" w:eastAsia="Times New Roman" w:hAnsi="Times New Roman" w:cs="Times New Roman"/>
          <w:color w:val="000000" w:themeColor="text1"/>
        </w:rPr>
        <w:t>All</w:t>
      </w:r>
      <w:r w:rsidR="3CB00BA7" w:rsidRPr="47575B0A">
        <w:rPr>
          <w:rFonts w:ascii="Times New Roman" w:eastAsia="Times New Roman" w:hAnsi="Times New Roman" w:cs="Times New Roman"/>
          <w:color w:val="000000" w:themeColor="text1"/>
        </w:rPr>
        <w:t>-</w:t>
      </w:r>
      <w:r w:rsidR="3C5A9EFC" w:rsidRPr="47575B0A">
        <w:rPr>
          <w:rFonts w:ascii="Times New Roman" w:eastAsia="Times New Roman" w:hAnsi="Times New Roman" w:cs="Times New Roman"/>
          <w:color w:val="000000" w:themeColor="text1"/>
        </w:rPr>
        <w:t>Share</w:t>
      </w:r>
      <w:r w:rsidRPr="47575B0A">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possessing higher peaks and heavier tails (fat tails) than a normal distribution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w:t>
      </w:r>
    </w:p>
    <w:p w14:paraId="73F2D2B1" w14:textId="4B53031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All these pose investment challenges to investments in Nigerian equities. Historical precedents, such as the 2014 oil price crash and the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demonstrate how external crises can trigger severe market downturns, </w:t>
      </w:r>
      <w:r w:rsidR="563E7CB1" w:rsidRPr="47575B0A">
        <w:rPr>
          <w:rFonts w:ascii="Times New Roman" w:eastAsia="Times New Roman" w:hAnsi="Times New Roman" w:cs="Times New Roman"/>
          <w:color w:val="000000" w:themeColor="text1"/>
        </w:rPr>
        <w:t>disrupt</w:t>
      </w:r>
      <w:r w:rsidRPr="47575B0A">
        <w:rPr>
          <w:rFonts w:ascii="Times New Roman" w:eastAsia="Times New Roman" w:hAnsi="Times New Roman" w:cs="Times New Roman"/>
          <w:color w:val="000000" w:themeColor="text1"/>
        </w:rPr>
        <w:t xml:space="preserve"> market </w:t>
      </w:r>
      <w:r w:rsidR="3F73DB7A" w:rsidRPr="47575B0A">
        <w:rPr>
          <w:rFonts w:ascii="Times New Roman" w:eastAsia="Times New Roman" w:hAnsi="Times New Roman" w:cs="Times New Roman"/>
          <w:color w:val="000000" w:themeColor="text1"/>
        </w:rPr>
        <w:t>capitalization,</w:t>
      </w:r>
      <w:r w:rsidRPr="47575B0A">
        <w:rPr>
          <w:rFonts w:ascii="Times New Roman" w:eastAsia="Times New Roman" w:hAnsi="Times New Roman" w:cs="Times New Roman"/>
          <w:color w:val="000000" w:themeColor="text1"/>
        </w:rPr>
        <w:t xml:space="preserve"> and </w:t>
      </w:r>
      <w:r w:rsidR="3630184A" w:rsidRPr="47575B0A">
        <w:rPr>
          <w:rFonts w:ascii="Times New Roman" w:eastAsia="Times New Roman" w:hAnsi="Times New Roman" w:cs="Times New Roman"/>
          <w:color w:val="000000" w:themeColor="text1"/>
        </w:rPr>
        <w:t>erase</w:t>
      </w:r>
      <w:r w:rsidRPr="47575B0A">
        <w:rPr>
          <w:rFonts w:ascii="Times New Roman" w:eastAsia="Times New Roman" w:hAnsi="Times New Roman" w:cs="Times New Roman"/>
          <w:color w:val="000000" w:themeColor="text1"/>
        </w:rPr>
        <w:t xml:space="preserve"> investor wealth (</w:t>
      </w:r>
      <w:proofErr w:type="spellStart"/>
      <w:r w:rsidRPr="47575B0A">
        <w:rPr>
          <w:rFonts w:ascii="Times New Roman" w:eastAsia="Times New Roman" w:hAnsi="Times New Roman" w:cs="Times New Roman"/>
          <w:color w:val="000000" w:themeColor="text1"/>
        </w:rPr>
        <w:t>Fapetu</w:t>
      </w:r>
      <w:proofErr w:type="spellEnd"/>
      <w:r w:rsidRPr="47575B0A">
        <w:rPr>
          <w:rFonts w:ascii="Times New Roman" w:eastAsia="Times New Roman" w:hAnsi="Times New Roman" w:cs="Times New Roman"/>
          <w:color w:val="000000" w:themeColor="text1"/>
        </w:rPr>
        <w:t xml:space="preserve"> et al., 2021). Furthermore, the market is characterized by frequent structural breaks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abrupt shifts in market regimes caused by policy changes or economic shocks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w:t>
      </w:r>
    </w:p>
    <w:p w14:paraId="04AB6D6C" w14:textId="262D9FFE" w:rsidR="47575B0A" w:rsidRDefault="003D2D73" w:rsidP="00B61C71">
      <w:pPr>
        <w:spacing w:after="0" w:line="48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34794FDB" w14:textId="283FAAF4" w:rsidR="2799037F" w:rsidRPr="003D2D73" w:rsidRDefault="003D2D73" w:rsidP="00B61C71">
      <w:pPr>
        <w:spacing w:after="0" w:line="480" w:lineRule="auto"/>
        <w:jc w:val="both"/>
        <w:rPr>
          <w:rFonts w:ascii="Times New Roman" w:eastAsia="Times New Roman" w:hAnsi="Times New Roman" w:cs="Times New Roman"/>
          <w:i/>
          <w:color w:val="000000" w:themeColor="text1"/>
        </w:rPr>
      </w:pPr>
      <w:r>
        <w:rPr>
          <w:rFonts w:ascii="Times New Roman" w:eastAsia="Times New Roman" w:hAnsi="Times New Roman" w:cs="Times New Roman"/>
          <w:i/>
          <w:color w:val="000000" w:themeColor="text1"/>
        </w:rPr>
        <w:t xml:space="preserve">Figure 1: </w:t>
      </w:r>
      <w:r w:rsidRPr="003D2D73">
        <w:rPr>
          <w:rFonts w:ascii="Times New Roman" w:eastAsia="Times New Roman" w:hAnsi="Times New Roman" w:cs="Times New Roman"/>
          <w:i/>
          <w:color w:val="000000" w:themeColor="text1"/>
        </w:rPr>
        <w:t>Diagram showing flow of conceptual framework</w:t>
      </w:r>
      <w:r w:rsidR="36B93CDD" w:rsidRPr="003D2D73">
        <w:rPr>
          <w:rFonts w:ascii="Times New Roman" w:eastAsia="Times New Roman" w:hAnsi="Times New Roman" w:cs="Times New Roman"/>
          <w:i/>
          <w:color w:val="000000" w:themeColor="text1"/>
        </w:rPr>
        <w:t xml:space="preserve"> </w:t>
      </w:r>
    </w:p>
    <w:p w14:paraId="7406E591" w14:textId="77777777" w:rsidR="003D2D73" w:rsidRDefault="003D2D73" w:rsidP="00B61C71">
      <w:pPr>
        <w:spacing w:after="0" w:line="480" w:lineRule="auto"/>
        <w:jc w:val="both"/>
        <w:rPr>
          <w:rFonts w:ascii="Times New Roman" w:eastAsia="Times New Roman" w:hAnsi="Times New Roman" w:cs="Times New Roman"/>
          <w:b/>
          <w:bCs/>
          <w:color w:val="000000" w:themeColor="text1"/>
        </w:rPr>
      </w:pPr>
    </w:p>
    <w:p w14:paraId="17485302" w14:textId="3769DF3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 Theoretical Framework</w:t>
      </w:r>
    </w:p>
    <w:p w14:paraId="6424F7B3" w14:textId="6FFDF4F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14:paraId="6C531D96" w14:textId="3196110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2.2.1 Modern Portfolio Theory (MPT)</w:t>
      </w:r>
    </w:p>
    <w:p w14:paraId="2B68C834" w14:textId="1559250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offs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w:t>
      </w:r>
    </w:p>
    <w:p w14:paraId="7DA10C74" w14:textId="3E2DCE6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its theoretical foundational status, the practical implementation of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specifically the expected return vector and the covariance matrix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Chen, 2025). This leads to a phenomenon where the model acts as an error maximizer, aggressively allocating capital to assets with extreme estimation errors, which results in unstable, corner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solution portfolios that lack diversification (Job, 2022;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w:t>
      </w:r>
    </w:p>
    <w:p w14:paraId="6C37E62C" w14:textId="33E93CF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portfolios optimized under the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frequently exhibit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often failing to outperform simple heuristic benchmarks such as the naive 1/N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strategy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w:t>
      </w:r>
    </w:p>
    <w:p w14:paraId="6129566A" w14:textId="4541FB5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2.2.2 Post Modern Portfolio Theory (PMPT)</w:t>
      </w:r>
    </w:p>
    <w:p w14:paraId="4C06FFC4" w14:textId="183B9E1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led to the adoption of asymmetric risk measures like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14:paraId="350D4F71" w14:textId="5603B5C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 By moving away from standard deviation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penalizes upside potential just as much as downside loss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PMPT allows for the construction of portfolios that seek to capture growth during bull markets while specifically minimizing exposure to structural breaks and crashes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w:t>
      </w:r>
    </w:p>
    <w:p w14:paraId="1DC99A64" w14:textId="321E3716"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theoretical evolution of measuring downside risk acts as a bridge between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metrics like 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While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looks at the volatility of losses,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Unlike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simply acts as a cut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point,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w:t>
      </w:r>
      <w:r w:rsidRPr="47575B0A">
        <w:rPr>
          <w:rFonts w:ascii="Times New Roman" w:eastAsia="Times New Roman" w:hAnsi="Times New Roman" w:cs="Times New Roman"/>
          <w:color w:val="000000" w:themeColor="text1"/>
        </w:rPr>
        <w:lastRenderedPageBreak/>
        <w:t>mathematically coherent, meaning it accounts for the severity of tail events and ensures that diversifying a portfolio does not theoretically increase its risk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models, which offer a more robust defense against the heavy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risks inherent in volatile markets like the Nigerian Exchange Group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xml:space="preserve"> &amp; Camacho, 2025).</w:t>
      </w:r>
    </w:p>
    <w:p w14:paraId="0EE0999D" w14:textId="16F075C0"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2.2.3 Statistical Learning Theory </w:t>
      </w:r>
    </w:p>
    <w:p w14:paraId="7F80B87E" w14:textId="00A97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defined structure (like a linear regression equation), machine learning treats the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generating process as an unknown function that maps input variables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past returns or macroeconomic indicators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to an output, like future stock prices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This flexibility allows these models to utilize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(Zhang, 2025).</w:t>
      </w:r>
    </w:p>
    <w:p w14:paraId="2DE811F2" w14:textId="054ADBB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central concept in optimizing these models is the bias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The objective of statistical learning is to find the optimal balance </w:t>
      </w:r>
      <w:r w:rsidRPr="47575B0A">
        <w:rPr>
          <w:rFonts w:ascii="Times New Roman" w:eastAsia="Times New Roman" w:hAnsi="Times New Roman" w:cs="Times New Roman"/>
          <w:color w:val="000000" w:themeColor="text1"/>
        </w:rPr>
        <w:lastRenderedPageBreak/>
        <w:t>point where the total error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comprising both bias and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w:t>
      </w:r>
    </w:p>
    <w:p w14:paraId="013BFD8A" w14:textId="2CE6DA8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essentially memorizing it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but fails to </w:t>
      </w:r>
      <w:r w:rsidR="37BA8959" w:rsidRPr="47575B0A">
        <w:rPr>
          <w:rFonts w:ascii="Times New Roman" w:eastAsia="Times New Roman" w:hAnsi="Times New Roman" w:cs="Times New Roman"/>
          <w:color w:val="000000" w:themeColor="text1"/>
        </w:rPr>
        <w:t>generalize</w:t>
      </w:r>
      <w:r w:rsidRPr="47575B0A">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trading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xml:space="preserve">., 2019;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optimization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74D2859F" w14:textId="6E85B90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data structures that rigid econometric frameworks fail to capture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While traditional linear models struggle with stylized facts like heavy tails, algorithms such as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LSTM autonomously identify latent dependencies in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environments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w:t>
      </w:r>
    </w:p>
    <w:p w14:paraId="2DB2FA96" w14:textId="040FED2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 Empirical Framework</w:t>
      </w:r>
    </w:p>
    <w:p w14:paraId="28F79DF3" w14:textId="77FEDB2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This section of the literature review offers a summary of the connection between portfolio optimization </w:t>
      </w:r>
      <w:proofErr w:type="spellStart"/>
      <w:r w:rsidRPr="47575B0A">
        <w:rPr>
          <w:rFonts w:ascii="Times New Roman" w:eastAsia="Times New Roman" w:hAnsi="Times New Roman" w:cs="Times New Roman"/>
          <w:color w:val="000000" w:themeColor="text1"/>
        </w:rPr>
        <w:t>techniques</w:t>
      </w:r>
      <w:proofErr w:type="gramStart"/>
      <w:r w:rsidRPr="47575B0A">
        <w:rPr>
          <w:rFonts w:ascii="Times New Roman" w:eastAsia="Times New Roman" w:hAnsi="Times New Roman" w:cs="Times New Roman"/>
          <w:color w:val="000000" w:themeColor="text1"/>
        </w:rPr>
        <w:t>,equity</w:t>
      </w:r>
      <w:proofErr w:type="spellEnd"/>
      <w:proofErr w:type="gramEnd"/>
      <w:r w:rsidRPr="47575B0A">
        <w:rPr>
          <w:rFonts w:ascii="Times New Roman" w:eastAsia="Times New Roman" w:hAnsi="Times New Roman" w:cs="Times New Roman"/>
          <w:color w:val="000000" w:themeColor="text1"/>
        </w:rPr>
        <w:t xml:space="preserve"> return forecasting and integrated forecasting approach and their individual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 performance.</w:t>
      </w:r>
    </w:p>
    <w:p w14:paraId="7E34DF90" w14:textId="29A4D0D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2.3.1 Mean</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Variance Portfolio Optimization</w:t>
      </w:r>
    </w:p>
    <w:p w14:paraId="26A2D400" w14:textId="649621B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developed markets, studies show that </w:t>
      </w:r>
      <w:r w:rsidR="58C7E87A" w:rsidRPr="47575B0A">
        <w:rPr>
          <w:rFonts w:ascii="Times New Roman" w:eastAsia="Times New Roman" w:hAnsi="Times New Roman" w:cs="Times New Roman"/>
          <w:color w:val="000000" w:themeColor="text1"/>
        </w:rPr>
        <w:t>the MV</w:t>
      </w:r>
      <w:r w:rsidRPr="47575B0A">
        <w:rPr>
          <w:rFonts w:ascii="Times New Roman" w:eastAsia="Times New Roman" w:hAnsi="Times New Roman" w:cs="Times New Roman"/>
          <w:color w:val="000000" w:themeColor="text1"/>
        </w:rPr>
        <w:t xml:space="preserve"> model doesn't always outperform naive approaches such as </w:t>
      </w:r>
      <w:r w:rsidR="78E0ED55" w:rsidRPr="47575B0A">
        <w:rPr>
          <w:rFonts w:ascii="Times New Roman" w:eastAsia="Times New Roman" w:hAnsi="Times New Roman" w:cs="Times New Roman"/>
          <w:color w:val="000000" w:themeColor="text1"/>
        </w:rPr>
        <w:t>an equally</w:t>
      </w:r>
      <w:r w:rsidRPr="47575B0A">
        <w:rPr>
          <w:rFonts w:ascii="Times New Roman" w:eastAsia="Times New Roman" w:hAnsi="Times New Roman" w:cs="Times New Roman"/>
          <w:color w:val="000000" w:themeColor="text1"/>
        </w:rPr>
        <w:t xml:space="preserve"> weighted portfolio in terms </w:t>
      </w:r>
      <w:r w:rsidR="33022F81" w:rsidRPr="47575B0A">
        <w:rPr>
          <w:rFonts w:ascii="Times New Roman" w:eastAsia="Times New Roman" w:hAnsi="Times New Roman" w:cs="Times New Roman"/>
          <w:color w:val="000000" w:themeColor="text1"/>
        </w:rPr>
        <w:t>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(like </w:t>
      </w:r>
      <w:r w:rsidR="530C5D0F" w:rsidRPr="47575B0A">
        <w:rPr>
          <w:rFonts w:ascii="Times New Roman" w:eastAsia="Times New Roman" w:hAnsi="Times New Roman" w:cs="Times New Roman"/>
          <w:color w:val="000000" w:themeColor="text1"/>
        </w:rPr>
        <w:t>Sharpe</w:t>
      </w:r>
      <w:r w:rsidRPr="47575B0A">
        <w:rPr>
          <w:rFonts w:ascii="Times New Roman" w:eastAsia="Times New Roman" w:hAnsi="Times New Roman" w:cs="Times New Roman"/>
          <w:color w:val="000000" w:themeColor="text1"/>
        </w:rPr>
        <w:t xml:space="preserve"> ratio). In the US equity market, </w:t>
      </w:r>
      <w:r w:rsidR="2C35173F" w:rsidRPr="47575B0A">
        <w:rPr>
          <w:rFonts w:ascii="Times New Roman" w:eastAsia="Times New Roman" w:hAnsi="Times New Roman" w:cs="Times New Roman"/>
          <w:color w:val="000000" w:themeColor="text1"/>
        </w:rPr>
        <w:t>the naive</w:t>
      </w:r>
      <w:r w:rsidRPr="47575B0A">
        <w:rPr>
          <w:rFonts w:ascii="Times New Roman" w:eastAsia="Times New Roman" w:hAnsi="Times New Roman" w:cs="Times New Roman"/>
          <w:color w:val="000000" w:themeColor="text1"/>
        </w:rPr>
        <w:t xml:space="preserve"> approach is quite </w:t>
      </w:r>
      <w:r w:rsidR="5545CF9A" w:rsidRPr="47575B0A">
        <w:rPr>
          <w:rFonts w:ascii="Times New Roman" w:eastAsia="Times New Roman" w:hAnsi="Times New Roman" w:cs="Times New Roman"/>
          <w:color w:val="000000" w:themeColor="text1"/>
        </w:rPr>
        <w:t>competitive</w:t>
      </w:r>
      <w:r w:rsidRPr="47575B0A">
        <w:rPr>
          <w:rFonts w:ascii="Times New Roman" w:eastAsia="Times New Roman" w:hAnsi="Times New Roman" w:cs="Times New Roman"/>
          <w:color w:val="000000" w:themeColor="text1"/>
        </w:rPr>
        <w:t xml:space="preserve"> </w:t>
      </w:r>
      <w:r w:rsidR="70B11029" w:rsidRPr="47575B0A">
        <w:rPr>
          <w:rFonts w:ascii="Times New Roman" w:eastAsia="Times New Roman" w:hAnsi="Times New Roman" w:cs="Times New Roman"/>
          <w:color w:val="000000" w:themeColor="text1"/>
        </w:rPr>
        <w:t>and, in some cases,</w:t>
      </w:r>
      <w:r w:rsidRPr="47575B0A">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w:t>
      </w:r>
    </w:p>
    <w:p w14:paraId="07317898" w14:textId="5E30E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47575B0A">
        <w:rPr>
          <w:rFonts w:ascii="Times New Roman" w:eastAsia="Times New Roman" w:hAnsi="Times New Roman" w:cs="Times New Roman"/>
          <w:color w:val="000000" w:themeColor="text1"/>
        </w:rPr>
        <w:t>2022,</w:t>
      </w:r>
      <w:r w:rsidRPr="47575B0A">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14:paraId="190EE3CA" w14:textId="62770DF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instability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w:t>
      </w:r>
      <w:proofErr w:type="gramStart"/>
      <w:r w:rsidRPr="47575B0A">
        <w:rPr>
          <w:rFonts w:ascii="Times New Roman" w:eastAsia="Times New Roman" w:hAnsi="Times New Roman" w:cs="Times New Roman"/>
          <w:color w:val="000000" w:themeColor="text1"/>
        </w:rPr>
        <w:t>,</w:t>
      </w:r>
      <w:r w:rsidR="4202D795" w:rsidRPr="47575B0A">
        <w:rPr>
          <w:rFonts w:ascii="Times New Roman" w:eastAsia="Times New Roman" w:hAnsi="Times New Roman" w:cs="Times New Roman"/>
          <w:color w:val="000000" w:themeColor="text1"/>
        </w:rPr>
        <w:t>2022</w:t>
      </w:r>
      <w:proofErr w:type="gramEnd"/>
      <w:r w:rsidR="4202D795" w:rsidRPr="47575B0A">
        <w:rPr>
          <w:rFonts w:ascii="Times New Roman" w:eastAsia="Times New Roman" w:hAnsi="Times New Roman" w:cs="Times New Roman"/>
          <w:color w:val="000000" w:themeColor="text1"/>
        </w:rPr>
        <w:t xml:space="preserve">; </w:t>
      </w:r>
      <w:proofErr w:type="spellStart"/>
      <w:r w:rsidR="4202D795" w:rsidRPr="47575B0A">
        <w:rPr>
          <w:rFonts w:ascii="Times New Roman" w:eastAsia="Times New Roman" w:hAnsi="Times New Roman" w:cs="Times New Roman"/>
          <w:color w:val="000000" w:themeColor="text1"/>
        </w:rPr>
        <w:t>Rigamonti</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Lučivjanská</w:t>
      </w:r>
      <w:proofErr w:type="spellEnd"/>
      <w:r w:rsidRPr="47575B0A">
        <w:rPr>
          <w:rFonts w:ascii="Times New Roman" w:eastAsia="Times New Roman" w:hAnsi="Times New Roman" w:cs="Times New Roman"/>
          <w:color w:val="000000" w:themeColor="text1"/>
        </w:rPr>
        <w:t xml:space="preserve">, 2021). Consequently, the reliance on historical sample means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without </w:t>
      </w:r>
      <w:proofErr w:type="spellStart"/>
      <w:r w:rsidRPr="47575B0A">
        <w:rPr>
          <w:rFonts w:ascii="Times New Roman" w:eastAsia="Times New Roman" w:hAnsi="Times New Roman" w:cs="Times New Roman"/>
          <w:color w:val="000000" w:themeColor="text1"/>
        </w:rPr>
        <w:t>robustification</w:t>
      </w:r>
      <w:proofErr w:type="spellEnd"/>
      <w:r w:rsidRPr="47575B0A">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Based on these studies, it shows a need for more adaptive and downside </w:t>
      </w:r>
      <w:r w:rsidR="6CC5E44C"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6CC5E44C" w:rsidRPr="47575B0A">
        <w:rPr>
          <w:rFonts w:ascii="Times New Roman" w:eastAsia="Times New Roman" w:hAnsi="Times New Roman" w:cs="Times New Roman"/>
          <w:color w:val="000000" w:themeColor="text1"/>
        </w:rPr>
        <w:t>aware</w:t>
      </w:r>
      <w:r w:rsidRPr="47575B0A">
        <w:rPr>
          <w:rFonts w:ascii="Times New Roman" w:eastAsia="Times New Roman" w:hAnsi="Times New Roman" w:cs="Times New Roman"/>
          <w:color w:val="000000" w:themeColor="text1"/>
        </w:rPr>
        <w:t xml:space="preserve"> techniques for portfolio optimization.</w:t>
      </w:r>
    </w:p>
    <w:p w14:paraId="711BD872" w14:textId="6BA321A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2.3.2 </w:t>
      </w:r>
      <w:proofErr w:type="spellStart"/>
      <w:r w:rsidRPr="47575B0A">
        <w:rPr>
          <w:rFonts w:ascii="Times New Roman" w:eastAsia="Times New Roman" w:hAnsi="Times New Roman" w:cs="Times New Roman"/>
          <w:b/>
          <w:bCs/>
          <w:color w:val="000000" w:themeColor="text1"/>
        </w:rPr>
        <w:t>VaR</w:t>
      </w:r>
      <w:proofErr w:type="spellEnd"/>
      <w:r w:rsidRPr="47575B0A">
        <w:rPr>
          <w:rFonts w:ascii="Times New Roman" w:eastAsia="Times New Roman" w:hAnsi="Times New Roman" w:cs="Times New Roman"/>
          <w:b/>
          <w:bCs/>
          <w:color w:val="000000" w:themeColor="text1"/>
        </w:rPr>
        <w:t xml:space="preserve"> and </w:t>
      </w:r>
      <w:proofErr w:type="spellStart"/>
      <w:r w:rsidRPr="47575B0A">
        <w:rPr>
          <w:rFonts w:ascii="Times New Roman" w:eastAsia="Times New Roman" w:hAnsi="Times New Roman" w:cs="Times New Roman"/>
          <w:b/>
          <w:bCs/>
          <w:color w:val="000000" w:themeColor="text1"/>
        </w:rPr>
        <w:t>CVaR</w:t>
      </w:r>
      <w:proofErr w:type="spellEnd"/>
      <w:r w:rsidRPr="47575B0A">
        <w:rPr>
          <w:rFonts w:ascii="Times New Roman" w:eastAsia="Times New Roman" w:hAnsi="Times New Roman" w:cs="Times New Roman"/>
          <w:b/>
          <w:bCs/>
          <w:color w:val="000000" w:themeColor="text1"/>
        </w:rPr>
        <w:t xml:space="preserve"> Based Portfolio Models</w:t>
      </w:r>
    </w:p>
    <w:p w14:paraId="1FD19B34" w14:textId="3756B40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47575B0A">
        <w:rPr>
          <w:rFonts w:ascii="Times New Roman" w:eastAsia="Times New Roman" w:hAnsi="Times New Roman" w:cs="Times New Roman"/>
          <w:color w:val="000000" w:themeColor="text1"/>
        </w:rPr>
        <w:t>body of</w:t>
      </w:r>
      <w:r w:rsidRPr="47575B0A">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w:t>
      </w:r>
      <w:r w:rsidR="51DDBDD4" w:rsidRPr="47575B0A">
        <w:rPr>
          <w:rFonts w:ascii="Times New Roman" w:eastAsia="Times New Roman" w:hAnsi="Times New Roman" w:cs="Times New Roman"/>
          <w:color w:val="000000" w:themeColor="text1"/>
        </w:rPr>
        <w:t>, 2020</w:t>
      </w:r>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w:t>
      </w:r>
    </w:p>
    <w:p w14:paraId="63FC3AEA" w14:textId="0A26EFC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47575B0A">
        <w:rPr>
          <w:rFonts w:ascii="Times New Roman" w:eastAsia="Times New Roman" w:hAnsi="Times New Roman" w:cs="Times New Roman"/>
          <w:color w:val="000000" w:themeColor="text1"/>
        </w:rPr>
        <w:t>are</w:t>
      </w:r>
      <w:r w:rsidRPr="47575B0A">
        <w:rPr>
          <w:rFonts w:ascii="Times New Roman" w:eastAsia="Times New Roman" w:hAnsi="Times New Roman" w:cs="Times New Roman"/>
          <w:color w:val="000000" w:themeColor="text1"/>
        </w:rPr>
        <w:t xml:space="preserve"> summed in the phrase by </w:t>
      </w:r>
      <w:proofErr w:type="spellStart"/>
      <w:r w:rsidR="4E7590E8" w:rsidRPr="47575B0A">
        <w:rPr>
          <w:rFonts w:ascii="Times New Roman" w:eastAsia="Times New Roman" w:hAnsi="Times New Roman" w:cs="Times New Roman"/>
          <w:color w:val="000000" w:themeColor="text1"/>
        </w:rPr>
        <w:t>Einhorn</w:t>
      </w:r>
      <w:proofErr w:type="spellEnd"/>
      <w:r w:rsidRPr="47575B0A">
        <w:rPr>
          <w:rFonts w:ascii="Times New Roman" w:eastAsia="Times New Roman" w:hAnsi="Times New Roman" w:cs="Times New Roman"/>
          <w:color w:val="000000" w:themeColor="text1"/>
        </w:rPr>
        <w:t xml:space="preserve"> and Brown in 2008, where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major challenges such </w:t>
      </w:r>
      <w:r w:rsidR="4C10EF5C" w:rsidRPr="47575B0A">
        <w:rPr>
          <w:rFonts w:ascii="Times New Roman" w:eastAsia="Times New Roman" w:hAnsi="Times New Roman" w:cs="Times New Roman"/>
          <w:color w:val="000000" w:themeColor="text1"/>
        </w:rPr>
        <w:t>as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additivity, inadequate percentile of distribution tail loss amongst others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w:t>
      </w:r>
    </w:p>
    <w:p w14:paraId="15B0EC7B" w14:textId="177162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on the other hand acts as a step up since it is derived from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but improves coherence properties and satisfies the shortcomings of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47575B0A">
        <w:rPr>
          <w:rFonts w:ascii="Times New Roman" w:eastAsia="Times New Roman" w:hAnsi="Times New Roman" w:cs="Times New Roman"/>
          <w:color w:val="000000" w:themeColor="text1"/>
        </w:rPr>
        <w:t>-</w:t>
      </w:r>
      <w:r w:rsidR="00E87707">
        <w:rPr>
          <w:rFonts w:ascii="Times New Roman" w:eastAsia="Times New Roman" w:hAnsi="Times New Roman" w:cs="Times New Roman"/>
          <w:color w:val="000000" w:themeColor="text1"/>
        </w:rPr>
        <w:t>adjusted returns</w:t>
      </w:r>
      <w:bookmarkStart w:id="0" w:name="_GoBack"/>
      <w:bookmarkEnd w:id="0"/>
      <w:r w:rsidRPr="47575B0A">
        <w:rPr>
          <w:rFonts w:ascii="Times New Roman" w:eastAsia="Times New Roman" w:hAnsi="Times New Roman" w:cs="Times New Roman"/>
          <w:color w:val="000000" w:themeColor="text1"/>
        </w:rPr>
        <w:t xml:space="preserve">. According to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achieves superior returns compared to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underscoring a more accurate measurement of financial risk.</w:t>
      </w:r>
    </w:p>
    <w:p w14:paraId="0D3D70C3" w14:textId="106091B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2.3.3 Integrated Forecasting and Optimization Models</w:t>
      </w:r>
    </w:p>
    <w:p w14:paraId="7FCB004E" w14:textId="5871EE0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markets are volatile and complex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In contrast, advanced algorithms like Random Forest and Neural </w:t>
      </w:r>
      <w:r w:rsidRPr="47575B0A">
        <w:rPr>
          <w:rFonts w:ascii="Times New Roman" w:eastAsia="Times New Roman" w:hAnsi="Times New Roman" w:cs="Times New Roman"/>
          <w:color w:val="000000" w:themeColor="text1"/>
        </w:rPr>
        <w:lastRenderedPageBreak/>
        <w:t>Networks are designed to identify intricate,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patterns that standard models miss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demonstrated that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14:paraId="5FD8D2FA" w14:textId="206881CB" w:rsidR="5C9F92AA" w:rsidRDefault="04A6D857"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Building</w:t>
      </w:r>
      <w:r w:rsidR="36B93CDD" w:rsidRPr="47575B0A">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which assume the future will look like the past</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47575B0A">
        <w:rPr>
          <w:rFonts w:ascii="Times New Roman" w:eastAsia="Times New Roman" w:hAnsi="Times New Roman" w:cs="Times New Roman"/>
          <w:color w:val="000000" w:themeColor="text1"/>
        </w:rPr>
        <w:t>Ashrafzadeh</w:t>
      </w:r>
      <w:proofErr w:type="spellEnd"/>
      <w:r w:rsidR="36B93CDD" w:rsidRPr="47575B0A">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47575B0A">
        <w:rPr>
          <w:rFonts w:ascii="Times New Roman" w:eastAsia="Times New Roman" w:hAnsi="Times New Roman" w:cs="Times New Roman"/>
          <w:color w:val="000000" w:themeColor="text1"/>
        </w:rPr>
        <w:t>Chaweewanchon</w:t>
      </w:r>
      <w:proofErr w:type="spellEnd"/>
      <w:r w:rsidR="36B93CDD" w:rsidRPr="47575B0A">
        <w:rPr>
          <w:rFonts w:ascii="Times New Roman" w:eastAsia="Times New Roman" w:hAnsi="Times New Roman" w:cs="Times New Roman"/>
          <w:color w:val="000000" w:themeColor="text1"/>
        </w:rPr>
        <w:t xml:space="preserve"> and </w:t>
      </w:r>
      <w:proofErr w:type="spellStart"/>
      <w:r w:rsidR="36B93CDD" w:rsidRPr="47575B0A">
        <w:rPr>
          <w:rFonts w:ascii="Times New Roman" w:eastAsia="Times New Roman" w:hAnsi="Times New Roman" w:cs="Times New Roman"/>
          <w:color w:val="000000" w:themeColor="text1"/>
        </w:rPr>
        <w:t>Chaysiri</w:t>
      </w:r>
      <w:proofErr w:type="spellEnd"/>
      <w:r w:rsidR="36B93CDD" w:rsidRPr="47575B0A">
        <w:rPr>
          <w:rFonts w:ascii="Times New Roman" w:eastAsia="Times New Roman" w:hAnsi="Times New Roman" w:cs="Times New Roman"/>
          <w:color w:val="000000" w:themeColor="text1"/>
        </w:rPr>
        <w:t xml:space="preserve"> (2022) proposed a two</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step approach where stocks are first pre</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47575B0A">
        <w:rPr>
          <w:rFonts w:ascii="Times New Roman" w:eastAsia="Times New Roman" w:hAnsi="Times New Roman" w:cs="Times New Roman"/>
          <w:color w:val="000000" w:themeColor="text1"/>
        </w:rPr>
        <w:t>Manogna</w:t>
      </w:r>
      <w:proofErr w:type="spellEnd"/>
      <w:r w:rsidR="36B93CDD" w:rsidRPr="47575B0A">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47575B0A">
        <w:rPr>
          <w:rFonts w:ascii="Times New Roman" w:eastAsia="Times New Roman" w:hAnsi="Times New Roman" w:cs="Times New Roman"/>
          <w:color w:val="000000" w:themeColor="text1"/>
        </w:rPr>
        <w:t>XGBoost</w:t>
      </w:r>
      <w:proofErr w:type="spellEnd"/>
      <w:r w:rsidR="36B93CDD" w:rsidRPr="47575B0A">
        <w:rPr>
          <w:rFonts w:ascii="Times New Roman" w:eastAsia="Times New Roman" w:hAnsi="Times New Roman" w:cs="Times New Roman"/>
          <w:color w:val="000000" w:themeColor="text1"/>
        </w:rPr>
        <w:t xml:space="preserve"> predictions with mean</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variance optimization greatly improves how portfolios are constructed by making them more responsive to market changes.</w:t>
      </w:r>
    </w:p>
    <w:p w14:paraId="5FA369AA" w14:textId="11A1FE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When these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to 0.77, essentially earning much higher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r w:rsidRPr="47575B0A">
        <w:rPr>
          <w:rFonts w:ascii="Times New Roman" w:eastAsia="Times New Roman" w:hAnsi="Times New Roman" w:cs="Times New Roman"/>
          <w:color w:val="000000" w:themeColor="text1"/>
        </w:rPr>
        <w:lastRenderedPageBreak/>
        <w:t>reported that prediction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found that strategies utilizing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14:paraId="5506606D" w14:textId="3D0816E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demonstrated that portfolios optimized using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14:paraId="2D12D23E" w14:textId="1321FC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2.4 Research Gap</w:t>
      </w:r>
    </w:p>
    <w:p w14:paraId="67DC0B48" w14:textId="5D71674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or even </w:t>
      </w:r>
      <w:r w:rsidRPr="47575B0A">
        <w:rPr>
          <w:rFonts w:ascii="Times New Roman" w:eastAsia="Times New Roman" w:hAnsi="Times New Roman" w:cs="Times New Roman"/>
          <w:color w:val="000000" w:themeColor="text1"/>
        </w:rPr>
        <w:lastRenderedPageBreak/>
        <w:t>more advanced techniques, behave under conditions of high market uncertainty, leptokurtic returns, and sudden economic or policy shifts.</w:t>
      </w:r>
    </w:p>
    <w:p w14:paraId="53F8F55D" w14:textId="7F24ED0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Furthermore, there is a clear shortage of research integrating predictive modeling with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where investors need both accurate predictions and robust allocation strategies simultaneously.</w:t>
      </w:r>
    </w:p>
    <w:p w14:paraId="43091496" w14:textId="118A7B4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driven,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portfolios perform under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14:paraId="5BBAD797" w14:textId="48EA602E"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2.5 Summary of Gaps in Literature</w:t>
      </w:r>
    </w:p>
    <w:p w14:paraId="49010BCC" w14:textId="267100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aware portfolio construction, and few studies have tested these methods in real emerging markets. This leaves important questions unanswered about the effectiveness, adaptability, and practical value of such hybrid approaches </w:t>
      </w:r>
      <w:r w:rsidRPr="47575B0A">
        <w:rPr>
          <w:rFonts w:ascii="Times New Roman" w:eastAsia="Times New Roman" w:hAnsi="Times New Roman" w:cs="Times New Roman"/>
          <w:color w:val="000000" w:themeColor="text1"/>
        </w:rPr>
        <w:lastRenderedPageBreak/>
        <w:t>for investors navigating volatile and complex market environments. These gaps justify the need for a study that develops and evaluates a framework combining predictive forecasting with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optimization tailored to Nigerian equities.</w:t>
      </w:r>
    </w:p>
    <w:p w14:paraId="26C74C47" w14:textId="39EDB066" w:rsidR="28C1B626" w:rsidRDefault="28C1B626" w:rsidP="00B61C71">
      <w:pPr>
        <w:spacing w:after="0" w:line="480" w:lineRule="auto"/>
        <w:jc w:val="both"/>
        <w:rPr>
          <w:rFonts w:ascii="Times New Roman" w:eastAsia="Times New Roman" w:hAnsi="Times New Roman" w:cs="Times New Roman"/>
          <w:color w:val="000000" w:themeColor="text1"/>
        </w:rPr>
      </w:pPr>
    </w:p>
    <w:p w14:paraId="20FA86DC" w14:textId="2C1CD5E0"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CHAPTER THREE </w:t>
      </w:r>
    </w:p>
    <w:p w14:paraId="02C0A4C1" w14:textId="47B8659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RESEARCH METHODOLOGY</w:t>
      </w:r>
      <w:r w:rsidRPr="47575B0A">
        <w:rPr>
          <w:rFonts w:ascii="Times New Roman" w:eastAsia="Times New Roman" w:hAnsi="Times New Roman" w:cs="Times New Roman"/>
          <w:color w:val="000000" w:themeColor="text1"/>
        </w:rPr>
        <w:t xml:space="preserve"> </w:t>
      </w:r>
    </w:p>
    <w:p w14:paraId="31B35FEE" w14:textId="4CE4D776"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14:paraId="51616E1A" w14:textId="5BC55305"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is </w:t>
      </w:r>
      <w:r w:rsidR="3E0B97BD" w:rsidRPr="47575B0A">
        <w:rPr>
          <w:rFonts w:ascii="Times New Roman" w:eastAsia="Times New Roman" w:hAnsi="Times New Roman" w:cs="Times New Roman"/>
          <w:color w:val="000000" w:themeColor="text1"/>
        </w:rPr>
        <w:t>organized</w:t>
      </w:r>
      <w:r w:rsidRPr="47575B0A">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47575B0A">
        <w:rPr>
          <w:rFonts w:ascii="Times New Roman" w:eastAsia="Times New Roman" w:hAnsi="Times New Roman" w:cs="Times New Roman"/>
          <w:color w:val="000000" w:themeColor="text1"/>
        </w:rPr>
        <w:t>study,</w:t>
      </w:r>
      <w:r w:rsidRPr="47575B0A">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47575B0A">
        <w:rPr>
          <w:rFonts w:ascii="Times New Roman" w:eastAsia="Times New Roman" w:hAnsi="Times New Roman" w:cs="Times New Roman"/>
          <w:color w:val="000000" w:themeColor="text1"/>
        </w:rPr>
        <w:t>objectives</w:t>
      </w:r>
      <w:r w:rsidRPr="47575B0A">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47575B0A">
        <w:rPr>
          <w:rFonts w:ascii="Times New Roman" w:eastAsia="Times New Roman" w:hAnsi="Times New Roman" w:cs="Times New Roman"/>
          <w:color w:val="000000" w:themeColor="text1"/>
        </w:rPr>
        <w:t>chapter,</w:t>
      </w:r>
      <w:r w:rsidRPr="47575B0A">
        <w:rPr>
          <w:rFonts w:ascii="Times New Roman" w:eastAsia="Times New Roman" w:hAnsi="Times New Roman" w:cs="Times New Roman"/>
          <w:color w:val="000000" w:themeColor="text1"/>
        </w:rPr>
        <w:t xml:space="preserve"> explains how data will be obtained. </w:t>
      </w:r>
    </w:p>
    <w:p w14:paraId="563D67EA" w14:textId="6902DD23"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3.1 THEORETICAL FRAMEWORK</w:t>
      </w:r>
      <w:r w:rsidRPr="47575B0A">
        <w:rPr>
          <w:rFonts w:ascii="Times New Roman" w:eastAsia="Times New Roman" w:hAnsi="Times New Roman" w:cs="Times New Roman"/>
          <w:color w:val="000000" w:themeColor="text1"/>
        </w:rPr>
        <w:t xml:space="preserve"> </w:t>
      </w:r>
    </w:p>
    <w:p w14:paraId="4D21870B" w14:textId="298B3298"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3.1.1 Modern Portfolio Theory and Tail Risk </w:t>
      </w:r>
    </w:p>
    <w:p w14:paraId="7E473F4D" w14:textId="2A42C412" w:rsidR="5F9D19BA" w:rsidRPr="00A434F0" w:rsidRDefault="1C72C910"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As established in Chapter 2, the foundation of portfolio selection lies in Harry Markowitz's Modern Portfolio Theory (MPT), which formalizes the risk-return trade-off by assuming normally </w:t>
      </w:r>
      <w:r w:rsidRPr="00A434F0">
        <w:rPr>
          <w:rFonts w:ascii="Times New Roman" w:eastAsia="Times New Roman" w:hAnsi="Times New Roman" w:cs="Times New Roman"/>
          <w:color w:val="000000" w:themeColor="text1"/>
        </w:rPr>
        <w:lastRenderedPageBreak/>
        <w:t>distributed returns and relying on symmetric variance as the primary measure of risk (Markowitz, 1952).</w:t>
      </w:r>
    </w:p>
    <w:p w14:paraId="4C282BCD" w14:textId="36731C86" w:rsidR="46801BCD" w:rsidRPr="00A434F0" w:rsidRDefault="46801BCD"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A434F0">
        <w:rPr>
          <w:rFonts w:ascii="Times New Roman" w:eastAsia="Times New Roman" w:hAnsi="Times New Roman" w:cs="Times New Roman"/>
          <w:color w:val="000000" w:themeColor="text1"/>
        </w:rPr>
        <w:t>Arif</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Sohail</w:t>
      </w:r>
      <w:proofErr w:type="spellEnd"/>
      <w:r w:rsidRPr="00A434F0">
        <w:rPr>
          <w:rFonts w:ascii="Times New Roman" w:eastAsia="Times New Roman" w:hAnsi="Times New Roman" w:cs="Times New Roman"/>
          <w:color w:val="000000" w:themeColor="text1"/>
        </w:rPr>
        <w:t xml:space="preserve">, 2020). </w:t>
      </w:r>
      <w:r w:rsidR="1DA66D02" w:rsidRPr="00A434F0">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A434F0">
        <w:rPr>
          <w:rFonts w:ascii="Times New Roman" w:eastAsia="Times New Roman" w:hAnsi="Times New Roman" w:cs="Times New Roman"/>
          <w:color w:val="000000" w:themeColor="text1"/>
        </w:rPr>
        <w:t>Alotaibi</w:t>
      </w:r>
      <w:proofErr w:type="spellEnd"/>
      <w:r w:rsidR="2EF1A0F4" w:rsidRPr="00A434F0">
        <w:rPr>
          <w:rFonts w:ascii="Times New Roman" w:eastAsia="Times New Roman" w:hAnsi="Times New Roman" w:cs="Times New Roman"/>
          <w:color w:val="000000" w:themeColor="text1"/>
        </w:rPr>
        <w:t xml:space="preserve"> et al.</w:t>
      </w:r>
      <w:r w:rsidR="1DA66D02" w:rsidRPr="00A434F0">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A434F0">
        <w:rPr>
          <w:rFonts w:ascii="Times New Roman" w:eastAsia="Times New Roman" w:hAnsi="Times New Roman" w:cs="Times New Roman"/>
          <w:color w:val="000000" w:themeColor="text1"/>
        </w:rPr>
        <w:t>CVaR</w:t>
      </w:r>
      <w:proofErr w:type="spellEnd"/>
      <w:r w:rsidR="1DA66D02" w:rsidRPr="00A434F0">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A434F0">
        <w:rPr>
          <w:rFonts w:ascii="Times New Roman" w:eastAsia="Times New Roman" w:hAnsi="Times New Roman" w:cs="Times New Roman"/>
          <w:color w:val="000000" w:themeColor="text1"/>
        </w:rPr>
        <w:t>Rockafellar</w:t>
      </w:r>
      <w:proofErr w:type="spellEnd"/>
      <w:r w:rsidR="1DA66D02" w:rsidRPr="00A434F0">
        <w:rPr>
          <w:rFonts w:ascii="Times New Roman" w:eastAsia="Times New Roman" w:hAnsi="Times New Roman" w:cs="Times New Roman"/>
          <w:color w:val="000000" w:themeColor="text1"/>
        </w:rPr>
        <w:t xml:space="preserve"> &amp; </w:t>
      </w:r>
      <w:proofErr w:type="spellStart"/>
      <w:r w:rsidR="1DA66D02" w:rsidRPr="00A434F0">
        <w:rPr>
          <w:rFonts w:ascii="Times New Roman" w:eastAsia="Times New Roman" w:hAnsi="Times New Roman" w:cs="Times New Roman"/>
          <w:color w:val="000000" w:themeColor="text1"/>
        </w:rPr>
        <w:t>Uryasev</w:t>
      </w:r>
      <w:proofErr w:type="spellEnd"/>
      <w:r w:rsidR="1DA66D02" w:rsidRPr="00A434F0">
        <w:rPr>
          <w:rFonts w:ascii="Times New Roman" w:eastAsia="Times New Roman" w:hAnsi="Times New Roman" w:cs="Times New Roman"/>
          <w:color w:val="000000" w:themeColor="text1"/>
        </w:rPr>
        <w:t>, 2002)</w:t>
      </w:r>
      <w:r w:rsidR="72271ABC" w:rsidRPr="00A434F0">
        <w:rPr>
          <w:rFonts w:ascii="Times New Roman" w:eastAsia="Times New Roman" w:hAnsi="Times New Roman" w:cs="Times New Roman"/>
          <w:color w:val="000000" w:themeColor="text1"/>
        </w:rPr>
        <w:t>.</w:t>
      </w:r>
    </w:p>
    <w:p w14:paraId="66EA5407" w14:textId="2AA8B392" w:rsidR="1EF61C5A" w:rsidRPr="00A434F0" w:rsidRDefault="41CA8574" w:rsidP="00B61C71">
      <w:pPr>
        <w:spacing w:before="240" w:after="200" w:line="480" w:lineRule="auto"/>
        <w:jc w:val="both"/>
        <w:rPr>
          <w:rFonts w:ascii="Times New Roman" w:eastAsia="Times New Roman" w:hAnsi="Times New Roman" w:cs="Times New Roman"/>
          <w:b/>
          <w:bCs/>
          <w:color w:val="000000" w:themeColor="text1"/>
        </w:rPr>
      </w:pPr>
      <w:r w:rsidRPr="00A434F0">
        <w:rPr>
          <w:rFonts w:ascii="Times New Roman" w:eastAsia="Times New Roman" w:hAnsi="Times New Roman" w:cs="Times New Roman"/>
          <w:b/>
          <w:bCs/>
          <w:color w:val="000000" w:themeColor="text1"/>
        </w:rPr>
        <w:t xml:space="preserve">3.1.2 Machine Learning Theories for Forecasting </w:t>
      </w:r>
    </w:p>
    <w:p w14:paraId="57D992C6" w14:textId="2BADCB9B"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A434F0">
        <w:rPr>
          <w:rFonts w:ascii="Times New Roman" w:eastAsia="Times New Roman" w:hAnsi="Times New Roman" w:cs="Times New Roman"/>
          <w:color w:val="000000" w:themeColor="text1"/>
        </w:rPr>
        <w:t>Fama</w:t>
      </w:r>
      <w:proofErr w:type="spellEnd"/>
      <w:r w:rsidRPr="00A434F0">
        <w:rPr>
          <w:rFonts w:ascii="Times New Roman" w:eastAsia="Times New Roman" w:hAnsi="Times New Roman" w:cs="Times New Roman"/>
          <w:color w:val="000000" w:themeColor="text1"/>
        </w:rPr>
        <w:t>, 1970).</w:t>
      </w:r>
    </w:p>
    <w:p w14:paraId="2D5262A0" w14:textId="14AE1AA4"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However, substantial empirical evidence challenges these strict assumptions, particularly in emerging markets like the Nigerian Exchange Group (NGX), which exhibit market frictions, </w:t>
      </w:r>
      <w:r w:rsidRPr="00A434F0">
        <w:rPr>
          <w:rFonts w:ascii="Times New Roman" w:eastAsia="Times New Roman" w:hAnsi="Times New Roman" w:cs="Times New Roman"/>
          <w:color w:val="000000" w:themeColor="text1"/>
        </w:rPr>
        <w:lastRenderedPageBreak/>
        <w:t>significant volatility clustering, frequent structural breaks, and complex non-linear correlations (</w:t>
      </w:r>
      <w:proofErr w:type="spellStart"/>
      <w:r w:rsidRPr="00A434F0">
        <w:rPr>
          <w:rFonts w:ascii="Times New Roman" w:eastAsia="Times New Roman" w:hAnsi="Times New Roman" w:cs="Times New Roman"/>
          <w:color w:val="000000" w:themeColor="text1"/>
        </w:rPr>
        <w:t>Adegboyo</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Sarwar</w:t>
      </w:r>
      <w:proofErr w:type="spellEnd"/>
      <w:r w:rsidRPr="00A434F0">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A434F0">
        <w:rPr>
          <w:rFonts w:ascii="Times New Roman" w:eastAsia="Times New Roman" w:hAnsi="Times New Roman" w:cs="Times New Roman"/>
          <w:color w:val="000000" w:themeColor="text1"/>
        </w:rPr>
        <w:t>Gu</w:t>
      </w:r>
      <w:proofErr w:type="spellEnd"/>
      <w:proofErr w:type="gramEnd"/>
      <w:r w:rsidRPr="00A434F0">
        <w:rPr>
          <w:rFonts w:ascii="Times New Roman" w:eastAsia="Times New Roman" w:hAnsi="Times New Roman" w:cs="Times New Roman"/>
          <w:color w:val="000000" w:themeColor="text1"/>
        </w:rPr>
        <w:t xml:space="preserve">, Kelly, &amp; </w:t>
      </w:r>
      <w:proofErr w:type="spellStart"/>
      <w:r w:rsidRPr="00A434F0">
        <w:rPr>
          <w:rFonts w:ascii="Times New Roman" w:eastAsia="Times New Roman" w:hAnsi="Times New Roman" w:cs="Times New Roman"/>
          <w:color w:val="000000" w:themeColor="text1"/>
        </w:rPr>
        <w:t>Xiu</w:t>
      </w:r>
      <w:proofErr w:type="spellEnd"/>
      <w:r w:rsidRPr="00A434F0">
        <w:rPr>
          <w:rFonts w:ascii="Times New Roman" w:eastAsia="Times New Roman" w:hAnsi="Times New Roman" w:cs="Times New Roman"/>
          <w:color w:val="000000" w:themeColor="text1"/>
        </w:rPr>
        <w:t xml:space="preserve">, 2019). </w:t>
      </w:r>
    </w:p>
    <w:p w14:paraId="4ABAE1CC" w14:textId="07997735" w:rsidR="289DEFA7" w:rsidRPr="00A434F0" w:rsidRDefault="289DEFA7"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Consequently, this methodology adopts advanced ensemble machine learning algorithms-specifically Random Forest and </w:t>
      </w:r>
      <w:proofErr w:type="spellStart"/>
      <w:r w:rsidRPr="00A434F0">
        <w:rPr>
          <w:rFonts w:ascii="Times New Roman" w:eastAsia="Times New Roman" w:hAnsi="Times New Roman" w:cs="Times New Roman"/>
          <w:color w:val="000000" w:themeColor="text1"/>
        </w:rPr>
        <w:t>eXtreme</w:t>
      </w:r>
      <w:proofErr w:type="spellEnd"/>
      <w:r w:rsidRPr="00A434F0">
        <w:rPr>
          <w:rFonts w:ascii="Times New Roman" w:eastAsia="Times New Roman" w:hAnsi="Times New Roman" w:cs="Times New Roman"/>
          <w:color w:val="000000" w:themeColor="text1"/>
        </w:rPr>
        <w:t xml:space="preserve"> Gradient Boosting (</w:t>
      </w:r>
      <w:proofErr w:type="spellStart"/>
      <w:r w:rsidRPr="00A434F0">
        <w:rPr>
          <w:rFonts w:ascii="Times New Roman" w:eastAsia="Times New Roman" w:hAnsi="Times New Roman" w:cs="Times New Roman"/>
          <w:color w:val="000000" w:themeColor="text1"/>
        </w:rPr>
        <w:t>XGBoost</w:t>
      </w:r>
      <w:proofErr w:type="spellEnd"/>
      <w:r w:rsidRPr="00A434F0">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A434F0">
        <w:rPr>
          <w:rFonts w:ascii="Times New Roman" w:eastAsia="Times New Roman" w:hAnsi="Times New Roman" w:cs="Times New Roman"/>
          <w:color w:val="000000" w:themeColor="text1"/>
        </w:rPr>
        <w:t>Manogna</w:t>
      </w:r>
      <w:proofErr w:type="spellEnd"/>
      <w:r w:rsidRPr="00A434F0">
        <w:rPr>
          <w:rFonts w:ascii="Times New Roman" w:eastAsia="Times New Roman" w:hAnsi="Times New Roman" w:cs="Times New Roman"/>
          <w:color w:val="000000" w:themeColor="text1"/>
        </w:rPr>
        <w:t xml:space="preserve"> &amp; Kulkarni, 2025; </w:t>
      </w:r>
      <w:proofErr w:type="spellStart"/>
      <w:r w:rsidRPr="00A434F0">
        <w:rPr>
          <w:rFonts w:ascii="Times New Roman" w:eastAsia="Times New Roman" w:hAnsi="Times New Roman" w:cs="Times New Roman"/>
          <w:color w:val="000000" w:themeColor="text1"/>
        </w:rPr>
        <w:t>Ashrafzadeh</w:t>
      </w:r>
      <w:proofErr w:type="spellEnd"/>
      <w:r w:rsidRPr="00A434F0">
        <w:rPr>
          <w:rFonts w:ascii="Times New Roman" w:eastAsia="Times New Roman" w:hAnsi="Times New Roman" w:cs="Times New Roman"/>
          <w:color w:val="000000" w:themeColor="text1"/>
        </w:rPr>
        <w:t xml:space="preserve"> et al., 2025)</w:t>
      </w:r>
    </w:p>
    <w:p w14:paraId="5868192A" w14:textId="78CAE41D"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 Model Specification </w:t>
      </w:r>
    </w:p>
    <w:p w14:paraId="34DE4672" w14:textId="63B2CC8A"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3.2.1 Predictive Models </w:t>
      </w:r>
    </w:p>
    <w:p w14:paraId="5EC9F1DC" w14:textId="0FCEC90B"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The aim of the predictive phase of the study is to forecast </w:t>
      </w:r>
      <w:r w:rsidR="771C9D9C" w:rsidRPr="47575B0A">
        <w:rPr>
          <w:rFonts w:ascii="Times New Roman" w:eastAsia="Times New Roman" w:hAnsi="Times New Roman" w:cs="Times New Roman"/>
          <w:color w:val="000000" w:themeColor="text1"/>
        </w:rPr>
        <w:t>future</w:t>
      </w:r>
      <w:r w:rsidRPr="47575B0A">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and interacting market dynamics. </w:t>
      </w:r>
    </w:p>
    <w:p w14:paraId="3BB320D3" w14:textId="1B3EA57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Let </w:t>
      </w:r>
      <w:proofErr w:type="gramStart"/>
      <w:r w:rsidRPr="47575B0A">
        <w:rPr>
          <w:rFonts w:ascii="Times New Roman" w:eastAsia="Times New Roman" w:hAnsi="Times New Roman" w:cs="Times New Roman"/>
          <w:color w:val="000000" w:themeColor="text1"/>
        </w:rPr>
        <w:t>Rt+</w:t>
      </w:r>
      <w:proofErr w:type="gramEnd"/>
      <w:r w:rsidRPr="47575B0A">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14:paraId="2345E993" w14:textId="28EB6D8B" w:rsidR="2DC85E35" w:rsidRDefault="00E87707" w:rsidP="00B61C71">
      <w:pPr>
        <w:spacing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t+1</m:t>
              </m:r>
            </m:sub>
          </m:sSub>
        </m:oMath>
      </m:oMathPara>
    </w:p>
    <w:p w14:paraId="4E085888" w14:textId="3A55F61A" w:rsidR="69DFAEA5" w:rsidRDefault="6CE743C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DB0A49E" w14:textId="17EF8C10"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R</m:t>
            </m:r>
          </m:e>
          <m:sub>
            <m:r>
              <w:rPr>
                <w:rFonts w:ascii="Cambria Math" w:hAnsi="Cambria Math"/>
              </w:rPr>
              <m:t>t+1</m:t>
            </m:r>
          </m:sub>
        </m:sSub>
      </m:oMath>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dependent </w:t>
      </w:r>
      <w:r w:rsidR="61939115" w:rsidRPr="28C1B626">
        <w:rPr>
          <w:rFonts w:ascii="Times New Roman" w:eastAsia="Times New Roman" w:hAnsi="Times New Roman" w:cs="Times New Roman"/>
        </w:rPr>
        <w:t>variable</w:t>
      </w:r>
      <w:r w:rsidR="6CE743C7" w:rsidRPr="28C1B626">
        <w:rPr>
          <w:rFonts w:ascii="Times New Roman" w:eastAsia="Times New Roman" w:hAnsi="Times New Roman" w:cs="Times New Roman"/>
        </w:rPr>
        <w:t xml:space="preserve"> </w:t>
      </w:r>
      <w:r w:rsidR="2DFEE1D4" w:rsidRPr="28C1B626">
        <w:rPr>
          <w:rFonts w:ascii="Times New Roman" w:eastAsia="Times New Roman" w:hAnsi="Times New Roman" w:cs="Times New Roman"/>
        </w:rPr>
        <w:t>representing</w:t>
      </w:r>
      <w:r w:rsidR="6CE743C7" w:rsidRPr="28C1B626">
        <w:rPr>
          <w:rFonts w:ascii="Times New Roman" w:eastAsia="Times New Roman" w:hAnsi="Times New Roman" w:cs="Times New Roman"/>
        </w:rPr>
        <w:t xml:space="preserve"> the weekly logarithmic return at time </w:t>
      </w:r>
      <m:oMath>
        <m:r>
          <w:rPr>
            <w:rFonts w:ascii="Cambria Math" w:hAnsi="Cambria Math"/>
          </w:rPr>
          <m:t>t+1 </m:t>
        </m:r>
      </m:oMath>
      <w:r w:rsidR="6CE743C7" w:rsidRPr="28C1B626">
        <w:rPr>
          <w:rFonts w:ascii="Times New Roman" w:eastAsia="Times New Roman" w:hAnsi="Times New Roman" w:cs="Times New Roman"/>
        </w:rPr>
        <w:t>.</w:t>
      </w:r>
    </w:p>
    <w:p w14:paraId="47A67342" w14:textId="508BE5D7" w:rsidR="2DC85E35" w:rsidRDefault="2DC85E35" w:rsidP="00B61C71">
      <w:pPr>
        <w:pStyle w:val="ListParagraph"/>
        <w:numPr>
          <w:ilvl w:val="0"/>
          <w:numId w:val="10"/>
        </w:numPr>
        <w:spacing w:before="240" w:after="240" w:line="480" w:lineRule="auto"/>
        <w:jc w:val="both"/>
        <w:rPr>
          <w:rFonts w:ascii="Times New Roman" w:eastAsia="Times New Roman" w:hAnsi="Times New Roman" w:cs="Times New Roman"/>
        </w:rPr>
      </w:pPr>
      <m:oMath>
        <m:r>
          <w:rPr>
            <w:rFonts w:ascii="Cambria Math" w:hAnsi="Cambria Math"/>
          </w:rPr>
          <m:t>F </m:t>
        </m:r>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represents</w:t>
      </w:r>
      <w:proofErr w:type="gramEnd"/>
      <w:r w:rsidR="6CE743C7" w:rsidRPr="28C1B626">
        <w:rPr>
          <w:rFonts w:ascii="Times New Roman" w:eastAsia="Times New Roman" w:hAnsi="Times New Roman" w:cs="Times New Roman"/>
        </w:rPr>
        <w:t xml:space="preserve"> the complex, non</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 xml:space="preserve">linear mapping function that will be empirically approximated by the ensemble machine learning algorithms (Random Forest and </w:t>
      </w:r>
      <w:proofErr w:type="spellStart"/>
      <w:r w:rsidR="6CE743C7" w:rsidRPr="28C1B626">
        <w:rPr>
          <w:rFonts w:ascii="Times New Roman" w:eastAsia="Times New Roman" w:hAnsi="Times New Roman" w:cs="Times New Roman"/>
        </w:rPr>
        <w:t>XGBoost</w:t>
      </w:r>
      <w:proofErr w:type="spellEnd"/>
      <w:r w:rsidR="6CE743C7" w:rsidRPr="28C1B626">
        <w:rPr>
          <w:rFonts w:ascii="Times New Roman" w:eastAsia="Times New Roman" w:hAnsi="Times New Roman" w:cs="Times New Roman"/>
        </w:rPr>
        <w:t>).</w:t>
      </w:r>
    </w:p>
    <w:p w14:paraId="17244AB8" w14:textId="11578064"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multi</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dimensional feature vector containing the independent variables strictly observed at the end of week</w:t>
      </w:r>
      <w:r w:rsidR="5936A5B0" w:rsidRPr="28C1B626">
        <w:rPr>
          <w:rFonts w:ascii="Times New Roman" w:eastAsia="Times New Roman" w:hAnsi="Times New Roman" w:cs="Times New Roman"/>
        </w:rPr>
        <w:t xml:space="preserve"> </w:t>
      </w:r>
      <m:oMath>
        <m:r>
          <w:rPr>
            <w:rFonts w:ascii="Cambria Math" w:hAnsi="Cambria Math"/>
          </w:rPr>
          <m:t>t </m:t>
        </m:r>
      </m:oMath>
      <w:r w:rsidR="6CE743C7" w:rsidRPr="28C1B626">
        <w:rPr>
          <w:rFonts w:ascii="Times New Roman" w:eastAsia="Times New Roman" w:hAnsi="Times New Roman" w:cs="Times New Roman"/>
        </w:rPr>
        <w:t>.</w:t>
      </w:r>
    </w:p>
    <w:p w14:paraId="0A60CE10" w14:textId="1F794704" w:rsidR="2DC85E35" w:rsidRDefault="00E87707"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ε</m:t>
            </m:r>
          </m:e>
          <m:sub>
            <m:r>
              <w:rPr>
                <w:rFonts w:ascii="Cambria Math" w:hAnsi="Cambria Math"/>
              </w:rPr>
              <m:t>t+1</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idiosyncratic error term (or white noise) representing unobservable market shocks that occur at time</w:t>
      </w:r>
      <m:oMath>
        <m:r>
          <w:rPr>
            <w:rFonts w:ascii="Cambria Math" w:hAnsi="Cambria Math"/>
          </w:rPr>
          <m:t>t+1 </m:t>
        </m:r>
      </m:oMath>
      <w:r w:rsidR="6CE743C7" w:rsidRPr="28C1B626">
        <w:rPr>
          <w:rFonts w:ascii="Times New Roman" w:eastAsia="Times New Roman" w:hAnsi="Times New Roman" w:cs="Times New Roman"/>
        </w:rPr>
        <w:t xml:space="preserve">, which are independent of the information set at time </w:t>
      </w:r>
      <m:oMath>
        <m:r>
          <w:rPr>
            <w:rFonts w:ascii="Cambria Math" w:hAnsi="Cambria Math"/>
          </w:rPr>
          <m:t>t </m:t>
        </m:r>
      </m:oMath>
      <w:r w:rsidR="6CE743C7" w:rsidRPr="28C1B626">
        <w:rPr>
          <w:rFonts w:ascii="Times New Roman" w:eastAsia="Times New Roman" w:hAnsi="Times New Roman" w:cs="Times New Roman"/>
        </w:rPr>
        <w:t>.</w:t>
      </w:r>
    </w:p>
    <w:p w14:paraId="37BAE061" w14:textId="22069DD5" w:rsidR="535C9A16" w:rsidRDefault="4692CF0F"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14:paraId="1A94AD49" w14:textId="581D4D87" w:rsidR="3F330B67" w:rsidRDefault="4692CF0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The feature vector</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is mathematically defined as a </w:t>
      </w:r>
      <m:oMath>
        <m:r>
          <w:rPr>
            <w:rFonts w:ascii="Cambria Math" w:hAnsi="Cambria Math"/>
          </w:rPr>
          <m:t>13×1 </m:t>
        </m:r>
      </m:oMath>
      <w:r w:rsidRPr="28C1B626">
        <w:rPr>
          <w:rFonts w:ascii="Times New Roman" w:eastAsia="Times New Roman" w:hAnsi="Times New Roman" w:cs="Times New Roman"/>
        </w:rPr>
        <w:t xml:space="preserve"> column </w:t>
      </w:r>
      <w:r w:rsidR="5DEDE1EF" w:rsidRPr="28C1B626">
        <w:rPr>
          <w:rFonts w:ascii="Times New Roman" w:eastAsia="Times New Roman" w:hAnsi="Times New Roman" w:cs="Times New Roman"/>
        </w:rPr>
        <w:t xml:space="preserve">vector: </w:t>
      </w:r>
    </w:p>
    <w:p w14:paraId="1E771FDA" w14:textId="58FCA314" w:rsidR="5C0CF8D3" w:rsidRDefault="00E87707"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t</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1,t</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2,t</m:t>
                            </m:r>
                          </m:sub>
                        </m:sSub>
                      </m:e>
                    </m:mr>
                    <m:mr>
                      <m:e>
                        <m:r>
                          <w:rPr>
                            <w:rFonts w:ascii="Cambria Math" w:eastAsia="Times New Roman" w:hAnsi="Cambria Math" w:cs="Times New Roman"/>
                          </w:rPr>
                          <m:t>.</m:t>
                        </m:r>
                      </m:e>
                    </m:mr>
                  </m:m>
                </m:e>
                <m:e>
                  <m:r>
                    <w:rPr>
                      <w:rFonts w:ascii="Cambria Math" w:eastAsia="Times New Roman"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13,t</m:t>
                      </m:r>
                    </m:sub>
                  </m:sSub>
                </m:e>
              </m:eqArr>
            </m:e>
          </m:d>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MACD</m:t>
                      </m:r>
                    </m:e>
                    <m:sub>
                      <m:r>
                        <w:rPr>
                          <w:rFonts w:ascii="Cambria Math" w:eastAsia="Times New Roman" w:hAnsi="Cambria Math" w:cs="Times New Roman"/>
                        </w:rPr>
                        <m:t>t</m:t>
                      </m:r>
                    </m:sub>
                  </m:sSub>
                </m:e>
                <m:e>
                  <m:sSub>
                    <m:sSubPr>
                      <m:ctrlPr>
                        <w:rPr>
                          <w:rFonts w:ascii="Cambria Math" w:eastAsia="Times New Roman" w:hAnsi="Cambria Math" w:cs="Times New Roman"/>
                          <w:i/>
                        </w:rPr>
                      </m:ctrlPr>
                    </m:sSubPr>
                    <m:e>
                      <m:r>
                        <w:rPr>
                          <w:rFonts w:ascii="Cambria Math" w:eastAsia="Times New Roman" w:hAnsi="Cambria Math" w:cs="Times New Roman"/>
                        </w:rPr>
                        <m:t>PPO</m:t>
                      </m:r>
                    </m:e>
                    <m:sub>
                      <m:r>
                        <w:rPr>
                          <w:rFonts w:ascii="Cambria Math" w:eastAsia="Times New Roman" w:hAnsi="Cambria Math" w:cs="Times New Roman"/>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RSI</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STOCH</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SMA</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ADX</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SAR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OBV</m:t>
                      </m:r>
                    </m:e>
                    <m:sub>
                      <m:r>
                        <w:rPr>
                          <w:rFonts w:ascii="Cambria Math" w:eastAsia="Cambria Math" w:hAnsi="Cambria Math" w:cs="Cambria Math"/>
                        </w:rPr>
                        <m:t>t</m:t>
                      </m:r>
                    </m:sub>
                  </m:sSub>
                </m:e>
              </m:eqArr>
            </m:e>
          </m:d>
        </m:oMath>
      </m:oMathPara>
    </w:p>
    <w:p w14:paraId="1E02AD86" w14:textId="044A2414" w:rsidR="2DC85E35" w:rsidRDefault="2DC85E35" w:rsidP="00B61C71">
      <w:pPr>
        <w:spacing w:after="240" w:line="480" w:lineRule="auto"/>
        <w:jc w:val="both"/>
        <w:rPr>
          <w:rFonts w:ascii="Times New Roman" w:eastAsia="Times New Roman" w:hAnsi="Times New Roman" w:cs="Times New Roman"/>
        </w:rPr>
      </w:pPr>
    </w:p>
    <w:p w14:paraId="0FEC727A" w14:textId="5B537034"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The variables within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are categorized into four distinct market dimensions:</w:t>
      </w:r>
    </w:p>
    <w:p w14:paraId="01A48251" w14:textId="1251AAA3"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Momentum and Oscillator Indicators:</w:t>
      </w:r>
      <w:r w:rsidRPr="28C1B626">
        <w:rPr>
          <w:rFonts w:ascii="Times New Roman" w:eastAsia="Times New Roman" w:hAnsi="Times New Roman" w:cs="Times New Roman"/>
        </w:rPr>
        <w:t xml:space="preserve"> The Moving Average Convergence Divergence (</w:t>
      </w:r>
      <m:oMath>
        <m:r>
          <w:rPr>
            <w:rFonts w:ascii="Cambria Math" w:hAnsi="Cambria Math"/>
          </w:rPr>
          <m:t>MAC</m:t>
        </m:r>
        <m:sSub>
          <m:sSubPr>
            <m:ctrlPr>
              <w:rPr>
                <w:rFonts w:ascii="Cambria Math" w:hAnsi="Cambria Math"/>
              </w:rPr>
            </m:ctrlPr>
          </m:sSubPr>
          <m:e>
            <m:r>
              <w:rPr>
                <w:rFonts w:ascii="Cambria Math" w:hAnsi="Cambria Math"/>
              </w:rPr>
              <m:t>D</m:t>
            </m:r>
          </m:e>
          <m:sub>
            <m:r>
              <w:rPr>
                <w:rFonts w:ascii="Cambria Math" w:hAnsi="Cambria Math"/>
              </w:rPr>
              <m:t>t</m:t>
            </m:r>
          </m:sub>
        </m:sSub>
      </m:oMath>
      <w:r w:rsidRPr="28C1B626">
        <w:rPr>
          <w:rFonts w:ascii="Times New Roman" w:eastAsia="Times New Roman" w:hAnsi="Times New Roman" w:cs="Times New Roman"/>
        </w:rPr>
        <w:t>), Percentage Price Oscillator (</w:t>
      </w:r>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w:r w:rsidRPr="28C1B626">
        <w:rPr>
          <w:rFonts w:ascii="Times New Roman" w:eastAsia="Times New Roman" w:hAnsi="Times New Roman" w:cs="Times New Roman"/>
        </w:rPr>
        <w:t xml:space="preserve">), Relative Strength </w:t>
      </w:r>
      <w:proofErr w:type="gramStart"/>
      <w:r w:rsidRPr="28C1B626">
        <w:rPr>
          <w:rFonts w:ascii="Times New Roman" w:eastAsia="Times New Roman" w:hAnsi="Times New Roman" w:cs="Times New Roman"/>
        </w:rPr>
        <w:t>Index</w:t>
      </w:r>
      <w:r w:rsidR="76B9F1C7" w:rsidRPr="28C1B626">
        <w:rPr>
          <w:rFonts w:ascii="Times New Roman" w:eastAsia="Times New Roman" w:hAnsi="Times New Roman" w:cs="Times New Roman"/>
        </w:rPr>
        <w:t>(</w:t>
      </w:r>
      <w:proofErr w:type="gramEnd"/>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w:r w:rsidR="7C85BEA8" w:rsidRPr="28C1B626">
        <w:rPr>
          <w:rFonts w:ascii="Times New Roman" w:eastAsia="Times New Roman" w:hAnsi="Times New Roman" w:cs="Times New Roman"/>
        </w:rPr>
        <w:t>)</w:t>
      </w:r>
      <w:r w:rsidRPr="28C1B626">
        <w:rPr>
          <w:rFonts w:ascii="Times New Roman" w:eastAsia="Times New Roman" w:hAnsi="Times New Roman" w:cs="Times New Roman"/>
        </w:rPr>
        <w:t>, and Stochastic Oscillator (</w:t>
      </w:r>
      <m:oMath>
        <m:r>
          <w:rPr>
            <w:rFonts w:ascii="Cambria Math" w:hAnsi="Cambria Math"/>
          </w:rPr>
          <m:t>STOC</m:t>
        </m:r>
        <m:sSub>
          <m:sSubPr>
            <m:ctrlPr>
              <w:rPr>
                <w:rFonts w:ascii="Cambria Math" w:hAnsi="Cambria Math"/>
              </w:rPr>
            </m:ctrlPr>
          </m:sSubPr>
          <m:e>
            <m:r>
              <w:rPr>
                <w:rFonts w:ascii="Cambria Math" w:hAnsi="Cambria Math"/>
              </w:rPr>
              <m:t>H</m:t>
            </m:r>
          </m:e>
          <m:sub>
            <m:r>
              <w:rPr>
                <w:rFonts w:ascii="Cambria Math" w:hAnsi="Cambria Math"/>
              </w:rPr>
              <m:t>t</m:t>
            </m:r>
          </m:sub>
        </m:sSub>
      </m:oMath>
      <w:r w:rsidRPr="28C1B626">
        <w:rPr>
          <w:rFonts w:ascii="Times New Roman" w:eastAsia="Times New Roman" w:hAnsi="Times New Roman" w:cs="Times New Roman"/>
        </w:rPr>
        <w:t>) measure the velocity and magnitude of recent price swings to identify overbought or oversold conditions.</w:t>
      </w:r>
    </w:p>
    <w:p w14:paraId="118F5BE4" w14:textId="0DCFC536"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Autoregressive (Lagged) Returns:</w:t>
      </w:r>
      <w:r w:rsidRPr="28C1B626">
        <w:rPr>
          <w:rFonts w:ascii="Times New Roman" w:eastAsia="Times New Roman" w:hAnsi="Times New Roman" w:cs="Times New Roman"/>
        </w:rPr>
        <w:t xml:space="preserve"> The sequence of</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t-2</m:t>
            </m:r>
          </m:sub>
        </m:sSub>
      </m:oMath>
      <w:r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t-3</m:t>
            </m:r>
          </m:sub>
        </m:sSub>
      </m:oMath>
      <w:r w:rsidRPr="28C1B626">
        <w:rPr>
          <w:rFonts w:ascii="Times New Roman" w:eastAsia="Times New Roman" w:hAnsi="Times New Roman" w:cs="Times New Roman"/>
        </w:rPr>
        <w:t xml:space="preserve"> represents the preceding four weeks of logarithmic returns, feeding historical price momentum directly into the model.</w:t>
      </w:r>
    </w:p>
    <w:p w14:paraId="0CCE5D4D" w14:textId="208899C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Trend and Volatility Indicators:</w:t>
      </w:r>
      <w:r w:rsidRPr="28C1B626">
        <w:rPr>
          <w:rFonts w:ascii="Times New Roman" w:eastAsia="Times New Roman" w:hAnsi="Times New Roman" w:cs="Times New Roman"/>
        </w:rPr>
        <w:t xml:space="preserve"> The Simple Moving Average (</w:t>
      </w:r>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w:r w:rsidR="6B7857C1" w:rsidRPr="28C1B626">
        <w:rPr>
          <w:rFonts w:ascii="Times New Roman" w:eastAsia="Times New Roman" w:hAnsi="Times New Roman" w:cs="Times New Roman"/>
        </w:rPr>
        <w:t>)</w:t>
      </w:r>
      <w:r w:rsidRPr="28C1B626">
        <w:rPr>
          <w:rFonts w:ascii="Times New Roman" w:eastAsia="Times New Roman" w:hAnsi="Times New Roman" w:cs="Times New Roman"/>
        </w:rPr>
        <w:t>, Average Directional Index (</w:t>
      </w:r>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and Stop and Reverse (</w:t>
      </w:r>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 the absolute strength and direction of the trend. Crucially for the subsequent tail</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risk optimization, the Average True Range (</w:t>
      </w:r>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captures intra</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week market volatility and extreme price fluctuations.</w:t>
      </w:r>
    </w:p>
    <w:p w14:paraId="317DC9EB" w14:textId="18EC9A6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Volume Flow:</w:t>
      </w:r>
      <w:r w:rsidRPr="28C1B626">
        <w:rPr>
          <w:rFonts w:ascii="Times New Roman" w:eastAsia="Times New Roman" w:hAnsi="Times New Roman" w:cs="Times New Roman"/>
        </w:rPr>
        <w:t xml:space="preserve"> 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Balance Volume (</w:t>
      </w: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w:r w:rsidRPr="28C1B626">
        <w:rPr>
          <w:rFonts w:ascii="Times New Roman" w:eastAsia="Times New Roman" w:hAnsi="Times New Roman" w:cs="Times New Roman"/>
        </w:rPr>
        <w:t>) acts as a proxy for market liquidity and institutional participation, validating the strength of the observed price trends.</w:t>
      </w:r>
    </w:p>
    <w:p w14:paraId="2FEF03F8" w14:textId="700D6CA6"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This specific autoregressive functional form is strictly structured to avoid look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ahead bias. By ensuring that the predictive function </w:t>
      </w:r>
      <m:oMath>
        <m:r>
          <w:rPr>
            <w:rFonts w:ascii="Cambria Math" w:hAnsi="Cambria Math"/>
          </w:rPr>
          <m:t>F</m:t>
        </m:r>
        <m:d>
          <m:dPr>
            <m:ctrlPr>
              <w:rPr>
                <w:rFonts w:ascii="Cambria Math" w:hAnsi="Cambria Math"/>
              </w:rPr>
            </m:ctrlPr>
          </m:dPr>
          <m:e>
            <m:r>
              <w:rPr>
                <w:rFonts w:ascii="Cambria Math" w:hAnsi="Cambria Math"/>
              </w:rPr>
              <m:t>.</m:t>
            </m:r>
          </m:e>
        </m:d>
      </m:oMath>
      <w:r w:rsidR="57B05C35" w:rsidRPr="28C1B626">
        <w:rPr>
          <w:rFonts w:ascii="Times New Roman" w:eastAsia="Times New Roman" w:hAnsi="Times New Roman" w:cs="Times New Roman"/>
        </w:rPr>
        <w:t xml:space="preserve"> </w:t>
      </w:r>
      <w:r w:rsidRPr="28C1B626">
        <w:rPr>
          <w:rFonts w:ascii="Times New Roman" w:eastAsia="Times New Roman" w:hAnsi="Times New Roman" w:cs="Times New Roman"/>
        </w:rPr>
        <w:t xml:space="preserve">maps only the information matrix available at time </w:t>
      </w:r>
      <m:oMath>
        <m:r>
          <w:rPr>
            <w:rFonts w:ascii="Cambria Math" w:hAnsi="Cambria Math"/>
          </w:rPr>
          <m:t>t </m:t>
        </m:r>
      </m:oMath>
      <w:r w:rsidRPr="28C1B626">
        <w:rPr>
          <w:rFonts w:ascii="Times New Roman" w:eastAsia="Times New Roman" w:hAnsi="Times New Roman" w:cs="Times New Roman"/>
        </w:rPr>
        <w:t xml:space="preserve"> to the target return at time</w:t>
      </w:r>
      <m:oMath>
        <m:r>
          <w:rPr>
            <w:rFonts w:ascii="Cambria Math" w:hAnsi="Cambria Math"/>
          </w:rPr>
          <m:t>t+1 </m:t>
        </m:r>
      </m:oMath>
      <w:r w:rsidRPr="28C1B626">
        <w:rPr>
          <w:rFonts w:ascii="Times New Roman" w:eastAsia="Times New Roman" w:hAnsi="Times New Roman" w:cs="Times New Roman"/>
        </w:rPr>
        <w:t>, the chronological integrity of the predictive pipeline is preserved, rendering the model suitable for practical portfolio allocation on the Nigerian Exchange</w:t>
      </w:r>
      <w:r w:rsidR="2F5AA5A0" w:rsidRPr="28C1B626">
        <w:rPr>
          <w:rFonts w:ascii="Times New Roman" w:eastAsia="Times New Roman" w:hAnsi="Times New Roman" w:cs="Times New Roman"/>
        </w:rPr>
        <w:t xml:space="preserve"> Group</w:t>
      </w:r>
      <w:r w:rsidRPr="28C1B626">
        <w:rPr>
          <w:rFonts w:ascii="Times New Roman" w:eastAsia="Times New Roman" w:hAnsi="Times New Roman" w:cs="Times New Roman"/>
        </w:rPr>
        <w:t>.</w:t>
      </w:r>
    </w:p>
    <w:p w14:paraId="17AA2DF5" w14:textId="42114653" w:rsidR="2DC85E35" w:rsidRDefault="009586D3" w:rsidP="00B61C71">
      <w:pPr>
        <w:spacing w:before="240" w:after="20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color w:val="000000" w:themeColor="text1"/>
        </w:rPr>
        <w:t xml:space="preserve">3.2.2 </w:t>
      </w:r>
      <w:r w:rsidRPr="47575B0A">
        <w:rPr>
          <w:rFonts w:ascii="Times New Roman" w:eastAsia="Times New Roman" w:hAnsi="Times New Roman" w:cs="Times New Roman"/>
          <w:b/>
          <w:bCs/>
        </w:rPr>
        <w:t>Random Forest Specification</w:t>
      </w:r>
    </w:p>
    <w:p w14:paraId="376991F7" w14:textId="5A82EA6A" w:rsidR="2DC85E35" w:rsidRDefault="153AB6A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capture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linear interactions among the thirteen technical and momentum indicators, this study employs the Random Forest (RF) algorithm, a robust ensemble machine learning technique.</w:t>
      </w:r>
    </w:p>
    <w:p w14:paraId="0BFF96C2" w14:textId="02FC8BF1" w:rsidR="2DC85E35" w:rsidRDefault="4F2FA06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1. Bootstrap Aggregating (Bagging)</w:t>
      </w:r>
    </w:p>
    <w:p w14:paraId="220FFE4E" w14:textId="25A8836F"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foundation of the RF model relies on the statistical method of bagging. Given the training dataset of weekly returns and features, the algorithm generates </w:t>
      </w:r>
      <m:oMath>
        <m:r>
          <w:rPr>
            <w:rFonts w:ascii="Cambria Math" w:hAnsi="Cambria Math"/>
          </w:rPr>
          <m:t>B </m:t>
        </m:r>
      </m:oMath>
      <w:r w:rsidRPr="28C1B626">
        <w:rPr>
          <w:rFonts w:ascii="Times New Roman" w:eastAsia="Times New Roman" w:hAnsi="Times New Roman" w:cs="Times New Roman"/>
        </w:rPr>
        <w:t>independent bootstrap samples (random samples drawn with replacement). Let the original training dataset be defined as</w:t>
      </w:r>
    </w:p>
    <w:p w14:paraId="3A4E241E" w14:textId="1093A6A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 </w:t>
      </w:r>
      <m:oMath>
        <m:r>
          <w:rPr>
            <w:rFonts w:ascii="Cambria Math" w:hAnsi="Cambria Math"/>
          </w:rPr>
          <m:t>S = 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e>
            </m:d>
          </m:e>
        </m:d>
      </m:oMath>
      <w:r w:rsidRPr="28C1B626">
        <w:rPr>
          <w:rFonts w:ascii="Times New Roman" w:eastAsia="Times New Roman" w:hAnsi="Times New Roman" w:cs="Times New Roman"/>
        </w:rPr>
        <w:t>.</w:t>
      </w:r>
    </w:p>
    <w:p w14:paraId="1892F858" w14:textId="17037F41"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For each </w:t>
      </w:r>
      <w:proofErr w:type="gramStart"/>
      <w:r w:rsidRPr="28C1B626">
        <w:rPr>
          <w:rFonts w:ascii="Times New Roman" w:eastAsia="Times New Roman" w:hAnsi="Times New Roman" w:cs="Times New Roman"/>
        </w:rPr>
        <w:t xml:space="preserve">iteration </w:t>
      </w:r>
      <w:proofErr w:type="gramEnd"/>
      <m:oMath>
        <m:r>
          <w:rPr>
            <w:rFonts w:ascii="Cambria Math" w:hAnsi="Cambria Math"/>
          </w:rPr>
          <m:t>b=1,2,…,B </m:t>
        </m:r>
      </m:oMath>
      <w:r w:rsidRPr="28C1B626">
        <w:rPr>
          <w:rFonts w:ascii="Times New Roman" w:eastAsia="Times New Roman" w:hAnsi="Times New Roman" w:cs="Times New Roman"/>
        </w:rPr>
        <w:t>:</w:t>
      </w:r>
    </w:p>
    <w:p w14:paraId="598414A9" w14:textId="5FACEEF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 bootstrap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 xml:space="preserve"> is drawn </w:t>
      </w:r>
      <w:proofErr w:type="gramStart"/>
      <w:r w:rsidRPr="28C1B626">
        <w:rPr>
          <w:rFonts w:ascii="Times New Roman" w:eastAsia="Times New Roman" w:hAnsi="Times New Roman" w:cs="Times New Roman"/>
        </w:rPr>
        <w:t xml:space="preserve">from </w:t>
      </w:r>
      <w:proofErr w:type="gramEnd"/>
      <m:oMath>
        <m:r>
          <w:rPr>
            <w:rFonts w:ascii="Cambria Math" w:hAnsi="Cambria Math"/>
          </w:rPr>
          <m:t>S </m:t>
        </m:r>
      </m:oMath>
      <w:r w:rsidRPr="28C1B626">
        <w:rPr>
          <w:rFonts w:ascii="Times New Roman" w:eastAsia="Times New Roman" w:hAnsi="Times New Roman" w:cs="Times New Roman"/>
        </w:rPr>
        <w:t xml:space="preserve">. A distinct regression tree, denoted </w:t>
      </w:r>
      <w:proofErr w:type="gramStart"/>
      <w:r w:rsidRPr="28C1B626">
        <w:rPr>
          <w:rFonts w:ascii="Times New Roman" w:eastAsia="Times New Roman" w:hAnsi="Times New Roman" w:cs="Times New Roman"/>
        </w:rPr>
        <w:t xml:space="preserve">as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using this specific localized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w:t>
      </w:r>
    </w:p>
    <w:p w14:paraId="394B7016" w14:textId="0D1C216C" w:rsidR="2DC85E35" w:rsidRDefault="51B1097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Tree Construction and Feature Randomness</w:t>
      </w:r>
    </w:p>
    <w:p w14:paraId="0D5EC6E3" w14:textId="68080244" w:rsidR="2DC85E35" w:rsidRDefault="31514E1B"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At each node of the </w:t>
      </w:r>
      <w:proofErr w:type="gramStart"/>
      <w:r w:rsidRPr="28C1B626">
        <w:rPr>
          <w:rFonts w:ascii="Times New Roman" w:eastAsia="Times New Roman" w:hAnsi="Times New Roman" w:cs="Times New Roman"/>
        </w:rPr>
        <w:t xml:space="preserve">tree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a random subset of </w:t>
      </w:r>
      <m:oMath>
        <m:r>
          <w:rPr>
            <w:rFonts w:ascii="Cambria Math" w:hAnsi="Cambria Math"/>
          </w:rPr>
          <m:t>m </m:t>
        </m:r>
      </m:oMath>
      <w:r w:rsidRPr="28C1B626">
        <w:rPr>
          <w:rFonts w:ascii="Times New Roman" w:eastAsia="Times New Roman" w:hAnsi="Times New Roman" w:cs="Times New Roman"/>
        </w:rPr>
        <w:t xml:space="preserve"> features is selected from the total </w:t>
      </w:r>
      <m:oMath>
        <m:r>
          <w:rPr>
            <w:rFonts w:ascii="Cambria Math" w:hAnsi="Cambria Math"/>
          </w:rPr>
          <m:t>p=13 </m:t>
        </m:r>
      </m:oMath>
      <w:r w:rsidRPr="28C1B626">
        <w:rPr>
          <w:rFonts w:ascii="Times New Roman" w:eastAsia="Times New Roman" w:hAnsi="Times New Roman" w:cs="Times New Roman"/>
        </w:rPr>
        <w:t xml:space="preserve"> available indicators in the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For regression tasks, this subset is typically established </w:t>
      </w:r>
      <w:proofErr w:type="gramStart"/>
      <w:r w:rsidRPr="28C1B626">
        <w:rPr>
          <w:rFonts w:ascii="Times New Roman" w:eastAsia="Times New Roman" w:hAnsi="Times New Roman" w:cs="Times New Roman"/>
        </w:rPr>
        <w:t xml:space="preserve">as </w:t>
      </w:r>
      <w:proofErr w:type="gramEnd"/>
      <m:oMath>
        <m:r>
          <w:rPr>
            <w:rFonts w:ascii="Cambria Math" w:hAnsi="Cambria Math"/>
          </w:rPr>
          <m:t>m≈p</m:t>
        </m:r>
        <m:r>
          <m:rPr>
            <m:lit/>
          </m:rPr>
          <w:rPr>
            <w:rFonts w:ascii="Cambria Math" w:hAnsi="Cambria Math"/>
          </w:rPr>
          <m:t>/</m:t>
        </m:r>
        <m:r>
          <w:rPr>
            <w:rFonts w:ascii="Cambria Math" w:hAnsi="Cambria Math"/>
          </w:rPr>
          <m:t>3 </m:t>
        </m:r>
      </m:oMath>
      <w:r w:rsidRPr="28C1B626">
        <w:rPr>
          <w:rFonts w:ascii="Times New Roman" w:eastAsia="Times New Roman" w:hAnsi="Times New Roman" w:cs="Times New Roman"/>
        </w:rPr>
        <w:t>.</w:t>
      </w:r>
    </w:p>
    <w:p w14:paraId="09957111" w14:textId="71B7B269"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algorithm determines the optimal splitting variable </w:t>
      </w:r>
      <m:oMath>
        <m:r>
          <w:rPr>
            <w:rFonts w:ascii="Cambria Math" w:hAnsi="Cambria Math"/>
          </w:rPr>
          <m:t>j </m:t>
        </m:r>
      </m:oMath>
      <w:r w:rsidRPr="28C1B626">
        <w:rPr>
          <w:rFonts w:ascii="Times New Roman" w:eastAsia="Times New Roman" w:hAnsi="Times New Roman" w:cs="Times New Roman"/>
        </w:rPr>
        <w:t xml:space="preserve"> (from the </w:t>
      </w:r>
      <m:oMath>
        <m:r>
          <w:rPr>
            <w:rFonts w:ascii="Cambria Math" w:hAnsi="Cambria Math"/>
          </w:rPr>
          <m:t>m </m:t>
        </m:r>
      </m:oMath>
      <w:r w:rsidRPr="28C1B626">
        <w:rPr>
          <w:rFonts w:ascii="Times New Roman" w:eastAsia="Times New Roman" w:hAnsi="Times New Roman" w:cs="Times New Roman"/>
        </w:rPr>
        <w:t xml:space="preserve"> subset) and split point </w:t>
      </w:r>
      <m:oMath>
        <m:r>
          <w:rPr>
            <w:rFonts w:ascii="Cambria Math" w:hAnsi="Cambria Math"/>
          </w:rPr>
          <m:t>s </m:t>
        </m:r>
      </m:oMath>
      <w:r w:rsidRPr="28C1B626">
        <w:rPr>
          <w:rFonts w:ascii="Times New Roman" w:eastAsia="Times New Roman" w:hAnsi="Times New Roman" w:cs="Times New Roman"/>
        </w:rPr>
        <w:t xml:space="preserve"> by minimizing the Mean Squared Error (MSE) of the resulting partitions. For a given node representing a region of the feature </w:t>
      </w:r>
      <w:proofErr w:type="gramStart"/>
      <w:r w:rsidRPr="28C1B626">
        <w:rPr>
          <w:rFonts w:ascii="Times New Roman" w:eastAsia="Times New Roman" w:hAnsi="Times New Roman" w:cs="Times New Roman"/>
        </w:rPr>
        <w:t xml:space="preserve">space </w:t>
      </w:r>
      <w:proofErr w:type="gramEnd"/>
      <m:oMath>
        <m:sSub>
          <m:sSubPr>
            <m:ctrlPr>
              <w:rPr>
                <w:rFonts w:ascii="Cambria Math" w:hAnsi="Cambria Math"/>
              </w:rPr>
            </m:ctrlPr>
          </m:sSubPr>
          <m:e>
            <m:r>
              <w:rPr>
                <w:rFonts w:ascii="Cambria Math" w:hAnsi="Cambria Math"/>
              </w:rPr>
              <m:t>R</m:t>
            </m:r>
          </m:e>
          <m:sub>
            <m:r>
              <w:rPr>
                <w:rFonts w:ascii="Cambria Math" w:hAnsi="Cambria Math"/>
              </w:rPr>
              <m:t>node</m:t>
            </m:r>
          </m:sub>
        </m:sSub>
      </m:oMath>
      <w:r w:rsidRPr="28C1B626">
        <w:rPr>
          <w:rFonts w:ascii="Times New Roman" w:eastAsia="Times New Roman" w:hAnsi="Times New Roman" w:cs="Times New Roman"/>
        </w:rPr>
        <w:t xml:space="preserve">, the split </w:t>
      </w:r>
      <m:oMath>
        <m:d>
          <m:dPr>
            <m:ctrlPr>
              <w:rPr>
                <w:rFonts w:ascii="Cambria Math" w:hAnsi="Cambria Math"/>
              </w:rPr>
            </m:ctrlPr>
          </m:dPr>
          <m:e>
            <m:r>
              <w:rPr>
                <w:rFonts w:ascii="Cambria Math" w:hAnsi="Cambria Math"/>
              </w:rPr>
              <m:t>j,s</m:t>
            </m:r>
          </m:e>
        </m:d>
      </m:oMath>
      <w:r w:rsidRPr="28C1B626">
        <w:rPr>
          <w:rFonts w:ascii="Times New Roman" w:eastAsia="Times New Roman" w:hAnsi="Times New Roman" w:cs="Times New Roman"/>
        </w:rPr>
        <w:t xml:space="preserve"> is chosen to minimize:</w:t>
      </w:r>
    </w:p>
    <w:p w14:paraId="1F26A4DC" w14:textId="16890779" w:rsidR="00F2530B" w:rsidRDefault="00F2530B" w:rsidP="00B61C71">
      <w:pPr>
        <w:spacing w:after="240" w:line="480" w:lineRule="auto"/>
        <w:jc w:val="both"/>
        <w:rPr>
          <w:rFonts w:ascii="Times New Roman" w:eastAsia="Times New Roman" w:hAnsi="Times New Roman" w:cs="Times New Roman"/>
        </w:rPr>
      </w:pPr>
    </w:p>
    <w:p w14:paraId="4C34896D" w14:textId="437883BE" w:rsidR="00F2530B" w:rsidRDefault="00E87707"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min</m:t>
              </m:r>
            </m:e>
            <m:sub>
              <m:r>
                <w:rPr>
                  <w:rFonts w:ascii="Cambria Math" w:eastAsia="Times New Roman" w:hAnsi="Cambria Math" w:cs="Times New Roman"/>
                </w:rPr>
                <m:t>j,s</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left</m:t>
                      </m:r>
                    </m:sub>
                  </m:sSub>
                  <m:d>
                    <m:dPr>
                      <m:ctrlPr>
                        <w:rPr>
                          <w:rFonts w:ascii="Cambria Math" w:eastAsia="Times New Roman" w:hAnsi="Cambria Math" w:cs="Times New Roman"/>
                          <w:i/>
                        </w:rPr>
                      </m:ctrlPr>
                    </m:dPr>
                    <m:e>
                      <m:r>
                        <w:rPr>
                          <w:rFonts w:ascii="Cambria Math" w:eastAsia="Times New Roman" w:hAnsi="Cambria Math" w:cs="Times New Roman"/>
                        </w:rPr>
                        <m:t>j,s</m:t>
                      </m:r>
                    </m:e>
                  </m:d>
                </m:sub>
                <m:sup/>
                <m:e>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left</m:t>
                              </m:r>
                            </m:sub>
                          </m:sSub>
                        </m:e>
                      </m:d>
                    </m:e>
                    <m:sup>
                      <m:r>
                        <w:rPr>
                          <w:rFonts w:ascii="Cambria Math" w:eastAsia="Times New Roman" w:hAnsi="Cambria Math" w:cs="Times New Roman"/>
                        </w:rPr>
                        <m:t>2</m:t>
                      </m:r>
                    </m:sup>
                  </m:sSup>
                </m:e>
              </m:nary>
              <m:r>
                <w:rPr>
                  <w:rFonts w:ascii="Cambria Math" w:eastAsia="Times New Roman" w:hAnsi="Cambria Math" w:cs="Times New Roman"/>
                </w:rPr>
                <m:t>+</m:t>
              </m:r>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right</m:t>
                      </m:r>
                    </m:sub>
                  </m:sSub>
                  <m:r>
                    <w:rPr>
                      <w:rFonts w:ascii="Cambria Math" w:eastAsia="Times New Roman" w:hAnsi="Cambria Math" w:cs="Times New Roman"/>
                    </w:rPr>
                    <m:t>(j,s)</m:t>
                  </m:r>
                </m:sub>
                <m:sup/>
                <m:e>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right</m:t>
                          </m:r>
                        </m:sub>
                      </m:sSub>
                      <m:r>
                        <w:rPr>
                          <w:rFonts w:ascii="Cambria Math" w:eastAsia="Times New Roman" w:hAnsi="Cambria Math" w:cs="Times New Roman"/>
                        </w:rPr>
                        <m:t>)</m:t>
                      </m:r>
                    </m:e>
                    <m:sup>
                      <m:r>
                        <w:rPr>
                          <w:rFonts w:ascii="Cambria Math" w:eastAsia="Times New Roman" w:hAnsi="Cambria Math" w:cs="Times New Roman"/>
                        </w:rPr>
                        <m:t>2</m:t>
                      </m:r>
                    </m:sup>
                  </m:sSup>
                </m:e>
              </m:nary>
            </m:e>
          </m:d>
        </m:oMath>
      </m:oMathPara>
    </w:p>
    <w:p w14:paraId="12C514D7" w14:textId="7F46A212" w:rsidR="2DC85E35" w:rsidRDefault="00AF16B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 </w:t>
      </w:r>
      <w:r w:rsidR="52A98F5E" w:rsidRPr="28C1B626">
        <w:rPr>
          <w:rFonts w:ascii="Times New Roman" w:eastAsia="Times New Roman" w:hAnsi="Times New Roman" w:cs="Times New Roman"/>
        </w:rPr>
        <w:t>(Where</w:t>
      </w:r>
      <m:oMath>
        <m:sSub>
          <m:sSubPr>
            <m:ctrlPr>
              <w:rPr>
                <w:rFonts w:ascii="Cambria Math" w:hAnsi="Cambria Math"/>
              </w:rPr>
            </m:ctrlPr>
          </m:sSubPr>
          <m:e>
            <m:r>
              <w:rPr>
                <w:rFonts w:ascii="Cambria Math" w:hAnsi="Cambria Math"/>
              </w:rPr>
              <m:t>R</m:t>
            </m:r>
          </m:e>
          <m:sub>
            <m:r>
              <w:rPr>
                <w:rFonts w:ascii="Cambria Math" w:hAnsi="Cambria Math"/>
              </w:rPr>
              <m:t>left</m:t>
            </m:r>
          </m:sub>
        </m:sSub>
      </m:oMath>
      <w:r w:rsidR="52A98F5E"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right</m:t>
            </m:r>
          </m:sub>
        </m:sSub>
      </m:oMath>
      <w:r w:rsidR="52A98F5E" w:rsidRPr="28C1B626">
        <w:rPr>
          <w:rFonts w:ascii="Times New Roman" w:eastAsia="Times New Roman" w:hAnsi="Times New Roman" w:cs="Times New Roman"/>
        </w:rPr>
        <w:t xml:space="preserve"> are the partitioned feature </w:t>
      </w:r>
      <w:r w:rsidR="77E39F4B" w:rsidRPr="28C1B626">
        <w:rPr>
          <w:rFonts w:ascii="Times New Roman" w:eastAsia="Times New Roman" w:hAnsi="Times New Roman" w:cs="Times New Roman"/>
        </w:rPr>
        <w:t>spaces and</w:t>
      </w:r>
      <w:r w:rsidR="52A98F5E" w:rsidRPr="28C1B626">
        <w:rPr>
          <w:rFonts w:ascii="Times New Roman" w:eastAsia="Times New Roman" w:hAnsi="Times New Roman" w:cs="Times New Roman"/>
        </w:rPr>
        <w:t xml:space="preserve"> </w:t>
      </w:r>
      <m:oMath>
        <m:acc>
          <m:accPr>
            <m:ctrlPr>
              <w:rPr>
                <w:rFonts w:ascii="Cambria Math" w:hAnsi="Cambria Math"/>
              </w:rPr>
            </m:ctrlPr>
          </m:accPr>
          <m:e>
            <m:r>
              <w:rPr>
                <w:rFonts w:ascii="Cambria Math" w:hAnsi="Cambria Math"/>
              </w:rPr>
              <m:t>y</m:t>
            </m:r>
          </m:e>
        </m:acc>
      </m:oMath>
      <w:r w:rsidR="52A98F5E" w:rsidRPr="28C1B626">
        <w:rPr>
          <w:rFonts w:ascii="Times New Roman" w:eastAsia="Times New Roman" w:hAnsi="Times New Roman" w:cs="Times New Roman"/>
        </w:rPr>
        <w:t xml:space="preserve"> represents the mean of the observed returns within that specific </w:t>
      </w:r>
      <w:r w:rsidR="2A427B96" w:rsidRPr="28C1B626">
        <w:rPr>
          <w:rFonts w:ascii="Times New Roman" w:eastAsia="Times New Roman" w:hAnsi="Times New Roman" w:cs="Times New Roman"/>
        </w:rPr>
        <w:t>region.</w:t>
      </w:r>
    </w:p>
    <w:p w14:paraId="230F0510" w14:textId="3FBACD79" w:rsidR="2DC85E35" w:rsidRDefault="52A98F5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 The Ensemble Forecast</w:t>
      </w:r>
    </w:p>
    <w:p w14:paraId="77A0F39C" w14:textId="472132E3"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Each individual tree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deeply without pruning. While a single unpruned tree captures highly complex,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linear market relationships with low bias, it </w:t>
      </w:r>
      <w:r w:rsidR="5219A071" w:rsidRPr="28C1B626">
        <w:rPr>
          <w:rFonts w:ascii="Times New Roman" w:eastAsia="Times New Roman" w:hAnsi="Times New Roman" w:cs="Times New Roman"/>
        </w:rPr>
        <w:t>suffers</w:t>
      </w:r>
      <w:r w:rsidRPr="28C1B626">
        <w:rPr>
          <w:rFonts w:ascii="Times New Roman" w:eastAsia="Times New Roman" w:hAnsi="Times New Roman" w:cs="Times New Roman"/>
        </w:rPr>
        <w:t xml:space="preserve"> high variance (over</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fitting). The Random Forest model neutralizes this variance by averaging the continuous predictive outputs across all </w:t>
      </w:r>
      <m:oMath>
        <m:r>
          <w:rPr>
            <w:rFonts w:ascii="Cambria Math" w:hAnsi="Cambria Math"/>
          </w:rPr>
          <m:t>B </m:t>
        </m:r>
      </m:oMath>
      <w:r w:rsidRPr="28C1B626">
        <w:rPr>
          <w:rFonts w:ascii="Times New Roman" w:eastAsia="Times New Roman" w:hAnsi="Times New Roman" w:cs="Times New Roman"/>
        </w:rPr>
        <w:t xml:space="preserve"> independently trained trees.</w:t>
      </w:r>
    </w:p>
    <w:p w14:paraId="6DAE8195" w14:textId="79E4E64A"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aggregate Random Forest prediction for the weekly return at </w:t>
      </w:r>
      <w:proofErr w:type="gramStart"/>
      <w:r w:rsidRPr="28C1B626">
        <w:rPr>
          <w:rFonts w:ascii="Times New Roman" w:eastAsia="Times New Roman" w:hAnsi="Times New Roman" w:cs="Times New Roman"/>
        </w:rPr>
        <w:t xml:space="preserve">time </w:t>
      </w:r>
      <w:proofErr w:type="gramEnd"/>
      <m:oMath>
        <m:r>
          <w:rPr>
            <w:rFonts w:ascii="Cambria Math" w:hAnsi="Cambria Math"/>
          </w:rPr>
          <m:t>t+1 </m:t>
        </m:r>
      </m:oMath>
      <w:r w:rsidRPr="28C1B626">
        <w:rPr>
          <w:rFonts w:ascii="Times New Roman" w:eastAsia="Times New Roman" w:hAnsi="Times New Roman" w:cs="Times New Roman"/>
        </w:rPr>
        <w:t xml:space="preserve">, given the specific market information set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is mathematically specified as:</w:t>
      </w:r>
    </w:p>
    <w:p w14:paraId="41E291F7" w14:textId="07131418" w:rsidR="2DC85E35" w:rsidRDefault="00E87707" w:rsidP="00B61C71">
      <w:pPr>
        <w:spacing w:after="240" w:line="480" w:lineRule="auto"/>
        <w:jc w:val="both"/>
        <w:rPr>
          <w:rFonts w:ascii="Times New Roman" w:eastAsia="Times New Roman" w:hAnsi="Times New Roman" w:cs="Times New Roman"/>
        </w:rPr>
      </w:pPr>
      <m:oMathPara>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14:paraId="165AB232" w14:textId="6615F74B" w:rsidR="2DC85E35" w:rsidRDefault="665A2B6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677235F0" w14:textId="3703AAEB" w:rsidR="2DC85E35" w:rsidRDefault="00E87707" w:rsidP="00B61C71">
      <w:pPr>
        <w:pStyle w:val="ListParagraph"/>
        <w:numPr>
          <w:ilvl w:val="0"/>
          <w:numId w:val="8"/>
        </w:numPr>
        <w:spacing w:before="240" w:after="240" w:line="480" w:lineRule="auto"/>
        <w:jc w:val="both"/>
        <w:rPr>
          <w:rFonts w:ascii="Times New Roman" w:eastAsia="Times New Roman" w:hAnsi="Times New Roman" w:cs="Times New Roman"/>
        </w:rPr>
      </w:pPr>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forecasted logarithmic return of the target asset.</w:t>
      </w:r>
    </w:p>
    <w:p w14:paraId="300BC561" w14:textId="5035E862" w:rsidR="2DC85E35" w:rsidRDefault="2DC85E35" w:rsidP="00B61C71">
      <w:pPr>
        <w:pStyle w:val="ListParagraph"/>
        <w:numPr>
          <w:ilvl w:val="0"/>
          <w:numId w:val="8"/>
        </w:numPr>
        <w:spacing w:before="240" w:after="240" w:line="480" w:lineRule="auto"/>
        <w:jc w:val="both"/>
        <w:rPr>
          <w:rFonts w:ascii="Times New Roman" w:eastAsia="Times New Roman" w:hAnsi="Times New Roman" w:cs="Times New Roman"/>
        </w:rPr>
      </w:pPr>
      <m:oMath>
        <m:r>
          <w:rPr>
            <w:rFonts w:ascii="Cambria Math" w:hAnsi="Cambria Math"/>
          </w:rPr>
          <m:t>B </m:t>
        </m:r>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total number of regression trees in the forest ensemble (a hyperparameter that will be optimized during the model training phase).</w:t>
      </w:r>
    </w:p>
    <w:p w14:paraId="7143C5B9" w14:textId="24C62BFA" w:rsidR="2DC85E35" w:rsidRDefault="00E87707" w:rsidP="00B61C71">
      <w:pPr>
        <w:pStyle w:val="ListParagraph"/>
        <w:numPr>
          <w:ilvl w:val="0"/>
          <w:numId w:val="8"/>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predicted return of the </w:t>
      </w:r>
      <m:oMath>
        <m:r>
          <w:rPr>
            <w:rFonts w:ascii="Cambria Math" w:hAnsi="Cambria Math"/>
          </w:rPr>
          <m:t>b </m:t>
        </m:r>
      </m:oMath>
      <w:r w:rsidR="3CB00BA7" w:rsidRPr="28C1B626">
        <w:rPr>
          <w:rFonts w:ascii="Times New Roman" w:eastAsia="Times New Roman" w:hAnsi="Times New Roman" w:cs="Times New Roman"/>
        </w:rPr>
        <w:t>-</w:t>
      </w:r>
      <w:proofErr w:type="spellStart"/>
      <w:r w:rsidR="665A2B6B" w:rsidRPr="28C1B626">
        <w:rPr>
          <w:rFonts w:ascii="Times New Roman" w:eastAsia="Times New Roman" w:hAnsi="Times New Roman" w:cs="Times New Roman"/>
        </w:rPr>
        <w:t>th</w:t>
      </w:r>
      <w:proofErr w:type="spellEnd"/>
      <w:r w:rsidR="665A2B6B" w:rsidRPr="28C1B626">
        <w:rPr>
          <w:rFonts w:ascii="Times New Roman" w:eastAsia="Times New Roman" w:hAnsi="Times New Roman" w:cs="Times New Roman"/>
        </w:rPr>
        <w:t xml:space="preserve"> individual regression tree based on the 13</w:t>
      </w:r>
      <w:r w:rsidR="3CB00BA7" w:rsidRPr="28C1B626">
        <w:rPr>
          <w:rFonts w:ascii="Times New Roman" w:eastAsia="Times New Roman" w:hAnsi="Times New Roman" w:cs="Times New Roman"/>
        </w:rPr>
        <w:t>-</w:t>
      </w:r>
      <w:r w:rsidR="665A2B6B" w:rsidRPr="28C1B626">
        <w:rPr>
          <w:rFonts w:ascii="Times New Roman" w:eastAsia="Times New Roman" w:hAnsi="Times New Roman" w:cs="Times New Roman"/>
        </w:rPr>
        <w:t xml:space="preserve">dimensional feature vector </w:t>
      </w:r>
      <m:oMath>
        <m:r>
          <w:rPr>
            <w:rFonts w:ascii="Cambria Math" w:hAnsi="Cambria Math"/>
          </w:rPr>
          <m:t>b </m:t>
        </m:r>
      </m:oMath>
      <w:r w:rsidR="665A2B6B" w:rsidRPr="28C1B626">
        <w:rPr>
          <w:rFonts w:ascii="Times New Roman" w:eastAsia="Times New Roman" w:hAnsi="Times New Roman" w:cs="Times New Roman"/>
        </w:rPr>
        <w:t>.</w:t>
      </w:r>
    </w:p>
    <w:p w14:paraId="25330198" w14:textId="31E6A39A" w:rsidR="2DC85E35" w:rsidRDefault="3184A9BB"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3.2.3 </w:t>
      </w:r>
      <w:proofErr w:type="spellStart"/>
      <w:proofErr w:type="gramStart"/>
      <w:r w:rsidRPr="47575B0A">
        <w:rPr>
          <w:rFonts w:ascii="Times New Roman" w:eastAsia="Times New Roman" w:hAnsi="Times New Roman" w:cs="Times New Roman"/>
          <w:b/>
          <w:bCs/>
        </w:rPr>
        <w:t>eXtreme</w:t>
      </w:r>
      <w:proofErr w:type="spellEnd"/>
      <w:proofErr w:type="gramEnd"/>
      <w:r w:rsidRPr="47575B0A">
        <w:rPr>
          <w:rFonts w:ascii="Times New Roman" w:eastAsia="Times New Roman" w:hAnsi="Times New Roman" w:cs="Times New Roman"/>
          <w:b/>
          <w:bCs/>
        </w:rPr>
        <w:t xml:space="preserve"> Gradient Boosting (</w:t>
      </w: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w:t>
      </w:r>
    </w:p>
    <w:p w14:paraId="56B00261" w14:textId="4293D66D" w:rsidR="169D4331" w:rsidRDefault="4A995ECD" w:rsidP="00B61C71">
      <w:pPr>
        <w:spacing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rPr>
        <w:lastRenderedPageBreak/>
        <w:t>XGBoost</w:t>
      </w:r>
      <w:proofErr w:type="spellEnd"/>
      <w:r w:rsidRPr="47575B0A">
        <w:rPr>
          <w:rFonts w:ascii="Times New Roman" w:eastAsia="Times New Roman" w:hAnsi="Times New Roman" w:cs="Times New Roman"/>
        </w:rPr>
        <w:t xml:space="preserve"> operates as an additive ensemble of classification and regression trees (CART), optimizing a regularized objective function via second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order gradient descent.</w:t>
      </w:r>
    </w:p>
    <w:p w14:paraId="1703AFB1" w14:textId="63D57172" w:rsidR="169D4331" w:rsidRDefault="4A995ECD"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The Additive Model Specification</w:t>
      </w:r>
    </w:p>
    <w:p w14:paraId="6C11E09E" w14:textId="72EDC181" w:rsidR="2B09352C" w:rsidRDefault="0031267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 models the expected return at time</w:t>
      </w:r>
      <m:oMath>
        <m:r>
          <w:rPr>
            <w:rFonts w:ascii="Cambria Math" w:hAnsi="Cambria Math"/>
          </w:rPr>
          <m:t>t+1 </m:t>
        </m:r>
      </m:oMath>
      <w:r w:rsidRPr="28C1B626">
        <w:rPr>
          <w:rFonts w:ascii="Times New Roman" w:eastAsia="Times New Roman" w:hAnsi="Times New Roman" w:cs="Times New Roman"/>
        </w:rPr>
        <w:t xml:space="preserve">as an additive combination of </w:t>
      </w:r>
      <m:oMath>
        <m:r>
          <w:rPr>
            <w:rFonts w:ascii="Cambria Math" w:hAnsi="Cambria Math"/>
          </w:rPr>
          <m:t>K </m:t>
        </m:r>
      </m:oMath>
      <w:r w:rsidRPr="28C1B626">
        <w:rPr>
          <w:rFonts w:ascii="Times New Roman" w:eastAsia="Times New Roman" w:hAnsi="Times New Roman" w:cs="Times New Roman"/>
        </w:rPr>
        <w:t xml:space="preserve"> sequential base learners (regression trees). For a given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containing the thirteen extracted market indicators, the aggregated XGBoost forecast is defined as:</w:t>
      </w:r>
    </w:p>
    <w:p w14:paraId="3950B05C" w14:textId="3103D52D" w:rsidR="28C1B626" w:rsidRDefault="00E87707" w:rsidP="00B61C71">
      <w:pPr>
        <w:spacing w:after="0" w:line="480" w:lineRule="auto"/>
        <w:ind w:left="1440" w:firstLine="720"/>
        <w:jc w:val="both"/>
        <w:rPr>
          <w:rFonts w:ascii="Times New Roman" w:eastAsia="Times New Roman" w:hAnsi="Times New Roman" w:cs="Times New Roman"/>
        </w:rPr>
      </w:pPr>
      <m:oMathPara>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∈F</m:t>
          </m:r>
        </m:oMath>
      </m:oMathPara>
    </w:p>
    <w:p w14:paraId="0214E515" w14:textId="7CF524BF" w:rsidR="392A690A" w:rsidRDefault="58A8598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30BDCC3" w14:textId="24C331D5" w:rsidR="28C1B626" w:rsidRDefault="00E87707" w:rsidP="00B61C71">
      <w:pPr>
        <w:pStyle w:val="ListParagraph"/>
        <w:numPr>
          <w:ilvl w:val="0"/>
          <w:numId w:val="7"/>
        </w:numPr>
        <w:spacing w:before="240" w:after="240" w:line="480" w:lineRule="auto"/>
        <w:jc w:val="both"/>
        <w:rPr>
          <w:rFonts w:ascii="Times New Roman" w:eastAsia="Times New Roman" w:hAnsi="Times New Roman" w:cs="Times New Roman"/>
        </w:rPr>
      </w:pPr>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forecasted logarithmic return.</w:t>
      </w:r>
    </w:p>
    <w:p w14:paraId="552B8EA1" w14:textId="74F864A2" w:rsidR="28C1B626" w:rsidRDefault="28C1B626" w:rsidP="00B61C71">
      <w:pPr>
        <w:pStyle w:val="ListParagraph"/>
        <w:numPr>
          <w:ilvl w:val="0"/>
          <w:numId w:val="7"/>
        </w:numPr>
        <w:spacing w:before="240" w:after="240" w:line="480" w:lineRule="auto"/>
        <w:jc w:val="both"/>
        <w:rPr>
          <w:rFonts w:ascii="Times New Roman" w:eastAsia="Times New Roman" w:hAnsi="Times New Roman" w:cs="Times New Roman"/>
        </w:rPr>
      </w:pPr>
      <m:oMath>
        <m:r>
          <w:rPr>
            <w:rFonts w:ascii="Cambria Math" w:hAnsi="Cambria Math"/>
          </w:rPr>
          <m:t>K </m:t>
        </m:r>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total number of additive trees.</w:t>
      </w:r>
    </w:p>
    <w:p w14:paraId="4837B3FD" w14:textId="12BDF54F" w:rsidR="28C1B626" w:rsidRDefault="00E87707" w:rsidP="00B61C71">
      <w:pPr>
        <w:pStyle w:val="ListParagraph"/>
        <w:numPr>
          <w:ilvl w:val="0"/>
          <w:numId w:val="7"/>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f</m:t>
            </m:r>
          </m:e>
          <m:sub>
            <m:r>
              <w:rPr>
                <w:rFonts w:ascii="Cambria Math" w:hAnsi="Cambria Math"/>
              </w:rPr>
              <m:t>k</m:t>
            </m:r>
          </m:sub>
        </m:sSub>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represents</w:t>
      </w:r>
      <w:proofErr w:type="gramEnd"/>
      <w:r w:rsidR="58A85989" w:rsidRPr="28C1B626">
        <w:rPr>
          <w:rFonts w:ascii="Times New Roman" w:eastAsia="Times New Roman" w:hAnsi="Times New Roman" w:cs="Times New Roman"/>
        </w:rPr>
        <w:t xml:space="preserve"> an independent classification and regression tree (CART) structure within the functional space </w:t>
      </w:r>
      <m:oMath>
        <m:r>
          <w:rPr>
            <w:rFonts w:ascii="Cambria Math" w:hAnsi="Cambria Math"/>
          </w:rPr>
          <m:t>F </m:t>
        </m:r>
      </m:oMath>
      <w:r w:rsidR="58A85989" w:rsidRPr="28C1B626">
        <w:rPr>
          <w:rFonts w:ascii="Times New Roman" w:eastAsia="Times New Roman" w:hAnsi="Times New Roman" w:cs="Times New Roman"/>
        </w:rPr>
        <w:t>of all possible trees.</w:t>
      </w:r>
    </w:p>
    <w:p w14:paraId="7F5C0067" w14:textId="64793F5A" w:rsidR="65F995CD" w:rsidRDefault="31F2CD3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The Regularized Objective Function</w:t>
      </w:r>
    </w:p>
    <w:p w14:paraId="2275B31A" w14:textId="749634D0" w:rsidR="65F995CD" w:rsidRDefault="31F2CD3E"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Financial time series are notoriously noisy, making complex models highly susceptible to overfitting.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addresses this by optimizing a regularized objective function at each sequential step</w:t>
      </w:r>
      <w:r w:rsidR="7C990296" w:rsidRPr="28C1B626">
        <w:rPr>
          <w:rFonts w:ascii="Times New Roman" w:eastAsia="Times New Roman" w:hAnsi="Times New Roman" w:cs="Times New Roman"/>
        </w:rPr>
        <w:t xml:space="preserve"> </w:t>
      </w:r>
      <m:oMath>
        <m:r>
          <w:rPr>
            <w:rFonts w:ascii="Cambria Math" w:hAnsi="Cambria Math"/>
          </w:rPr>
          <m:t>t </m:t>
        </m:r>
      </m:oMath>
      <w:r w:rsidRPr="28C1B626">
        <w:rPr>
          <w:rFonts w:ascii="Times New Roman" w:eastAsia="Times New Roman" w:hAnsi="Times New Roman" w:cs="Times New Roman"/>
        </w:rPr>
        <w:t xml:space="preserve"> (not to be confused with time </w:t>
      </w:r>
      <w:proofErr w:type="gramStart"/>
      <w:r w:rsidRPr="28C1B626">
        <w:rPr>
          <w:rFonts w:ascii="Times New Roman" w:eastAsia="Times New Roman" w:hAnsi="Times New Roman" w:cs="Times New Roman"/>
        </w:rPr>
        <w:t>index</w:t>
      </w:r>
      <w:r w:rsidR="6B6BF4DF" w:rsidRPr="28C1B626">
        <w:rPr>
          <w:rFonts w:ascii="Times New Roman" w:eastAsia="Times New Roman" w:hAnsi="Times New Roman" w:cs="Times New Roman"/>
        </w:rPr>
        <w:t xml:space="preserve"> </w:t>
      </w:r>
      <w:proofErr w:type="gramEnd"/>
      <m:oMath>
        <m:r>
          <w:rPr>
            <w:rFonts w:ascii="Cambria Math" w:hAnsi="Cambria Math"/>
          </w:rPr>
          <m:t>t </m:t>
        </m:r>
      </m:oMath>
      <w:r w:rsidRPr="28C1B626">
        <w:rPr>
          <w:rFonts w:ascii="Times New Roman" w:eastAsia="Times New Roman" w:hAnsi="Times New Roman" w:cs="Times New Roman"/>
        </w:rPr>
        <w:t>). The algorithm seeks to minimize the following loss function:</w:t>
      </w:r>
    </w:p>
    <w:p w14:paraId="234215BD" w14:textId="5E930CC1"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L =</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e>
              </m:d>
            </m:e>
          </m:nary>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e>
          </m:nary>
        </m:oMath>
      </m:oMathPara>
    </w:p>
    <w:p w14:paraId="23CDD0F9" w14:textId="450ADADE" w:rsidR="28C1B626" w:rsidRDefault="28C1B626" w:rsidP="00B61C71">
      <w:pPr>
        <w:spacing w:before="240" w:after="240" w:line="480" w:lineRule="auto"/>
        <w:jc w:val="both"/>
        <w:rPr>
          <w:rFonts w:ascii="Times New Roman" w:eastAsia="Times New Roman" w:hAnsi="Times New Roman" w:cs="Times New Roman"/>
        </w:rPr>
      </w:pPr>
    </w:p>
    <w:p w14:paraId="38F0EB39" w14:textId="4DD2BD8F"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74DFE97A" w14:textId="078AAEA0"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w:rPr>
            <w:rFonts w:ascii="Cambria Math" w:hAnsi="Cambria Math"/>
          </w:rPr>
          <m:t>l</m:t>
        </m:r>
        <m:d>
          <m:dPr>
            <m:ctrlPr>
              <w:rPr>
                <w:rFonts w:ascii="Cambria Math" w:hAnsi="Cambria Math"/>
              </w:rPr>
            </m:ctrlPr>
          </m:dPr>
          <m:e>
            <m:r>
              <w:rPr>
                <w:rFonts w:ascii="Cambria Math" w:hAnsi="Cambria Math"/>
              </w:rPr>
              <m:t>⋅</m:t>
            </m:r>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a differentiable convex loss function, specifically the Mean Squared Error (MSE), which measures the difference between the actual observed return </w:t>
      </w:r>
      <m:oMath>
        <m:sSub>
          <m:sSubPr>
            <m:ctrlPr>
              <w:rPr>
                <w:rFonts w:ascii="Cambria Math" w:hAnsi="Cambria Math"/>
              </w:rPr>
            </m:ctrlPr>
          </m:sSubPr>
          <m:e>
            <m:r>
              <w:rPr>
                <w:rFonts w:ascii="Cambria Math" w:hAnsi="Cambria Math"/>
              </w:rPr>
              <m:t>R</m:t>
            </m:r>
          </m:e>
          <m:sub>
            <m:r>
              <w:rPr>
                <w:rFonts w:ascii="Cambria Math" w:hAnsi="Cambria Math"/>
              </w:rPr>
              <m:t>i,t+1</m:t>
            </m:r>
          </m:sub>
        </m:sSub>
      </m:oMath>
      <w:r w:rsidR="1F1BE260" w:rsidRPr="28C1B626">
        <w:rPr>
          <w:rFonts w:ascii="Times New Roman" w:eastAsia="Times New Roman" w:hAnsi="Times New Roman" w:cs="Times New Roman"/>
        </w:rPr>
        <w:t xml:space="preserve">and the model's prediction </w:t>
      </w:r>
      <m:oMath>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oMath>
      <w:r w:rsidR="1F1BE260" w:rsidRPr="28C1B626">
        <w:rPr>
          <w:rFonts w:ascii="Times New Roman" w:eastAsia="Times New Roman" w:hAnsi="Times New Roman" w:cs="Times New Roman"/>
        </w:rPr>
        <w:t>.</w:t>
      </w:r>
    </w:p>
    <w:p w14:paraId="17BD874C" w14:textId="171314AC"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the explicit regularization penalty applied to the model's complexity to prevent overfitting the technical indicators.</w:t>
      </w:r>
    </w:p>
    <w:p w14:paraId="354DE738" w14:textId="013503BC"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regularization term is mathematically defined as:</w:t>
      </w:r>
    </w:p>
    <w:p w14:paraId="2806A099" w14:textId="287C3640" w:rsidR="28C1B626" w:rsidRDefault="28C1B626" w:rsidP="00B61C71">
      <w:pPr>
        <w:spacing w:after="0" w:line="480" w:lineRule="auto"/>
        <w:ind w:left="2160" w:firstLine="720"/>
        <w:jc w:val="both"/>
        <w:rPr>
          <w:rFonts w:ascii="Times New Roman" w:eastAsia="Times New Roman" w:hAnsi="Times New Roman" w:cs="Times New Roman"/>
        </w:rPr>
      </w:pPr>
      <m:oMathPara>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oMath>
      </m:oMathPara>
    </w:p>
    <w:p w14:paraId="45996E44" w14:textId="7B1EF2BC" w:rsidR="00E06520" w:rsidRDefault="1F1BE26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Where </w:t>
      </w:r>
      <m:oMath>
        <m:r>
          <w:rPr>
            <w:rFonts w:ascii="Cambria Math" w:hAnsi="Cambria Math"/>
          </w:rPr>
          <m:t>T </m:t>
        </m:r>
      </m:oMath>
      <w:r w:rsidRPr="28C1B626">
        <w:rPr>
          <w:rFonts w:ascii="Times New Roman" w:eastAsia="Times New Roman" w:hAnsi="Times New Roman" w:cs="Times New Roman"/>
        </w:rPr>
        <w:t xml:space="preserve"> is the number of terminal nodes (leaves) in the tree, </w:t>
      </w:r>
      <m:oMath>
        <m:r>
          <w:rPr>
            <w:rFonts w:ascii="Cambria Math" w:hAnsi="Cambria Math"/>
          </w:rPr>
          <m:t>w </m:t>
        </m:r>
      </m:oMath>
      <w:r w:rsidRPr="28C1B626">
        <w:rPr>
          <w:rFonts w:ascii="Times New Roman" w:eastAsia="Times New Roman" w:hAnsi="Times New Roman" w:cs="Times New Roman"/>
        </w:rPr>
        <w:t xml:space="preserve"> represents the leaf weights, </w:t>
      </w:r>
      <m:oMath>
        <m:r>
          <w:rPr>
            <w:rFonts w:ascii="Cambria Math" w:hAnsi="Cambria Math"/>
          </w:rPr>
          <m:t>γ</m:t>
        </m:r>
      </m:oMath>
      <w:r w:rsidRPr="28C1B626">
        <w:rPr>
          <w:rFonts w:ascii="Times New Roman" w:eastAsia="Times New Roman" w:hAnsi="Times New Roman" w:cs="Times New Roman"/>
        </w:rPr>
        <w:t xml:space="preserve"> penalizes the addition of new splits (controlling tree depth), and </w:t>
      </w:r>
      <m:oMath>
        <m:r>
          <w:rPr>
            <w:rFonts w:ascii="Cambria Math" w:hAnsi="Cambria Math"/>
          </w:rPr>
          <m:t>λ</m:t>
        </m:r>
      </m:oMath>
      <w:r w:rsidRPr="28C1B626">
        <w:rPr>
          <w:rFonts w:ascii="Times New Roman" w:eastAsia="Times New Roman" w:hAnsi="Times New Roman" w:cs="Times New Roman"/>
        </w:rPr>
        <w:t xml:space="preserve"> is the L2 regularization term on the weights. By aggressively penalizing complexity, the XGBoost model isolates true predictive signals from transient market noise on the NGX.</w:t>
      </w:r>
    </w:p>
    <w:p w14:paraId="404617CA" w14:textId="217DFBAF" w:rsidR="7187619A" w:rsidRDefault="714FCAC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3.2.4 The Tail</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Risk Aware (Mean</w:t>
      </w:r>
      <w:r w:rsidR="3CB00BA7" w:rsidRPr="47575B0A">
        <w:rPr>
          <w:rFonts w:ascii="Times New Roman" w:eastAsia="Times New Roman" w:hAnsi="Times New Roman" w:cs="Times New Roman"/>
          <w:b/>
          <w:bCs/>
        </w:rPr>
        <w:t>-</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 Optimization Model</w:t>
      </w:r>
    </w:p>
    <w:p w14:paraId="08F8299B" w14:textId="776F933C" w:rsidR="78861E12" w:rsidRDefault="406F5F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continuous return forecasts generated by the Random Forest and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algorithms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RF</m:t>
                </m:r>
              </m:sup>
            </m:sSup>
          </m:e>
        </m:acc>
      </m:oMath>
      <w:r w:rsidRPr="28C1B626">
        <w:rPr>
          <w:rFonts w:ascii="Times New Roman" w:eastAsia="Times New Roman" w:hAnsi="Times New Roman" w:cs="Times New Roman"/>
        </w:rPr>
        <w:t xml:space="preserve"> and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XGB</m:t>
                </m:r>
              </m:sup>
            </m:sSup>
          </m:e>
        </m:acc>
      </m:oMath>
      <w:r w:rsidRPr="28C1B626">
        <w:rPr>
          <w:rFonts w:ascii="Times New Roman" w:eastAsia="Times New Roman" w:hAnsi="Times New Roman" w:cs="Times New Roman"/>
        </w:rPr>
        <w:t xml:space="preserve">) are aggregated into an expected return vector, denoted as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which serves as the primary input for the optimization algorithm.</w:t>
      </w:r>
    </w:p>
    <w:p w14:paraId="77F29349" w14:textId="180C2986" w:rsidR="78861E12" w:rsidRDefault="406F5F6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To account for the severe downside volatility inherent in emerging equity markets, this study discards the traditional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framework (which assumes normally distributed returns) in favor of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Conditional Value at Risk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framework.</w:t>
      </w:r>
    </w:p>
    <w:p w14:paraId="485AC499" w14:textId="49D1A7B3" w:rsidR="0C80C9C9" w:rsidRDefault="47BC7A9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1. Formulation of Portfolio Loss and </w:t>
      </w:r>
      <w:proofErr w:type="spellStart"/>
      <w:r w:rsidRPr="47575B0A">
        <w:rPr>
          <w:rFonts w:ascii="Times New Roman" w:eastAsia="Times New Roman" w:hAnsi="Times New Roman" w:cs="Times New Roman"/>
          <w:b/>
          <w:bCs/>
        </w:rPr>
        <w:t>VaR</w:t>
      </w:r>
      <w:proofErr w:type="spellEnd"/>
    </w:p>
    <w:p w14:paraId="6B846424" w14:textId="4F357BED"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Let </w:t>
      </w:r>
      <m:oMath>
        <m:r>
          <w:rPr>
            <w:rFonts w:ascii="Cambria Math" w:hAnsi="Cambria Math"/>
          </w:rPr>
          <m:t>w </m:t>
        </m:r>
      </m:oMath>
      <w:r w:rsidRPr="28C1B626">
        <w:rPr>
          <w:rFonts w:ascii="Times New Roman" w:eastAsia="Times New Roman" w:hAnsi="Times New Roman" w:cs="Times New Roman"/>
        </w:rPr>
        <w:t xml:space="preserve"> represent the vector of portfolio weights allocated to the </w:t>
      </w:r>
      <m:oMath>
        <m:r>
          <w:rPr>
            <w:rFonts w:ascii="Cambria Math" w:hAnsi="Cambria Math"/>
          </w:rPr>
          <m:t>N </m:t>
        </m:r>
      </m:oMath>
      <w:r w:rsidRPr="28C1B626">
        <w:rPr>
          <w:rFonts w:ascii="Times New Roman" w:eastAsia="Times New Roman" w:hAnsi="Times New Roman" w:cs="Times New Roman"/>
        </w:rPr>
        <w:t xml:space="preserve">constituent assets of the NGX Pension </w:t>
      </w:r>
      <w:r w:rsidR="4C9A470E" w:rsidRPr="28C1B626">
        <w:rPr>
          <w:rFonts w:ascii="Times New Roman" w:eastAsia="Times New Roman" w:hAnsi="Times New Roman" w:cs="Times New Roman"/>
        </w:rPr>
        <w:t>Index and</w:t>
      </w:r>
      <w:r w:rsidRPr="28C1B626">
        <w:rPr>
          <w:rFonts w:ascii="Times New Roman" w:eastAsia="Times New Roman" w:hAnsi="Times New Roman" w:cs="Times New Roman"/>
        </w:rPr>
        <w:t xml:space="preserve"> </w:t>
      </w:r>
      <m:oMath>
        <m:r>
          <w:rPr>
            <w:rFonts w:ascii="Cambria Math" w:hAnsi="Cambria Math"/>
          </w:rPr>
          <m:t>r </m:t>
        </m:r>
      </m:oMath>
      <w:r w:rsidRPr="28C1B626">
        <w:rPr>
          <w:rFonts w:ascii="Times New Roman" w:eastAsia="Times New Roman" w:hAnsi="Times New Roman" w:cs="Times New Roman"/>
        </w:rPr>
        <w:t xml:space="preserve"> r</w:t>
      </w:r>
      <w:r w:rsidR="55AB2E1B" w:rsidRPr="28C1B626">
        <w:rPr>
          <w:rFonts w:ascii="Times New Roman" w:eastAsia="Times New Roman" w:hAnsi="Times New Roman" w:cs="Times New Roman"/>
        </w:rPr>
        <w:t xml:space="preserve"> r</w:t>
      </w:r>
      <w:r w:rsidRPr="28C1B626">
        <w:rPr>
          <w:rFonts w:ascii="Times New Roman" w:eastAsia="Times New Roman" w:hAnsi="Times New Roman" w:cs="Times New Roman"/>
        </w:rPr>
        <w:t xml:space="preserve">epresent the vector of actual asset returns. The portfolio loss function is defined as the negative of the portfolio </w:t>
      </w:r>
      <w:r w:rsidR="29AD428E" w:rsidRPr="28C1B626">
        <w:rPr>
          <w:rFonts w:ascii="Times New Roman" w:eastAsia="Times New Roman" w:hAnsi="Times New Roman" w:cs="Times New Roman"/>
        </w:rPr>
        <w:t xml:space="preserve">return: </w:t>
      </w:r>
    </w:p>
    <w:p w14:paraId="42C3A3FA" w14:textId="545405D9" w:rsidR="28C1B626" w:rsidRDefault="28C1B626" w:rsidP="00B61C71">
      <w:pPr>
        <w:spacing w:after="0" w:line="480" w:lineRule="auto"/>
        <w:ind w:left="2880" w:firstLine="720"/>
        <w:jc w:val="both"/>
        <w:rPr>
          <w:rFonts w:ascii="Times New Roman" w:eastAsia="Times New Roman" w:hAnsi="Times New Roman" w:cs="Times New Roman"/>
        </w:rPr>
      </w:pPr>
      <m:oMathPara>
        <m:oMath>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r</m:t>
          </m:r>
        </m:oMath>
      </m:oMathPara>
    </w:p>
    <w:p w14:paraId="089B679B" w14:textId="05F35D5F"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Before defining </w:t>
      </w:r>
      <w:proofErr w:type="spellStart"/>
      <w:r w:rsidRPr="28C1B626">
        <w:rPr>
          <w:rFonts w:ascii="Times New Roman" w:eastAsia="Times New Roman" w:hAnsi="Times New Roman" w:cs="Times New Roman"/>
        </w:rPr>
        <w:t>CVaR</w:t>
      </w:r>
      <w:proofErr w:type="spellEnd"/>
      <w:r w:rsidRPr="28C1B626">
        <w:rPr>
          <w:rFonts w:ascii="Times New Roman" w:eastAsia="Times New Roman" w:hAnsi="Times New Roman" w:cs="Times New Roman"/>
        </w:rPr>
        <w:t>, the Value at Risk (</w:t>
      </w:r>
      <w:proofErr w:type="spellStart"/>
      <w:r w:rsidRPr="28C1B626">
        <w:rPr>
          <w:rFonts w:ascii="Times New Roman" w:eastAsia="Times New Roman" w:hAnsi="Times New Roman" w:cs="Times New Roman"/>
        </w:rPr>
        <w:t>VaR</w:t>
      </w:r>
      <w:proofErr w:type="spellEnd"/>
      <w:r w:rsidRPr="28C1B626">
        <w:rPr>
          <w:rFonts w:ascii="Times New Roman" w:eastAsia="Times New Roman" w:hAnsi="Times New Roman" w:cs="Times New Roman"/>
        </w:rPr>
        <w:t>) at a specified confidence level</w:t>
      </w:r>
      <m:oMath>
        <m:r>
          <w:rPr>
            <w:rFonts w:ascii="Cambria Math" w:hAnsi="Cambria Math"/>
          </w:rPr>
          <m:t>α∈</m:t>
        </m:r>
        <m:d>
          <m:dPr>
            <m:ctrlPr>
              <w:rPr>
                <w:rFonts w:ascii="Cambria Math" w:hAnsi="Cambria Math"/>
              </w:rPr>
            </m:ctrlPr>
          </m:dPr>
          <m:e>
            <m:r>
              <w:rPr>
                <w:rFonts w:ascii="Cambria Math" w:hAnsi="Cambria Math"/>
              </w:rPr>
              <m:t>0,1</m:t>
            </m:r>
          </m:e>
        </m:d>
      </m:oMath>
      <w:r w:rsidRPr="28C1B626">
        <w:rPr>
          <w:rFonts w:ascii="Times New Roman" w:eastAsia="Times New Roman" w:hAnsi="Times New Roman" w:cs="Times New Roman"/>
        </w:rPr>
        <w:t xml:space="preserve"> (e.g., 95%) must be established. VaR represents the minimum loss expected in the </w:t>
      </w:r>
      <m:oMath>
        <m:d>
          <m:dPr>
            <m:ctrlPr>
              <w:rPr>
                <w:rFonts w:ascii="Cambria Math" w:hAnsi="Cambria Math"/>
              </w:rPr>
            </m:ctrlPr>
          </m:dPr>
          <m:e>
            <m:r>
              <w:rPr>
                <w:rFonts w:ascii="Cambria Math" w:hAnsi="Cambria Math"/>
              </w:rPr>
              <m:t>1-α</m:t>
            </m:r>
          </m:e>
        </m:d>
      </m:oMath>
      <w:r w:rsidRPr="28C1B626">
        <w:rPr>
          <w:rFonts w:ascii="Times New Roman" w:eastAsia="Times New Roman" w:hAnsi="Times New Roman" w:cs="Times New Roman"/>
        </w:rPr>
        <w:t xml:space="preserve"> worst</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case scenarios:</w:t>
      </w:r>
    </w:p>
    <w:p w14:paraId="4A182854" w14:textId="65232BB5" w:rsidR="28C1B626" w:rsidRDefault="28C1B626" w:rsidP="00B61C71">
      <w:pPr>
        <w:spacing w:after="0" w:line="480" w:lineRule="auto"/>
        <w:ind w:left="2160"/>
        <w:jc w:val="both"/>
        <w:rPr>
          <w:rFonts w:ascii="Times New Roman" w:eastAsia="Times New Roman" w:hAnsi="Times New Roman" w:cs="Times New Roman"/>
        </w:rPr>
      </w:pPr>
      <m:oMathPara>
        <m:oMath>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r>
                <w:rPr>
                  <w:rFonts w:ascii="Cambria Math" w:hAnsi="Cambria Math"/>
                </w:rPr>
                <m:t>├</m:t>
              </m:r>
              <m:d>
                <m:dPr>
                  <m:endChr m:val="}"/>
                  <m:ctrlPr>
                    <w:rPr>
                      <w:rFonts w:ascii="Cambria Math" w:hAnsi="Cambria Math"/>
                    </w:rPr>
                  </m:ctrlPr>
                </m:dPr>
                <m:e>
                  <m:r>
                    <w:rPr>
                      <w:rFonts w:ascii="Cambria Math" w:hAnsi="Cambria Math"/>
                    </w:rPr>
                    <m:t>γ∈R: P</m:t>
                  </m:r>
                  <m:d>
                    <m:dPr>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 ≤γ</m:t>
                      </m:r>
                    </m:e>
                  </m:d>
                  <m:r>
                    <w:rPr>
                      <w:rFonts w:ascii="Cambria Math" w:hAnsi="Cambria Math"/>
                    </w:rPr>
                    <m:t> ≥α</m:t>
                  </m:r>
                </m:e>
              </m:d>
            </m:e>
          </m:func>
        </m:oMath>
      </m:oMathPara>
    </w:p>
    <w:p w14:paraId="1642DAC5" w14:textId="54108CAC" w:rsidR="28C1B626" w:rsidRDefault="28C1B626" w:rsidP="00B61C71">
      <w:pPr>
        <w:spacing w:after="0" w:line="480" w:lineRule="auto"/>
        <w:ind w:left="2160"/>
        <w:jc w:val="both"/>
        <w:rPr>
          <w:rFonts w:ascii="Times New Roman" w:eastAsia="Times New Roman" w:hAnsi="Times New Roman" w:cs="Times New Roman"/>
        </w:rPr>
      </w:pPr>
    </w:p>
    <w:p w14:paraId="64BB6EDD" w14:textId="5BB7CCBC" w:rsidR="503A75D7" w:rsidRDefault="28F3B1EC"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Conditional Value at Risk (</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w:t>
      </w:r>
    </w:p>
    <w:p w14:paraId="4B5371B1" w14:textId="5A86515A"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CVa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=E</m:t>
          </m:r>
          <m:d>
            <m:dPr>
              <m:begChr m:val="["/>
              <m:sepChr m:val="∣"/>
              <m:endChr m:val="]"/>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e>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e>
          </m:d>
        </m:oMath>
      </m:oMathPara>
    </w:p>
    <w:p w14:paraId="3E9EE326" w14:textId="2A5D860D" w:rsidR="28C1B626" w:rsidRDefault="28C1B626" w:rsidP="00B61C71">
      <w:pPr>
        <w:spacing w:after="0" w:line="480" w:lineRule="auto"/>
        <w:ind w:left="1440" w:firstLine="720"/>
        <w:jc w:val="both"/>
        <w:rPr>
          <w:rFonts w:ascii="Times New Roman" w:eastAsia="Times New Roman" w:hAnsi="Times New Roman" w:cs="Times New Roman"/>
        </w:rPr>
      </w:pPr>
    </w:p>
    <w:p w14:paraId="7D955905" w14:textId="3B5AD166" w:rsidR="259197B6" w:rsidRDefault="677DF53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Following the formulation by </w:t>
      </w:r>
      <w:proofErr w:type="spellStart"/>
      <w:r w:rsidRPr="47575B0A">
        <w:rPr>
          <w:rFonts w:ascii="Times New Roman" w:eastAsia="Times New Roman" w:hAnsi="Times New Roman" w:cs="Times New Roman"/>
        </w:rPr>
        <w:t>Rockafellar</w:t>
      </w:r>
      <w:proofErr w:type="spellEnd"/>
      <w:r w:rsidRPr="47575B0A">
        <w:rPr>
          <w:rFonts w:ascii="Times New Roman" w:eastAsia="Times New Roman" w:hAnsi="Times New Roman" w:cs="Times New Roman"/>
        </w:rPr>
        <w:t xml:space="preserve"> and </w:t>
      </w:r>
      <w:proofErr w:type="spellStart"/>
      <w:r w:rsidRPr="47575B0A">
        <w:rPr>
          <w:rFonts w:ascii="Times New Roman" w:eastAsia="Times New Roman" w:hAnsi="Times New Roman" w:cs="Times New Roman"/>
        </w:rPr>
        <w:t>Uryasev</w:t>
      </w:r>
      <w:proofErr w:type="spellEnd"/>
      <w:r w:rsidRPr="47575B0A">
        <w:rPr>
          <w:rFonts w:ascii="Times New Roman" w:eastAsia="Times New Roman" w:hAnsi="Times New Roman" w:cs="Times New Roman"/>
        </w:rPr>
        <w:t xml:space="preserve"> (2000),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can be seamlessly integrated into a linear programming problem by minimizing an auxiliary continuous and </w:t>
      </w:r>
      <w:r w:rsidR="2C5AACA8" w:rsidRPr="47575B0A">
        <w:rPr>
          <w:rFonts w:ascii="Times New Roman" w:eastAsia="Times New Roman" w:hAnsi="Times New Roman" w:cs="Times New Roman"/>
        </w:rPr>
        <w:t>convex function:</w:t>
      </w:r>
    </w:p>
    <w:p w14:paraId="191E9851" w14:textId="5009A120" w:rsidR="28C1B626" w:rsidRDefault="00E87707" w:rsidP="00B61C71">
      <w:pPr>
        <w:spacing w:after="0" w:line="480" w:lineRule="auto"/>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α</m:t>
              </m:r>
            </m:sub>
          </m:sSub>
          <m:d>
            <m:dPr>
              <m:ctrlPr>
                <w:rPr>
                  <w:rFonts w:ascii="Cambria Math" w:hAnsi="Cambria Math"/>
                </w:rPr>
              </m:ctrlPr>
            </m:dPr>
            <m:e>
              <m:r>
                <w:rPr>
                  <w:rFonts w:ascii="Cambria Math" w:hAnsi="Cambria Math"/>
                </w:rPr>
                <m:t>w,γ</m:t>
              </m:r>
            </m:e>
          </m:d>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1-α</m:t>
              </m:r>
            </m:den>
          </m:f>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0,L</m:t>
                      </m:r>
                      <m:d>
                        <m:dPr>
                          <m:ctrlPr>
                            <w:rPr>
                              <w:rFonts w:ascii="Cambria Math" w:hAnsi="Cambria Math"/>
                            </w:rPr>
                          </m:ctrlPr>
                        </m:dPr>
                        <m:e>
                          <m:r>
                            <w:rPr>
                              <w:rFonts w:ascii="Cambria Math" w:hAnsi="Cambria Math"/>
                            </w:rPr>
                            <m:t>w,r</m:t>
                          </m:r>
                        </m:e>
                      </m:d>
                      <m:r>
                        <w:rPr>
                          <w:rFonts w:ascii="Cambria Math" w:hAnsi="Cambria Math"/>
                        </w:rPr>
                        <m:t>-γ</m:t>
                      </m:r>
                    </m:e>
                  </m:d>
                </m:e>
              </m:func>
            </m:e>
          </m:d>
        </m:oMath>
      </m:oMathPara>
    </w:p>
    <w:p w14:paraId="0C55BAC7" w14:textId="5EC4F255" w:rsidR="28C1B626" w:rsidRDefault="28C1B626" w:rsidP="00B61C71">
      <w:pPr>
        <w:spacing w:after="0" w:line="480" w:lineRule="auto"/>
        <w:ind w:left="1440" w:firstLine="720"/>
        <w:jc w:val="both"/>
        <w:rPr>
          <w:rFonts w:ascii="Times New Roman" w:eastAsia="Times New Roman" w:hAnsi="Times New Roman" w:cs="Times New Roman"/>
        </w:rPr>
      </w:pPr>
    </w:p>
    <w:p w14:paraId="172E4831" w14:textId="00FD1922" w:rsidR="450B4B3F" w:rsidRDefault="14D791BA"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 The Optimization Objective</w:t>
      </w:r>
    </w:p>
    <w:p w14:paraId="0530F70E" w14:textId="6CEAB160" w:rsidR="450B4B3F" w:rsidRDefault="14D791BA"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ultimate objective of the model is to minimize the tail risk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while achieving a minimum acceptable expected return driven by the machine learning forecasts. The optimization problem is specified as:</w:t>
      </w:r>
    </w:p>
    <w:p w14:paraId="2A8384FA" w14:textId="0A0A9D3C" w:rsidR="28C1B626" w:rsidRDefault="28C1B626" w:rsidP="00B61C71">
      <w:pPr>
        <w:spacing w:after="0" w:line="480" w:lineRule="auto"/>
        <w:jc w:val="both"/>
        <w:rPr>
          <w:rFonts w:ascii="Times New Roman" w:eastAsia="Times New Roman" w:hAnsi="Times New Roman" w:cs="Times New Roman"/>
        </w:rPr>
      </w:pPr>
    </w:p>
    <w:p w14:paraId="7DF32E7B" w14:textId="0A46441B" w:rsidR="28C1B626" w:rsidRDefault="00E87707" w:rsidP="00B61C71">
      <w:pPr>
        <w:spacing w:after="240" w:line="480" w:lineRule="auto"/>
        <w:ind w:left="1440" w:firstLine="720"/>
        <w:jc w:val="both"/>
        <w:rPr>
          <w:rFonts w:ascii="Times New Roman" w:eastAsia="Times New Roman" w:hAnsi="Times New Roman" w:cs="Times New Roman"/>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w,γ</m:t>
                  </m:r>
                </m:lim>
              </m:limLow>
            </m:fName>
            <m:e>
              <m:d>
                <m:dPr>
                  <m:ctrlPr>
                    <w:rPr>
                      <w:rFonts w:ascii="Cambria Math" w:hAnsi="Cambria Math"/>
                    </w:rPr>
                  </m:ctrlPr>
                </m:dPr>
                <m:e>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q</m:t>
                      </m:r>
                      <m:d>
                        <m:dPr>
                          <m:ctrlPr>
                            <w:rPr>
                              <w:rFonts w:ascii="Cambria Math" w:hAnsi="Cambria Math"/>
                            </w:rPr>
                          </m:ctrlPr>
                        </m:dPr>
                        <m:e>
                          <m:r>
                            <w:rPr>
                              <w:rFonts w:ascii="Cambria Math" w:hAnsi="Cambria Math"/>
                            </w:rPr>
                            <m:t>1-α</m:t>
                          </m:r>
                        </m:e>
                      </m:d>
                    </m:den>
                  </m:f>
                  <m:nary>
                    <m:naryPr>
                      <m:chr m:val="∑"/>
                      <m:ctrlPr>
                        <w:rPr>
                          <w:rFonts w:ascii="Cambria Math" w:hAnsi="Cambria Math"/>
                        </w:rPr>
                      </m:ctrlPr>
                    </m:naryPr>
                    <m:sub>
                      <m:r>
                        <w:rPr>
                          <w:rFonts w:ascii="Cambria Math" w:hAnsi="Cambria Math"/>
                        </w:rPr>
                        <m:t>j=1</m:t>
                      </m:r>
                    </m:sub>
                    <m:sup>
                      <m:r>
                        <w:rPr>
                          <w:rFonts w:ascii="Cambria Math" w:hAnsi="Cambria Math"/>
                        </w:rPr>
                        <m:t>q</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-γ</m:t>
                              </m:r>
                            </m:e>
                          </m:d>
                        </m:e>
                        <m:sup>
                          <m:r>
                            <w:rPr>
                              <w:rFonts w:ascii="Cambria Math" w:hAnsi="Cambria Math"/>
                            </w:rPr>
                            <m:t>+</m:t>
                          </m:r>
                        </m:sup>
                      </m:sSup>
                    </m:e>
                  </m:nary>
                </m:e>
              </m:d>
            </m:e>
          </m:func>
        </m:oMath>
      </m:oMathPara>
    </w:p>
    <w:p w14:paraId="32B2F589" w14:textId="2D98351A" w:rsidR="59CFAAE6" w:rsidRDefault="0EE42AF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Subject to the following empirical constraints:</w:t>
      </w:r>
    </w:p>
    <w:p w14:paraId="33DA4C93" w14:textId="7C95431F"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Target Return Constraint:</w:t>
      </w:r>
      <w:r w:rsidRPr="28C1B626">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acc>
          <m:accPr>
            <m:ctrlPr>
              <w:rPr>
                <w:rFonts w:ascii="Cambria Math" w:hAnsi="Cambria Math"/>
              </w:rPr>
            </m:ctrlPr>
          </m:accPr>
          <m:e>
            <m:r>
              <w:rPr>
                <w:rFonts w:ascii="Cambria Math" w:hAnsi="Cambria Math"/>
              </w:rPr>
              <m:t>μ</m:t>
            </m:r>
          </m:e>
        </m:ac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func>
              <m:funcPr>
                <m:ctrlPr>
                  <w:rPr>
                    <w:rFonts w:ascii="Cambria Math" w:hAnsi="Cambria Math"/>
                  </w:rPr>
                </m:ctrlPr>
              </m:funcPr>
              <m:fName>
                <m:r>
                  <m:rPr>
                    <m:sty m:val="p"/>
                  </m:rPr>
                  <w:rPr>
                    <w:rFonts w:ascii="Cambria Math" w:hAnsi="Cambria Math"/>
                  </w:rPr>
                  <m:t>arg</m:t>
                </m:r>
              </m:fName>
              <m:e>
                <m:r>
                  <w:rPr>
                    <w:rFonts w:ascii="Cambria Math" w:hAnsi="Cambria Math"/>
                  </w:rPr>
                  <m:t>e</m:t>
                </m:r>
              </m:e>
            </m:func>
            <m:r>
              <w:rPr>
                <w:rFonts w:ascii="Cambria Math" w:hAnsi="Cambria Math"/>
              </w:rPr>
              <m:t>t</m:t>
            </m:r>
          </m:sub>
        </m:sSub>
      </m:oMath>
      <w:r w:rsidRPr="28C1B626">
        <w:rPr>
          <w:rFonts w:ascii="Times New Roman" w:eastAsia="Times New Roman" w:hAnsi="Times New Roman" w:cs="Times New Roman"/>
        </w:rPr>
        <w:t xml:space="preserve"> (The portfolio's expected return, leveraging the ML </w:t>
      </w:r>
      <w:proofErr w:type="gramStart"/>
      <w:r w:rsidRPr="28C1B626">
        <w:rPr>
          <w:rFonts w:ascii="Times New Roman" w:eastAsia="Times New Roman" w:hAnsi="Times New Roman" w:cs="Times New Roman"/>
        </w:rPr>
        <w:t xml:space="preserve">vector </w:t>
      </w:r>
      <w:proofErr w:type="gramEnd"/>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must meet or exceed a specified target).</w:t>
      </w:r>
    </w:p>
    <w:p w14:paraId="3478E15A" w14:textId="6A6A20F7"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Budget Constraint:</w:t>
      </w:r>
      <w:r w:rsidRPr="28C1B626">
        <w:rPr>
          <w:rFonts w:ascii="Times New Roman" w:eastAsia="Times New Roman" w:hAnsi="Times New Roman" w:cs="Times New Roman"/>
        </w:rP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rsidRPr="28C1B626">
        <w:rPr>
          <w:rFonts w:ascii="Times New Roman" w:eastAsia="Times New Roman" w:hAnsi="Times New Roman" w:cs="Times New Roman"/>
        </w:rPr>
        <w:t xml:space="preserve"> (The portfolio is fully invested, utilizing 100% of available capital).</w:t>
      </w:r>
    </w:p>
    <w:p w14:paraId="78914F9F" w14:textId="1ABA56FA"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Long</w:t>
      </w:r>
      <w:r w:rsidR="3CB00BA7" w:rsidRPr="28C1B626">
        <w:rPr>
          <w:rFonts w:ascii="Times New Roman" w:eastAsia="Times New Roman" w:hAnsi="Times New Roman" w:cs="Times New Roman"/>
          <w:b/>
          <w:bCs/>
        </w:rPr>
        <w:t>-</w:t>
      </w:r>
      <w:r w:rsidRPr="28C1B626">
        <w:rPr>
          <w:rFonts w:ascii="Times New Roman" w:eastAsia="Times New Roman" w:hAnsi="Times New Roman" w:cs="Times New Roman"/>
          <w:b/>
          <w:bCs/>
        </w:rPr>
        <w:t>Only Constraint:</w:t>
      </w:r>
      <w:r w:rsidRPr="28C1B626">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≥0 ∀i</m:t>
        </m:r>
      </m:oMath>
      <w:r w:rsidRPr="28C1B626">
        <w:rPr>
          <w:rFonts w:ascii="Times New Roman" w:eastAsia="Times New Roman" w:hAnsi="Times New Roman" w:cs="Times New Roman"/>
        </w:rPr>
        <w:t xml:space="preserve"> (Short selling is prohibited, reflecting institutional realities on the NGX).</w:t>
      </w:r>
    </w:p>
    <w:p w14:paraId="155EE2DB" w14:textId="33745392" w:rsidR="59CFAAE6" w:rsidRDefault="0EE42AF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By directly feeding the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linear machine learning predictions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into this coherent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optimization framework, the final portfolio captures both predictive momentum and robust defense against extreme market downturns.</w:t>
      </w:r>
    </w:p>
    <w:p w14:paraId="7B24F880" w14:textId="62EA6DF8" w:rsidR="016DBFEF" w:rsidRDefault="45EC122D"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3.</w:t>
      </w:r>
      <w:r w:rsidR="46DA0CA7" w:rsidRPr="47575B0A">
        <w:rPr>
          <w:rFonts w:ascii="Times New Roman" w:eastAsia="Times New Roman" w:hAnsi="Times New Roman" w:cs="Times New Roman"/>
          <w:b/>
          <w:bCs/>
          <w:color w:val="000000" w:themeColor="text1"/>
        </w:rPr>
        <w:t>3</w:t>
      </w:r>
      <w:r w:rsidRPr="47575B0A">
        <w:rPr>
          <w:rFonts w:ascii="Times New Roman" w:eastAsia="Times New Roman" w:hAnsi="Times New Roman" w:cs="Times New Roman"/>
          <w:b/>
          <w:bCs/>
          <w:color w:val="000000" w:themeColor="text1"/>
        </w:rPr>
        <w:t xml:space="preserve"> Estimation Techniques</w:t>
      </w:r>
    </w:p>
    <w:p w14:paraId="72641A21" w14:textId="72B343F1" w:rsidR="1784DE1B" w:rsidRDefault="235009A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estimation techniques applied in this study are carefully chosen to meet the stated objectives and the nature of data employed. Since the study employs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series over the period of 201</w:t>
      </w:r>
      <w:r w:rsidR="3FB10719" w:rsidRPr="47575B0A">
        <w:rPr>
          <w:rFonts w:ascii="Times New Roman" w:eastAsia="Times New Roman" w:hAnsi="Times New Roman" w:cs="Times New Roman"/>
        </w:rPr>
        <w:t>0</w:t>
      </w:r>
      <w:r w:rsidRPr="47575B0A">
        <w:rPr>
          <w:rFonts w:ascii="Times New Roman" w:eastAsia="Times New Roman" w:hAnsi="Times New Roman" w:cs="Times New Roman"/>
        </w:rPr>
        <w:t xml:space="preserve"> </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lastRenderedPageBreak/>
        <w:t xml:space="preserve">2025, it </w:t>
      </w:r>
      <w:r w:rsidR="3D27EA11" w:rsidRPr="47575B0A">
        <w:rPr>
          <w:rFonts w:ascii="Times New Roman" w:eastAsia="Times New Roman" w:hAnsi="Times New Roman" w:cs="Times New Roman"/>
        </w:rPr>
        <w:t>is important that the employed techniques can pick up the statistical features of the data and the specific research questions</w:t>
      </w:r>
    </w:p>
    <w:p w14:paraId="380F81DC" w14:textId="648BE81D" w:rsidR="5D168995" w:rsidRDefault="3D27EA1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3.3.1 Time</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Series Data Partitioning (Train</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Test Split)</w:t>
      </w:r>
    </w:p>
    <w:p w14:paraId="7288E342" w14:textId="5B270C74" w:rsidR="2C45EFF5" w:rsidRDefault="12EE1BE8"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Evaluating machine learning models requires testing them on unseen,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data. While traditional machine learning relies on randomized 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fold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validation, applying random splits to financial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series data introduces </w:t>
      </w:r>
      <w:r w:rsidRPr="47575B0A">
        <w:rPr>
          <w:rFonts w:ascii="Times New Roman" w:eastAsia="Times New Roman" w:hAnsi="Times New Roman" w:cs="Times New Roman"/>
          <w:i/>
          <w:iCs/>
        </w:rPr>
        <w:t>look</w:t>
      </w:r>
      <w:r w:rsidR="3CB00BA7" w:rsidRPr="47575B0A">
        <w:rPr>
          <w:rFonts w:ascii="Times New Roman" w:eastAsia="Times New Roman" w:hAnsi="Times New Roman" w:cs="Times New Roman"/>
          <w:i/>
          <w:iCs/>
        </w:rPr>
        <w:t>-</w:t>
      </w:r>
      <w:r w:rsidRPr="47575B0A">
        <w:rPr>
          <w:rFonts w:ascii="Times New Roman" w:eastAsia="Times New Roman" w:hAnsi="Times New Roman" w:cs="Times New Roman"/>
          <w:i/>
          <w:iCs/>
        </w:rPr>
        <w:t>ahead bias</w:t>
      </w:r>
      <w:r w:rsidRPr="47575B0A">
        <w:rPr>
          <w:rFonts w:ascii="Times New Roman" w:eastAsia="Times New Roman" w:hAnsi="Times New Roman" w:cs="Times New Roman"/>
        </w:rPr>
        <w:t xml:space="preserve">. This severe methodological flaw occurs when future market information inadvertently leaks into the training dataset, destroying the chronological order of </w:t>
      </w:r>
      <w:r w:rsidR="10EE17C9" w:rsidRPr="47575B0A">
        <w:rPr>
          <w:rFonts w:ascii="Times New Roman" w:eastAsia="Times New Roman" w:hAnsi="Times New Roman" w:cs="Times New Roman"/>
        </w:rPr>
        <w:t>events,</w:t>
      </w:r>
      <w:r w:rsidRPr="47575B0A">
        <w:rPr>
          <w:rFonts w:ascii="Times New Roman" w:eastAsia="Times New Roman" w:hAnsi="Times New Roman" w:cs="Times New Roman"/>
        </w:rPr>
        <w:t xml:space="preserve"> and artificially inflating the model's predictive accuracy.</w:t>
      </w:r>
    </w:p>
    <w:p w14:paraId="4F51D19D" w14:textId="6944F543"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preserve temporal dependencies, this study uses Rolling Window Walk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Forward Validation. This technique simulates real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world forecasting by sequentially advancing a fixed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size training window through the historical NGX dataset.</w:t>
      </w:r>
    </w:p>
    <w:p w14:paraId="71E31725" w14:textId="6DF0DAB1"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algorithm trains the Random Forest and </w:t>
      </w:r>
      <w:proofErr w:type="spellStart"/>
      <w:r w:rsidRPr="47575B0A">
        <w:rPr>
          <w:rFonts w:ascii="Times New Roman" w:eastAsia="Times New Roman" w:hAnsi="Times New Roman" w:cs="Times New Roman"/>
        </w:rPr>
        <w:t>XGBoost</w:t>
      </w:r>
      <w:proofErr w:type="spellEnd"/>
      <w:r w:rsidRPr="47575B0A">
        <w:rPr>
          <w:rFonts w:ascii="Times New Roman" w:eastAsia="Times New Roman" w:hAnsi="Times New Roman" w:cs="Times New Roman"/>
        </w:rPr>
        <w:t xml:space="preserve"> models on a fixed historical lookback period of size W (e.g., the preceding 156 weeks) to forecast the return for the </w:t>
      </w:r>
      <w:r w:rsidR="2037CDE0" w:rsidRPr="47575B0A">
        <w:rPr>
          <w:rFonts w:ascii="Times New Roman" w:eastAsia="Times New Roman" w:hAnsi="Times New Roman" w:cs="Times New Roman"/>
        </w:rPr>
        <w:t>immediate</w:t>
      </w:r>
      <w:r w:rsidRPr="47575B0A">
        <w:rPr>
          <w:rFonts w:ascii="Times New Roman" w:eastAsia="Times New Roman" w:hAnsi="Times New Roman" w:cs="Times New Roman"/>
        </w:rPr>
        <w:t xml:space="preserve"> subsequent week (t). Once the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prediction is recorded, the entire training window shifts forward by one week. The oldest weekly observation is discarded, the most recent observation is absorbed, and the models are retrained.</w:t>
      </w:r>
    </w:p>
    <w:p w14:paraId="3006B12C" w14:textId="58EBE478"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3.3.2 Model Training and </w:t>
      </w:r>
      <w:proofErr w:type="spellStart"/>
      <w:r w:rsidRPr="47575B0A">
        <w:rPr>
          <w:rFonts w:ascii="Times New Roman" w:eastAsia="Times New Roman" w:hAnsi="Times New Roman" w:cs="Times New Roman"/>
          <w:b/>
          <w:bCs/>
        </w:rPr>
        <w:t>Hyperparameter</w:t>
      </w:r>
      <w:proofErr w:type="spellEnd"/>
      <w:r w:rsidRPr="47575B0A">
        <w:rPr>
          <w:rFonts w:ascii="Times New Roman" w:eastAsia="Times New Roman" w:hAnsi="Times New Roman" w:cs="Times New Roman"/>
          <w:b/>
          <w:bCs/>
        </w:rPr>
        <w:t xml:space="preserve"> Tuning</w:t>
      </w:r>
    </w:p>
    <w:p w14:paraId="6BD674AD" w14:textId="6B5BFCC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the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box machine learning algorithms rarely capture the complex dynamics of financial time series optimally. Therefore, this study employs a Randomized Search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Validation strategy within the training window to efficiently identify the optimal </w:t>
      </w:r>
      <w:proofErr w:type="spellStart"/>
      <w:r w:rsidRPr="47575B0A">
        <w:rPr>
          <w:rFonts w:ascii="Times New Roman" w:eastAsia="Times New Roman" w:hAnsi="Times New Roman" w:cs="Times New Roman"/>
        </w:rPr>
        <w:t>hyperparameter</w:t>
      </w:r>
      <w:proofErr w:type="spellEnd"/>
      <w:r w:rsidRPr="47575B0A">
        <w:rPr>
          <w:rFonts w:ascii="Times New Roman" w:eastAsia="Times New Roman" w:hAnsi="Times New Roman" w:cs="Times New Roman"/>
        </w:rPr>
        <w:t xml:space="preserve"> configurations for both models.</w:t>
      </w:r>
    </w:p>
    <w:p w14:paraId="3AC5E74D" w14:textId="4EEA9F1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The tuning process focuses on penalizing model complexity to prevent overfitting:</w:t>
      </w:r>
    </w:p>
    <w:p w14:paraId="085817F7" w14:textId="0562D944"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Parameters:</w:t>
      </w:r>
      <w:r w:rsidRPr="47575B0A">
        <w:rPr>
          <w:rFonts w:ascii="Times New Roman" w:eastAsia="Times New Roman" w:hAnsi="Times New Roman" w:cs="Times New Roman"/>
        </w:rPr>
        <w:t xml:space="preserve"> The search optimizes the number of trees in the forest (</w:t>
      </w:r>
      <w:proofErr w:type="spellStart"/>
      <w:r w:rsidRPr="47575B0A">
        <w:rPr>
          <w:rFonts w:ascii="Times New Roman" w:eastAsia="Times New Roman" w:hAnsi="Times New Roman" w:cs="Times New Roman"/>
        </w:rPr>
        <w:t>n_estimators</w:t>
      </w:r>
      <w:proofErr w:type="spellEnd"/>
      <w:r w:rsidRPr="47575B0A">
        <w:rPr>
          <w:rFonts w:ascii="Times New Roman" w:eastAsia="Times New Roman" w:hAnsi="Times New Roman" w:cs="Times New Roman"/>
        </w:rPr>
        <w:t>), the maximum depth of each tree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number of samples required to split an internal node (</w:t>
      </w:r>
      <w:proofErr w:type="spellStart"/>
      <w:r w:rsidRPr="47575B0A">
        <w:rPr>
          <w:rFonts w:ascii="Times New Roman" w:eastAsia="Times New Roman" w:hAnsi="Times New Roman" w:cs="Times New Roman"/>
        </w:rPr>
        <w:t>min_samples_split</w:t>
      </w:r>
      <w:proofErr w:type="spellEnd"/>
      <w:r w:rsidRPr="47575B0A">
        <w:rPr>
          <w:rFonts w:ascii="Times New Roman" w:eastAsia="Times New Roman" w:hAnsi="Times New Roman" w:cs="Times New Roman"/>
        </w:rPr>
        <w:t>).</w:t>
      </w:r>
    </w:p>
    <w:p w14:paraId="638ED138" w14:textId="68AE6BAC"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Parameters:</w:t>
      </w:r>
      <w:r w:rsidRPr="47575B0A">
        <w:rPr>
          <w:rFonts w:ascii="Times New Roman" w:eastAsia="Times New Roman" w:hAnsi="Times New Roman" w:cs="Times New Roman"/>
        </w:rPr>
        <w:t xml:space="preserve"> The search optimizes the learning rate or step size shrinkage (</w:t>
      </w:r>
      <w:proofErr w:type="spellStart"/>
      <w:r w:rsidRPr="47575B0A">
        <w:rPr>
          <w:rFonts w:ascii="Times New Roman" w:eastAsia="Times New Roman" w:hAnsi="Times New Roman" w:cs="Times New Roman"/>
        </w:rPr>
        <w:t>learning_rate</w:t>
      </w:r>
      <w:proofErr w:type="spellEnd"/>
      <w:r w:rsidRPr="47575B0A">
        <w:rPr>
          <w:rFonts w:ascii="Times New Roman" w:eastAsia="Times New Roman" w:hAnsi="Times New Roman" w:cs="Times New Roman"/>
        </w:rPr>
        <w:t>), the maximum tree depth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loss reduction required to make a further partition (gamma), which directly controls the structural regularization.</w:t>
      </w:r>
    </w:p>
    <w:p w14:paraId="0611C221" w14:textId="72F41855" w:rsidR="55A86771" w:rsidRDefault="55A86771"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3.3.3 Portfolio Turnover and Transaction Costs</w:t>
      </w:r>
    </w:p>
    <w:p w14:paraId="49650F81" w14:textId="290A9193" w:rsidR="55A86771" w:rsidRDefault="55A86771"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ensure that the optimized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47575B0A">
        <w:rPr>
          <w:rFonts w:ascii="Times New Roman" w:eastAsia="Times New Roman" w:hAnsi="Times New Roman" w:cs="Times New Roman"/>
          <w:color w:val="303030"/>
        </w:rPr>
        <w:t>Ashrafzadeh</w:t>
      </w:r>
      <w:proofErr w:type="spellEnd"/>
      <w:r w:rsidRPr="47575B0A">
        <w:rPr>
          <w:rFonts w:ascii="Times New Roman" w:eastAsia="Times New Roman" w:hAnsi="Times New Roman" w:cs="Times New Roman"/>
          <w:color w:val="303030"/>
        </w:rPr>
        <w:t xml:space="preserve"> et al., 2025). This requires measuring the portfolio turnover, which mathematically quantifies the absolute change in the portfolio's asset weights from one weekly rebalancing period to the next (</w:t>
      </w:r>
      <w:proofErr w:type="spellStart"/>
      <w:r w:rsidRPr="47575B0A">
        <w:rPr>
          <w:rFonts w:ascii="Times New Roman" w:eastAsia="Times New Roman" w:hAnsi="Times New Roman" w:cs="Times New Roman"/>
          <w:color w:val="303030"/>
        </w:rPr>
        <w:t>Zsurkis</w:t>
      </w:r>
      <w:proofErr w:type="spellEnd"/>
      <w:r w:rsidRPr="47575B0A">
        <w:rPr>
          <w:rFonts w:ascii="Times New Roman" w:eastAsia="Times New Roman" w:hAnsi="Times New Roman" w:cs="Times New Roman"/>
          <w:color w:val="303030"/>
        </w:rPr>
        <w:t xml:space="preserve">, </w:t>
      </w:r>
      <w:proofErr w:type="spellStart"/>
      <w:r w:rsidRPr="47575B0A">
        <w:rPr>
          <w:rFonts w:ascii="Times New Roman" w:eastAsia="Times New Roman" w:hAnsi="Times New Roman" w:cs="Times New Roman"/>
          <w:color w:val="303030"/>
        </w:rPr>
        <w:t>Nicolau</w:t>
      </w:r>
      <w:proofErr w:type="spellEnd"/>
      <w:r w:rsidRPr="47575B0A">
        <w:rPr>
          <w:rFonts w:ascii="Times New Roman" w:eastAsia="Times New Roman" w:hAnsi="Times New Roman" w:cs="Times New Roman"/>
          <w:color w:val="303030"/>
        </w:rPr>
        <w:t xml:space="preserve">, &amp; Rodrigues, 2024). </w:t>
      </w:r>
      <w:r w:rsidR="00FB13D7" w:rsidRPr="00FB13D7">
        <w:rPr>
          <w:rFonts w:ascii="Times New Roman" w:eastAsia="Times New Roman" w:hAnsi="Times New Roman" w:cs="Times New Roman"/>
          <w:color w:val="303030"/>
        </w:rPr>
        <w:t>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w:t>
      </w:r>
      <w:r w:rsidR="00FB13D7">
        <w:rPr>
          <w:rFonts w:ascii="Times New Roman" w:eastAsia="Times New Roman" w:hAnsi="Times New Roman" w:cs="Times New Roman"/>
          <w:color w:val="303030"/>
        </w:rPr>
        <w:t xml:space="preserve"> </w:t>
      </w:r>
      <w:r w:rsidRPr="47575B0A">
        <w:rPr>
          <w:rFonts w:ascii="Times New Roman" w:eastAsia="Times New Roman" w:hAnsi="Times New Roman" w:cs="Times New Roman"/>
          <w:color w:val="303030"/>
        </w:rPr>
        <w:t>Finally, a Net Returns feature column will be constructed by deducting these calculated transaction costs from the gross portfolio returns, providing a rigorous and realistic evaluation of the portfolio's actual out-of-sample performance.</w:t>
      </w:r>
    </w:p>
    <w:p w14:paraId="5F831D91" w14:textId="7EFC980B"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3.3.</w:t>
      </w:r>
      <w:r w:rsidR="45F0247A" w:rsidRPr="47575B0A">
        <w:rPr>
          <w:rFonts w:ascii="Times New Roman" w:eastAsia="Times New Roman" w:hAnsi="Times New Roman" w:cs="Times New Roman"/>
          <w:b/>
          <w:bCs/>
        </w:rPr>
        <w:t>4</w:t>
      </w:r>
      <w:r w:rsidRPr="47575B0A">
        <w:rPr>
          <w:rFonts w:ascii="Times New Roman" w:eastAsia="Times New Roman" w:hAnsi="Times New Roman" w:cs="Times New Roman"/>
          <w:b/>
          <w:bCs/>
        </w:rPr>
        <w:t xml:space="preserve"> Feature Importance Extraction</w:t>
      </w:r>
    </w:p>
    <w:p w14:paraId="046CF4D1" w14:textId="41BAC504"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Due to the criticism of ensemble models of being black boxes in traditional econometrics and to ensure economic interpretability, </w:t>
      </w:r>
      <w:r w:rsidR="774AC8EC" w:rsidRPr="47575B0A">
        <w:rPr>
          <w:rFonts w:ascii="Times New Roman" w:eastAsia="Times New Roman" w:hAnsi="Times New Roman" w:cs="Times New Roman"/>
        </w:rPr>
        <w:t>this study extracts the built</w:t>
      </w:r>
      <w:r w:rsidR="3CB00BA7" w:rsidRPr="47575B0A">
        <w:rPr>
          <w:rFonts w:ascii="Times New Roman" w:eastAsia="Times New Roman" w:hAnsi="Times New Roman" w:cs="Times New Roman"/>
        </w:rPr>
        <w:t>-</w:t>
      </w:r>
      <w:r w:rsidR="774AC8EC" w:rsidRPr="47575B0A">
        <w:rPr>
          <w:rFonts w:ascii="Times New Roman" w:eastAsia="Times New Roman" w:hAnsi="Times New Roman" w:cs="Times New Roman"/>
        </w:rPr>
        <w:t>in feature importance scores from the optimized models to determine which of the thirteen technical indicators exert the strongest predictive influence on NGX equity returns.</w:t>
      </w:r>
    </w:p>
    <w:p w14:paraId="3FB2DB55" w14:textId="69AFC64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Interpretation:</w:t>
      </w:r>
      <w:r w:rsidRPr="47575B0A">
        <w:rPr>
          <w:rFonts w:ascii="Times New Roman" w:eastAsia="Times New Roman" w:hAnsi="Times New Roman" w:cs="Times New Roman"/>
        </w:rPr>
        <w:t xml:space="preserve"> Importance is calculated using the Mean Decrease in Impurity (Gini Importance). It measures the total reduction of the Mean Squared Error (MSE) brought by that specific feature across all trees in the forest.</w:t>
      </w:r>
    </w:p>
    <w:p w14:paraId="4C9B9E44" w14:textId="130E699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Interpretation:</w:t>
      </w:r>
      <w:r w:rsidRPr="47575B0A">
        <w:rPr>
          <w:rFonts w:ascii="Times New Roman" w:eastAsia="Times New Roman" w:hAnsi="Times New Roman" w:cs="Times New Roman"/>
        </w:rPr>
        <w:t xml:space="preserve"> Importance is measured using Information Gain. It evaluates the relative contribution of each feature to the model by calculating the improvement in accuracy it provides to the branches it is on.</w:t>
      </w:r>
    </w:p>
    <w:p w14:paraId="02E38594" w14:textId="75E080DF" w:rsidR="1C8E5C64" w:rsidRDefault="6CD3F6A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w:t>
      </w:r>
      <w:r w:rsidR="4213DE3F" w:rsidRPr="47575B0A">
        <w:rPr>
          <w:rFonts w:ascii="Times New Roman" w:eastAsia="Times New Roman" w:hAnsi="Times New Roman" w:cs="Times New Roman"/>
          <w:b/>
          <w:bCs/>
        </w:rPr>
        <w:t>5</w:t>
      </w:r>
      <w:r w:rsidRPr="47575B0A">
        <w:rPr>
          <w:rFonts w:ascii="Times New Roman" w:eastAsia="Times New Roman" w:hAnsi="Times New Roman" w:cs="Times New Roman"/>
          <w:b/>
          <w:bCs/>
        </w:rPr>
        <w:t xml:space="preserve"> Evaluation Metrics for Forecasting and Portfolio Performance</w:t>
      </w:r>
    </w:p>
    <w:p w14:paraId="1FB1F824" w14:textId="6BFA3D03" w:rsidR="057DBCA5" w:rsidRDefault="0273BA0A"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methodology utilizes a dual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evaluation framework to assess both the predictive accuracy of the machine learning algorithms (Stage 1) and the financial viability of the resulting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optimized portfolio against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baseline (Stage 2).</w:t>
      </w:r>
    </w:p>
    <w:p w14:paraId="3D34F897" w14:textId="20FA1455" w:rsidR="057DBCA5" w:rsidRDefault="0273BA0A"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Predictive Forecasting Metrics</w:t>
      </w:r>
    </w:p>
    <w:p w14:paraId="33193A9D" w14:textId="4342A0D2" w:rsidR="057DBCA5" w:rsidRDefault="0273BA0A"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machine learning phase, the deviation of the forecasted expected returns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from the actual observed returns (R) is measured using two continuous error metrics:</w:t>
      </w:r>
    </w:p>
    <w:p w14:paraId="1290BE15" w14:textId="49A77995"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lastRenderedPageBreak/>
        <w:t>Root Mean Squared Error (RMSE):</w:t>
      </w:r>
      <w:r w:rsidRPr="47575B0A">
        <w:rPr>
          <w:rFonts w:ascii="Times New Roman" w:eastAsia="Times New Roman" w:hAnsi="Times New Roman" w:cs="Times New Roman"/>
        </w:rPr>
        <w:t xml:space="preserve"> Penalizes larger forecasting errors more heavily, which is crucial for identifying severe prediction failures before they are fed into the optimizer.</w:t>
      </w:r>
    </w:p>
    <w:p w14:paraId="1D4ECDFB" w14:textId="32C46F7D"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e>
              </m:nary>
            </m:e>
          </m:rad>
        </m:oMath>
      </m:oMathPara>
    </w:p>
    <w:p w14:paraId="5DF8D6EB" w14:textId="7579F267"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Mean Absolute Error (MAE):</w:t>
      </w:r>
      <w:r w:rsidRPr="47575B0A">
        <w:rPr>
          <w:rFonts w:ascii="Times New Roman" w:eastAsia="Times New Roman" w:hAnsi="Times New Roman" w:cs="Times New Roman"/>
        </w:rPr>
        <w:t xml:space="preserve"> Measures the average absolute magnitude of the prediction errors, providing a baseline view of model accuracy without directional bias.</w:t>
      </w:r>
    </w:p>
    <w:p w14:paraId="0ABDA370" w14:textId="302EC348"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nary>
        </m:oMath>
      </m:oMathPara>
    </w:p>
    <w:p w14:paraId="1F1BB078" w14:textId="45DB5B59" w:rsidR="28C1B626" w:rsidRDefault="28C1B626" w:rsidP="00B61C71">
      <w:pPr>
        <w:spacing w:after="240" w:line="480" w:lineRule="auto"/>
        <w:jc w:val="both"/>
        <w:rPr>
          <w:rFonts w:ascii="Times New Roman" w:eastAsia="Times New Roman" w:hAnsi="Times New Roman" w:cs="Times New Roman"/>
        </w:rPr>
      </w:pPr>
    </w:p>
    <w:p w14:paraId="5174123F" w14:textId="53741C53" w:rsidR="41B0570A" w:rsidRDefault="200210B0"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Risk</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Adjusted Portfolio Metrics</w:t>
      </w:r>
    </w:p>
    <w:p w14:paraId="27162B04" w14:textId="5D890662" w:rsidR="41B0570A" w:rsidRDefault="200210B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final portfolio allocation, performance is measured using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adjusted return metrics. This requires a localized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free rate proxy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 for which the de</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annualized Central Bank of Nigeria (CBN) 91</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day Treasury </w:t>
      </w:r>
      <w:proofErr w:type="gramStart"/>
      <w:r w:rsidRPr="28C1B626">
        <w:rPr>
          <w:rFonts w:ascii="Times New Roman" w:eastAsia="Times New Roman" w:hAnsi="Times New Roman" w:cs="Times New Roman"/>
        </w:rPr>
        <w:t>Bill</w:t>
      </w:r>
      <w:proofErr w:type="gramEnd"/>
      <w:r w:rsidRPr="28C1B626">
        <w:rPr>
          <w:rFonts w:ascii="Times New Roman" w:eastAsia="Times New Roman" w:hAnsi="Times New Roman" w:cs="Times New Roman"/>
        </w:rPr>
        <w:t xml:space="preserve"> rate is utilized.</w:t>
      </w:r>
    </w:p>
    <w:p w14:paraId="6FC24236" w14:textId="04C113FC"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Sharpe Ratio:</w:t>
      </w:r>
      <w:r w:rsidRPr="28C1B626">
        <w:rPr>
          <w:rFonts w:ascii="Times New Roman" w:eastAsia="Times New Roman" w:hAnsi="Times New Roman" w:cs="Times New Roman"/>
        </w:rPr>
        <w:t xml:space="preserve"> Measures the excess return per unit of total portfolio risk (standard deviation,</w:t>
      </w:r>
      <m:oMath>
        <m:sSub>
          <m:sSubPr>
            <m:ctrlPr>
              <w:rPr>
                <w:rFonts w:ascii="Cambria Math" w:hAnsi="Cambria Math"/>
              </w:rPr>
            </m:ctrlPr>
          </m:sSubPr>
          <m:e>
            <m:r>
              <w:rPr>
                <w:rFonts w:ascii="Cambria Math" w:hAnsi="Cambria Math"/>
              </w:rPr>
              <m:t>σ</m:t>
            </m:r>
          </m:e>
          <m:sub>
            <m:r>
              <w:rPr>
                <w:rFonts w:ascii="Cambria Math" w:hAnsi="Cambria Math"/>
              </w:rPr>
              <m:t>p</m:t>
            </m:r>
          </m:sub>
        </m:sSub>
      </m:oMath>
      <w:r w:rsidRPr="28C1B626">
        <w:rPr>
          <w:rFonts w:ascii="Times New Roman" w:eastAsia="Times New Roman" w:hAnsi="Times New Roman" w:cs="Times New Roman"/>
        </w:rPr>
        <w:t>).</w:t>
      </w:r>
    </w:p>
    <w:p w14:paraId="6E4D096C" w14:textId="42ED1958" w:rsidR="28C1B626" w:rsidRDefault="28C1B626" w:rsidP="00B61C71">
      <w:pPr>
        <w:spacing w:after="0" w:line="480" w:lineRule="auto"/>
        <w:ind w:left="2160" w:firstLine="720"/>
        <w:jc w:val="both"/>
        <w:rPr>
          <w:rFonts w:ascii="Times New Roman" w:eastAsia="Times New Roman" w:hAnsi="Times New Roman" w:cs="Times New Roman"/>
        </w:rPr>
      </w:pPr>
      <m:oMathPara>
        <m:oMath>
          <m:r>
            <w:rPr>
              <w:rFonts w:ascii="Cambria Math" w:hAnsi="Cambria Math"/>
            </w:rPr>
            <m:t>Sharpe=</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p</m:t>
                  </m:r>
                </m:sub>
              </m:sSub>
            </m:den>
          </m:f>
        </m:oMath>
      </m:oMathPara>
    </w:p>
    <w:p w14:paraId="6EF0BECB" w14:textId="00F14587"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proofErr w:type="spellStart"/>
      <w:r w:rsidRPr="28C1B626">
        <w:rPr>
          <w:rFonts w:ascii="Times New Roman" w:eastAsia="Times New Roman" w:hAnsi="Times New Roman" w:cs="Times New Roman"/>
          <w:b/>
          <w:bCs/>
        </w:rPr>
        <w:lastRenderedPageBreak/>
        <w:t>Sortino</w:t>
      </w:r>
      <w:proofErr w:type="spellEnd"/>
      <w:r w:rsidRPr="28C1B626">
        <w:rPr>
          <w:rFonts w:ascii="Times New Roman" w:eastAsia="Times New Roman" w:hAnsi="Times New Roman" w:cs="Times New Roman"/>
          <w:b/>
          <w:bCs/>
        </w:rPr>
        <w:t xml:space="preserve"> Ratio:</w:t>
      </w:r>
      <w:r w:rsidRPr="28C1B626">
        <w:rPr>
          <w:rFonts w:ascii="Times New Roman" w:eastAsia="Times New Roman" w:hAnsi="Times New Roman" w:cs="Times New Roman"/>
        </w:rPr>
        <w:t xml:space="preserve"> Aligning with the thesis's focus on tail risk, this ratio isolates downside volatility. It replaces total standard deviation with downside deviation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28C1B626">
        <w:rPr>
          <w:rFonts w:ascii="Times New Roman" w:eastAsia="Times New Roman" w:hAnsi="Times New Roman" w:cs="Times New Roman"/>
        </w:rPr>
        <w:t xml:space="preserve">), penalizing only the returns that fall </w:t>
      </w:r>
      <w:proofErr w:type="gramStart"/>
      <w:r w:rsidRPr="28C1B626">
        <w:rPr>
          <w:rFonts w:ascii="Times New Roman" w:eastAsia="Times New Roman" w:hAnsi="Times New Roman" w:cs="Times New Roman"/>
        </w:rPr>
        <w:t xml:space="preserve">below </w:t>
      </w:r>
      <w:proofErr w:type="gramEnd"/>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w:t>
      </w:r>
    </w:p>
    <w:p w14:paraId="3CFC3D2D" w14:textId="2B1CEF36" w:rsidR="28C1B626" w:rsidRDefault="28C1B626" w:rsidP="00B61C71">
      <w:pPr>
        <w:spacing w:after="0" w:line="480" w:lineRule="auto"/>
        <w:ind w:left="2160" w:firstLine="720"/>
        <w:jc w:val="both"/>
        <w:rPr>
          <w:rFonts w:ascii="Times New Roman" w:eastAsia="Times New Roman" w:hAnsi="Times New Roman" w:cs="Times New Roman"/>
          <w:lang w:val="it-IT"/>
        </w:rPr>
      </w:pPr>
      <m:oMathPara>
        <m:oMath>
          <m:r>
            <w:rPr>
              <w:rFonts w:ascii="Cambria Math" w:hAnsi="Cambria Math"/>
            </w:rPr>
            <m:t>Sortino=</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6CFDC9DB" w14:textId="1889603F"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Maximum Drawdown (MDD):</w:t>
      </w:r>
      <w:r w:rsidRPr="47575B0A">
        <w:rPr>
          <w:rFonts w:ascii="Times New Roman" w:eastAsia="Times New Roman" w:hAnsi="Times New Roman" w:cs="Times New Roman"/>
        </w:rPr>
        <w:t xml:space="preserve"> Quantifies the portfolio's absolute worst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case scenario. It measures the maximum observed loss from a historical peak to a subsequent trough before a new peak is attained.</w:t>
      </w:r>
    </w:p>
    <w:p w14:paraId="2D1D41FA" w14:textId="4F9ADEDF" w:rsidR="28C1B626" w:rsidRDefault="28C1B626" w:rsidP="00B61C71">
      <w:pPr>
        <w:spacing w:after="0" w:line="480" w:lineRule="auto"/>
        <w:ind w:left="720" w:firstLine="720"/>
        <w:jc w:val="both"/>
        <w:rPr>
          <w:rFonts w:ascii="Times New Roman" w:eastAsia="Times New Roman" w:hAnsi="Times New Roman" w:cs="Times New Roman"/>
        </w:rPr>
      </w:pPr>
      <m:oMathPara>
        <m:oMath>
          <m:r>
            <w:rPr>
              <w:rFonts w:ascii="Cambria Math" w:hAnsi="Cambria Math"/>
            </w:rPr>
            <m:t>MDD=</m:t>
          </m:r>
          <m:f>
            <m:fPr>
              <m:ctrlPr>
                <w:rPr>
                  <w:rFonts w:ascii="Cambria Math" w:hAnsi="Cambria Math"/>
                </w:rPr>
              </m:ctrlPr>
            </m:fPr>
            <m:num>
              <m:r>
                <w:rPr>
                  <w:rFonts w:ascii="Cambria Math" w:hAnsi="Cambria Math"/>
                </w:rPr>
                <m:t>Trough Value-Peak Value</m:t>
              </m:r>
            </m:num>
            <m:den>
              <m:r>
                <w:rPr>
                  <w:rFonts w:ascii="Cambria Math" w:hAnsi="Cambria Math"/>
                </w:rPr>
                <m:t>Peak Value</m:t>
              </m:r>
            </m:den>
          </m:f>
        </m:oMath>
      </m:oMathPara>
    </w:p>
    <w:p w14:paraId="1BDD38E7" w14:textId="28281580" w:rsidR="28C1B626" w:rsidRDefault="28C1B626" w:rsidP="00B61C71">
      <w:pPr>
        <w:spacing w:after="0" w:line="480" w:lineRule="auto"/>
        <w:ind w:left="720" w:firstLine="720"/>
        <w:jc w:val="both"/>
        <w:rPr>
          <w:rFonts w:ascii="Times New Roman" w:eastAsia="Times New Roman" w:hAnsi="Times New Roman" w:cs="Times New Roman"/>
        </w:rPr>
      </w:pPr>
    </w:p>
    <w:p w14:paraId="0307C280" w14:textId="691B0737" w:rsidR="4ED2A560" w:rsidRDefault="30BE8766"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By utilizing these metrics, the study empirically validates whether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linear machine learning forecasts, combined with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tail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risk constraints, genuinely deliver superior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adjusted performance on the Nigerian Exchange.</w:t>
      </w:r>
    </w:p>
    <w:p w14:paraId="4F14C1D7" w14:textId="378D4E98" w:rsidR="01E9B122" w:rsidRDefault="01E9B122"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 Benchmark Portfolios for Evaluation</w:t>
      </w:r>
    </w:p>
    <w:p w14:paraId="15D308A3" w14:textId="7BCBA7C2" w:rsidR="01E9B122" w:rsidRDefault="01E9B122"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rigorously evaluate the economic value and true out-of-sample performance of the advanced ML-</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tail-risk constraints, genuinely deliver superior risk-adjusted performance on the Nigerian Exchange.</w:t>
      </w:r>
    </w:p>
    <w:p w14:paraId="0E72903F" w14:textId="45D925EF" w:rsidR="01E9B122" w:rsidRDefault="01E9B122" w:rsidP="00B61C71">
      <w:pPr>
        <w:pStyle w:val="ListParagraph"/>
        <w:numPr>
          <w:ilvl w:val="0"/>
          <w:numId w:val="1"/>
        </w:num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b/>
          <w:bCs/>
          <w:color w:val="303030"/>
        </w:rPr>
        <w:t>The 1/N Equally Weighted Portfolio (EWP):</w:t>
      </w:r>
      <w:r w:rsidRPr="47575B0A">
        <w:rPr>
          <w:rFonts w:ascii="Times New Roman" w:eastAsia="Times New Roman" w:hAnsi="Times New Roman" w:cs="Times New Roman"/>
          <w:color w:val="303030"/>
        </w:rPr>
        <w:t xml:space="preserve"> In this naive diversification strategy, investment capital is simply divided uniformly across all selected stocks without relying </w:t>
      </w:r>
      <w:r w:rsidRPr="47575B0A">
        <w:rPr>
          <w:rFonts w:ascii="Times New Roman" w:eastAsia="Times New Roman" w:hAnsi="Times New Roman" w:cs="Times New Roman"/>
          <w:color w:val="303030"/>
        </w:rPr>
        <w:lastRenderedPageBreak/>
        <w:t xml:space="preserve">on any parameter estimation or complex optimization </w:t>
      </w:r>
      <w:proofErr w:type="gramStart"/>
      <w:r w:rsidRPr="47575B0A">
        <w:rPr>
          <w:rFonts w:ascii="Times New Roman" w:eastAsia="Times New Roman" w:hAnsi="Times New Roman" w:cs="Times New Roman"/>
          <w:color w:val="303030"/>
        </w:rPr>
        <w:t>algorithms .</w:t>
      </w:r>
      <w:proofErr w:type="gramEnd"/>
      <w:r w:rsidRPr="47575B0A">
        <w:rPr>
          <w:rFonts w:ascii="Times New Roman" w:eastAsia="Times New Roman" w:hAnsi="Times New Roman" w:cs="Times New Roman"/>
          <w:color w:val="303030"/>
        </w:rPr>
        <w:t xml:space="preserve"> In an EWP strategy, each asset in the portfolio holds an equal weight of </w:t>
      </w:r>
      <w:proofErr w:type="spellStart"/>
      <w:r w:rsidRPr="47575B0A">
        <w:rPr>
          <w:rFonts w:ascii="Times New Roman" w:eastAsia="Times New Roman" w:hAnsi="Times New Roman" w:cs="Times New Roman"/>
          <w:i/>
          <w:iCs/>
          <w:color w:val="303030"/>
        </w:rPr>
        <w:t>wi</w:t>
      </w:r>
      <w:proofErr w:type="spellEnd"/>
      <w:r w:rsidRPr="47575B0A">
        <w:rPr>
          <w:rFonts w:ascii="Times New Roman" w:eastAsia="Times New Roman" w:hAnsi="Times New Roman" w:cs="Times New Roman"/>
          <w:color w:val="303030"/>
        </w:rPr>
        <w:t xml:space="preserve"> =1/</w:t>
      </w:r>
      <w:proofErr w:type="gramStart"/>
      <w:r w:rsidRPr="47575B0A">
        <w:rPr>
          <w:rFonts w:ascii="Times New Roman" w:eastAsia="Times New Roman" w:hAnsi="Times New Roman" w:cs="Times New Roman"/>
          <w:i/>
          <w:iCs/>
          <w:color w:val="303030"/>
        </w:rPr>
        <w:t xml:space="preserve">N </w:t>
      </w:r>
      <w:r w:rsidRPr="47575B0A">
        <w:rPr>
          <w:rFonts w:ascii="Times New Roman" w:eastAsia="Times New Roman" w:hAnsi="Times New Roman" w:cs="Times New Roman"/>
          <w:color w:val="303030"/>
        </w:rPr>
        <w:t>.</w:t>
      </w:r>
      <w:proofErr w:type="gramEnd"/>
      <w:r w:rsidRPr="47575B0A">
        <w:rPr>
          <w:rFonts w:ascii="Times New Roman" w:eastAsia="Times New Roman" w:hAnsi="Times New Roman" w:cs="Times New Roman"/>
          <w:color w:val="303030"/>
        </w:rPr>
        <w:t xml:space="preserve"> This rule is chosen as a primary benchmark because it is easy to implement and continues to be a standard, highly effective allocation rule utilized by investors</w:t>
      </w:r>
    </w:p>
    <w:p w14:paraId="6D0355F3" w14:textId="114ABA75" w:rsidR="2BD62835" w:rsidRDefault="2BD62835" w:rsidP="00B61C71">
      <w:pPr>
        <w:pStyle w:val="ListParagraph"/>
        <w:numPr>
          <w:ilvl w:val="0"/>
          <w:numId w:val="1"/>
        </w:numPr>
        <w:spacing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The Buy-and-Hold Market Index Strategy:</w:t>
      </w:r>
      <w:r w:rsidRPr="47575B0A">
        <w:rPr>
          <w:rFonts w:ascii="Times New Roman" w:eastAsia="Times New Roman" w:hAnsi="Times New Roman" w:cs="Times New Roman"/>
          <w:color w:val="303030"/>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14:paraId="457ABB0C" w14:textId="581957F3" w:rsidR="5CA5B7A4" w:rsidRDefault="77D5E205"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3.4 Description and Measurement of Study Variables</w:t>
      </w:r>
    </w:p>
    <w:p w14:paraId="729BD690" w14:textId="5FA281FC"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variables utilized in this study are partitioned into the target variable, the thirteen machine learning feature inputs (extracted exclusively from the weekly OHLCV data), and the exogenous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 parameter required for portfolio evaluation.</w:t>
      </w:r>
    </w:p>
    <w:p w14:paraId="3A4D7163" w14:textId="3093E14A"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Below is the tabular summary of all variables, their mathematical measurements, and their operational roles within the predictive and optimization models.</w:t>
      </w:r>
    </w:p>
    <w:tbl>
      <w:tblPr>
        <w:tblW w:w="0" w:type="auto"/>
        <w:tblLook w:val="06A0" w:firstRow="1" w:lastRow="0" w:firstColumn="1" w:lastColumn="0" w:noHBand="1" w:noVBand="1"/>
      </w:tblPr>
      <w:tblGrid>
        <w:gridCol w:w="1140"/>
        <w:gridCol w:w="1483"/>
        <w:gridCol w:w="1669"/>
        <w:gridCol w:w="3203"/>
        <w:gridCol w:w="1849"/>
      </w:tblGrid>
      <w:tr w:rsidR="28C1B626" w14:paraId="3FCB294D"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0BD5241B" w14:textId="2D67E599"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14:paraId="6B0B8CCE" w14:textId="599CA4C2"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14:paraId="6C662ECD" w14:textId="7D1BDC9B"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Category</w:t>
            </w:r>
          </w:p>
        </w:tc>
        <w:tc>
          <w:tcPr>
            <w:tcW w:w="3420" w:type="dxa"/>
            <w:tcBorders>
              <w:top w:val="single" w:sz="6" w:space="0" w:color="auto"/>
              <w:left w:val="single" w:sz="6" w:space="0" w:color="auto"/>
              <w:bottom w:val="single" w:sz="6" w:space="0" w:color="auto"/>
              <w:right w:val="single" w:sz="6" w:space="0" w:color="auto"/>
            </w:tcBorders>
            <w:vAlign w:val="center"/>
          </w:tcPr>
          <w:p w14:paraId="6E30EEE8" w14:textId="53475C43"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14:paraId="054BB540" w14:textId="1A2F7CF1"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Operational Role</w:t>
            </w:r>
          </w:p>
        </w:tc>
      </w:tr>
      <w:tr w:rsidR="28C1B626" w14:paraId="45D7F694"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426A5B55" w14:textId="4D9C0E54"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913F6CA" w14:textId="6F7C377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14:paraId="2FE6F5AD" w14:textId="4FC0E34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14:paraId="505A83E4" w14:textId="3F724EFD" w:rsidR="28C1B626" w:rsidRDefault="00E87707" w:rsidP="00B61C71">
            <w:pPr>
              <w:spacing w:after="0" w:line="480" w:lineRule="auto"/>
              <w:jc w:val="both"/>
              <w:rPr>
                <w:rFonts w:ascii="Times New Roman" w:eastAsia="Times New Roman" w:hAnsi="Times New Roman" w:cs="Times New Roman"/>
              </w:rPr>
            </w:pPr>
            <m:oMathPara>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i,t</m:t>
                            </m:r>
                          </m:sub>
                        </m:sSub>
                        <m:r>
                          <m:rPr>
                            <m:lit/>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79F19C4" w14:textId="05919F81"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primary dependent variable. Represents the </w:t>
            </w:r>
            <w:r w:rsidRPr="28C1B626">
              <w:rPr>
                <w:rFonts w:ascii="Times New Roman" w:eastAsia="Times New Roman" w:hAnsi="Times New Roman" w:cs="Times New Roman"/>
              </w:rPr>
              <w:lastRenderedPageBreak/>
              <w:t>continuous yield of asset</w:t>
            </w:r>
            <w:r w:rsidR="5D81300F" w:rsidRPr="28C1B626">
              <w:rPr>
                <w:rFonts w:ascii="Times New Roman" w:eastAsia="Times New Roman" w:hAnsi="Times New Roman" w:cs="Times New Roman"/>
              </w:rPr>
              <w:t xml:space="preserve"> </w:t>
            </w:r>
            <m:oMath>
              <m:r>
                <w:rPr>
                  <w:rFonts w:ascii="Cambria Math" w:hAnsi="Cambria Math"/>
                </w:rPr>
                <m:t>i </m:t>
              </m:r>
            </m:oMath>
            <w:r w:rsidRPr="28C1B626">
              <w:rPr>
                <w:rFonts w:ascii="Times New Roman" w:eastAsia="Times New Roman" w:hAnsi="Times New Roman" w:cs="Times New Roman"/>
              </w:rPr>
              <w:t xml:space="preserve"> for the upcoming week.</w:t>
            </w:r>
          </w:p>
        </w:tc>
      </w:tr>
      <w:tr w:rsidR="28C1B626" w14:paraId="3DA90F9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CC90605" w14:textId="1273010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MAC</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4ECE5B86" w14:textId="37F89A2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14:paraId="794900CF" w14:textId="62EAA6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4D4D8CA" w14:textId="610BA6F4" w:rsidR="28C1B626" w:rsidRDefault="28C1B626" w:rsidP="00B61C71">
            <w:pPr>
              <w:spacing w:after="0" w:line="480" w:lineRule="auto"/>
              <w:jc w:val="both"/>
              <w:rPr>
                <w:rFonts w:ascii="Times New Roman" w:eastAsia="Times New Roman" w:hAnsi="Times New Roman" w:cs="Times New Roman"/>
              </w:rPr>
            </w:pP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r w:rsidR="3231BA49" w:rsidRPr="28C1B626">
              <w:rPr>
                <w:rFonts w:ascii="Times New Roman" w:eastAsia="Times New Roman" w:hAnsi="Times New Roman" w:cs="Times New Roman"/>
              </w:rPr>
              <w:t xml:space="preserve"> </w:t>
            </w:r>
            <w:r w:rsidR="3CB00BA7" w:rsidRPr="28C1B626">
              <w:rPr>
                <w:rFonts w:ascii="Times New Roman" w:eastAsia="Times New Roman" w:hAnsi="Times New Roman" w:cs="Times New Roman"/>
              </w:rPr>
              <w:t>-</w:t>
            </w:r>
            <w:r w:rsidR="3231BA49" w:rsidRPr="28C1B626">
              <w:rPr>
                <w:rFonts w:ascii="Times New Roman" w:eastAsia="Times New Roman" w:hAnsi="Times New Roman" w:cs="Times New Roman"/>
              </w:rPr>
              <w:t xml:space="preserve"> </w:t>
            </w: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14:paraId="78CFE5BC" w14:textId="6D0E068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the velocity of price changes to identify short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term momentum shifts.</w:t>
            </w:r>
          </w:p>
        </w:tc>
      </w:tr>
      <w:tr w:rsidR="28C1B626" w14:paraId="6138124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B380FF" w14:textId="4DC2357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53F5138" w14:textId="7B7FF6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14:paraId="7657F0A8" w14:textId="49DB15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2185D55F" w14:textId="7E731EB9"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num>
                  <m:den>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6C20AFD8" w14:textId="2F1A52A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 normalized version of MACD, allowing the models to compare momentum across assets of different prices.</w:t>
            </w:r>
          </w:p>
        </w:tc>
      </w:tr>
      <w:tr w:rsidR="28C1B626" w14:paraId="28EFEAF5"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868F204" w14:textId="6E21CE8C"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8A98A27" w14:textId="5D3A02B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14:paraId="77A22B2F" w14:textId="7AF9310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301BC48" w14:textId="4D6CBF34"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1+RS</m:t>
                  </m:r>
                </m:den>
              </m:f>
            </m:oMath>
            <w:r w:rsidR="3231BA49" w:rsidRPr="47575B0A">
              <w:rPr>
                <w:rFonts w:ascii="Times New Roman" w:eastAsia="Times New Roman" w:hAnsi="Times New Roman" w:cs="Times New Roman"/>
                <w:i/>
                <w:iCs/>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14:paraId="6770EE0C" w14:textId="5597E2AE"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Identifies overbought (</w:t>
            </w:r>
            <m:oMath>
              <m:r>
                <w:rPr>
                  <w:rFonts w:ascii="Cambria Math" w:hAnsi="Cambria Math"/>
                </w:rPr>
                <m:t>&gt;70 </m:t>
              </m:r>
            </m:oMath>
            <w:r w:rsidRPr="28C1B626">
              <w:rPr>
                <w:rFonts w:ascii="Times New Roman" w:eastAsia="Times New Roman" w:hAnsi="Times New Roman" w:cs="Times New Roman"/>
              </w:rPr>
              <w:t>) or oversold (</w:t>
            </w:r>
            <m:oMath>
              <m:r>
                <w:rPr>
                  <w:rFonts w:ascii="Cambria Math" w:hAnsi="Cambria Math"/>
                </w:rPr>
                <m:t>&lt;30 </m:t>
              </m:r>
            </m:oMath>
            <w:r w:rsidRPr="28C1B626">
              <w:rPr>
                <w:rFonts w:ascii="Times New Roman" w:eastAsia="Times New Roman" w:hAnsi="Times New Roman" w:cs="Times New Roman"/>
              </w:rPr>
              <w:t>) market conditions.</w:t>
            </w:r>
          </w:p>
        </w:tc>
      </w:tr>
      <w:tr w:rsidR="28C1B626" w14:paraId="40EE30F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5657CDB" w14:textId="364CF0BA"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STOC</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3D075DE" w14:textId="2663AACB"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Stochastic Oscillator (</w:t>
            </w:r>
            <m:oMath>
              <m:r>
                <w:rPr>
                  <w:rFonts w:ascii="Cambria Math" w:hAnsi="Cambria Math"/>
                </w:rPr>
                <m:t>  </m:t>
              </m:r>
            </m:oMath>
            <w:r w:rsidRPr="28C1B626">
              <w:rPr>
                <w:rFonts w:ascii="Times New Roman" w:eastAsia="Times New Roman" w:hAnsi="Times New Roman" w:cs="Times New Roman"/>
              </w:rPr>
              <w:t>)</w:t>
            </w:r>
          </w:p>
        </w:tc>
        <w:tc>
          <w:tcPr>
            <w:tcW w:w="1440" w:type="dxa"/>
            <w:tcBorders>
              <w:top w:val="single" w:sz="6" w:space="0" w:color="auto"/>
              <w:left w:val="single" w:sz="6" w:space="0" w:color="auto"/>
              <w:bottom w:val="single" w:sz="6" w:space="0" w:color="auto"/>
              <w:right w:val="single" w:sz="6" w:space="0" w:color="auto"/>
            </w:tcBorders>
            <w:vAlign w:val="center"/>
          </w:tcPr>
          <w:p w14:paraId="0631948D" w14:textId="2C0D33B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51BE1BE" w14:textId="24DB4A13"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num>
                  <m:den>
                    <m:sSub>
                      <m:sSubPr>
                        <m:ctrlPr>
                          <w:rPr>
                            <w:rFonts w:ascii="Cambria Math" w:hAnsi="Cambria Math"/>
                          </w:rPr>
                        </m:ctrlPr>
                      </m:sSubPr>
                      <m:e>
                        <m:r>
                          <w:rPr>
                            <w:rFonts w:ascii="Cambria Math" w:hAnsi="Cambria Math"/>
                          </w:rPr>
                          <m:t>H</m:t>
                        </m:r>
                      </m:e>
                      <m:sub>
                        <m:r>
                          <w:rPr>
                            <w:rFonts w:ascii="Cambria Math" w:hAnsi="Cambria Math"/>
                          </w:rPr>
                          <m:t>14</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DD8FF3E" w14:textId="17A0F95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Evaluates the closing price relative to the high</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low range over 14 weeks to predict price turning points.</w:t>
            </w:r>
          </w:p>
        </w:tc>
      </w:tr>
      <w:tr w:rsidR="28C1B626" w14:paraId="7DE34E3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21380B" w14:textId="12EBE3B4"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F8C1947" w14:textId="219D9F8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14:paraId="67837168" w14:textId="0DEA7DC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0093F87" w14:textId="4D0D722F"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E564110" w14:textId="4F5F45EF"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Feeds the past four weeks of historical price momentum directly into the machine learning algorithms.</w:t>
            </w:r>
          </w:p>
        </w:tc>
      </w:tr>
      <w:tr w:rsidR="28C1B626" w14:paraId="0D79A35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AF2D24" w14:textId="38E5CC16"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2A54039" w14:textId="3462C0C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14:paraId="59480CF3" w14:textId="2231EB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9C7A34" w14:textId="476F67C4" w:rsidR="28C1B626" w:rsidRDefault="00E87707"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P</m:t>
                        </m:r>
                      </m:e>
                      <m:sub>
                        <m:r>
                          <w:rPr>
                            <w:rFonts w:ascii="Cambria Math" w:hAnsi="Cambria Math"/>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52FBDBB" w14:textId="40C9817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Smooths weekly price data to identify the baseline market trend direction.</w:t>
            </w:r>
          </w:p>
        </w:tc>
      </w:tr>
      <w:tr w:rsidR="28C1B626" w14:paraId="309A0F3E"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17BB5E" w14:textId="61E503D8"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22B8666" w14:textId="3057D04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14:paraId="3D1FB149" w14:textId="180F0D0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351C588" w14:textId="10C57BC2" w:rsidR="69A430D2" w:rsidRDefault="69A430D2" w:rsidP="00B61C71">
            <w:pPr>
              <w:spacing w:after="0" w:line="480" w:lineRule="auto"/>
              <w:jc w:val="both"/>
            </w:pPr>
            <m:oMathPara>
              <m:oMath>
                <m:r>
                  <w:rPr>
                    <w:rFonts w:ascii="Cambria Math" w:hAnsi="Cambria Math"/>
                  </w:rPr>
                  <m:t>100 ⋅MA </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+DI -- DI</m:t>
                            </m:r>
                          </m:e>
                        </m:d>
                      </m:num>
                      <m:den>
                        <m:r>
                          <w:rPr>
                            <w:rFonts w:ascii="Cambria Math" w:hAnsi="Cambria Math"/>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08E32D0" w14:textId="1700234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Quantifies the absolute strength of a trend, </w:t>
            </w:r>
            <w:r w:rsidRPr="47575B0A">
              <w:rPr>
                <w:rFonts w:ascii="Times New Roman" w:eastAsia="Times New Roman" w:hAnsi="Times New Roman" w:cs="Times New Roman"/>
              </w:rPr>
              <w:lastRenderedPageBreak/>
              <w:t>regardless of whether it is bullish or bearish.</w:t>
            </w:r>
          </w:p>
        </w:tc>
      </w:tr>
      <w:tr w:rsidR="28C1B626" w14:paraId="2C61AFEC"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F6E1C63" w14:textId="1A1D9B97"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SA</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5A9ED8C" w14:textId="69CD88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14:paraId="5534CC68" w14:textId="7190507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80ABF2" w14:textId="14E9583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+α</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53215B01" w14:textId="72DC595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Identifies precise entry and exit points and signals potential trend reversals.</w:t>
            </w:r>
          </w:p>
        </w:tc>
      </w:tr>
      <w:tr w:rsidR="28C1B626" w14:paraId="50899AA9"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2A4BE3C6" w14:textId="0EB95410"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37ED9E86" w14:textId="1FD1906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14:paraId="0FC3A159" w14:textId="3207C91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823BC82" w14:textId="42669E06" w:rsidR="28C1B626" w:rsidRDefault="00E87707" w:rsidP="00B61C71">
            <w:pPr>
              <w:spacing w:after="0" w:line="480" w:lineRule="auto"/>
              <w:jc w:val="both"/>
              <w:rPr>
                <w:rFonts w:ascii="Times New Roman" w:eastAsia="Times New Roman" w:hAnsi="Times New Roman" w:cs="Times New Roman"/>
                <w:i/>
                <w:iCs/>
              </w:rPr>
            </w:pPr>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i</m:t>
                      </m:r>
                    </m:sub>
                  </m:sSub>
                </m:e>
              </m:nary>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14:paraId="043526D3" w14:textId="761CE62E"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intra</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week market volatility and the true magnitude of price drops.</w:t>
            </w:r>
          </w:p>
        </w:tc>
      </w:tr>
      <w:tr w:rsidR="28C1B626" w14:paraId="1334EA26"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B1C288" w14:textId="491709E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483392B" w14:textId="063BDED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14:paraId="4B73918F" w14:textId="301BCDE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1E2068B" w14:textId="200E531B"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14:paraId="507E6D57" w14:textId="0B2AFE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Confirms price trends by measuring the underlying institutional liquidity and trading volume flow.</w:t>
            </w:r>
          </w:p>
        </w:tc>
      </w:tr>
      <w:tr w:rsidR="28C1B626" w14:paraId="132D8CA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519D3C" w14:textId="007B916E" w:rsidR="28C1B626" w:rsidRDefault="00E87707"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C160E4A" w14:textId="6C8B5E39"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w:t>
            </w:r>
          </w:p>
        </w:tc>
        <w:tc>
          <w:tcPr>
            <w:tcW w:w="1440" w:type="dxa"/>
            <w:tcBorders>
              <w:top w:val="single" w:sz="6" w:space="0" w:color="auto"/>
              <w:left w:val="single" w:sz="6" w:space="0" w:color="auto"/>
              <w:bottom w:val="single" w:sz="6" w:space="0" w:color="auto"/>
              <w:right w:val="single" w:sz="6" w:space="0" w:color="auto"/>
            </w:tcBorders>
            <w:vAlign w:val="center"/>
          </w:tcPr>
          <w:p w14:paraId="469566FB" w14:textId="647BE1A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14:paraId="5EC904FC" w14:textId="50570D2A" w:rsidR="28C1B626" w:rsidRDefault="00E87707" w:rsidP="00B61C71">
            <w:pPr>
              <w:spacing w:after="0" w:line="480" w:lineRule="auto"/>
              <w:jc w:val="both"/>
              <w:rPr>
                <w:rFonts w:ascii="Times New Roman" w:eastAsia="Times New Roman" w:hAnsi="Times New Roman" w:cs="Times New Roman"/>
              </w:rPr>
            </w:pPr>
            <m:oMathPara>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annual</m:t>
                            </m:r>
                          </m:sub>
                        </m:sSub>
                      </m:e>
                    </m:d>
                  </m:e>
                  <m:sup>
                    <m:f>
                      <m:fPr>
                        <m:ctrlPr>
                          <w:rPr>
                            <w:rFonts w:ascii="Cambria Math" w:hAnsi="Cambria Math"/>
                          </w:rPr>
                        </m:ctrlPr>
                      </m:fPr>
                      <m:num>
                        <m:r>
                          <w:rPr>
                            <w:rFonts w:ascii="Cambria Math" w:hAnsi="Cambria Math"/>
                          </w:rPr>
                          <m:t>1</m:t>
                        </m:r>
                      </m:num>
                      <m:den>
                        <m:r>
                          <w:rPr>
                            <w:rFonts w:ascii="Cambria Math" w:hAnsi="Cambria Math"/>
                          </w:rPr>
                          <m:t>52</m:t>
                        </m:r>
                      </m:den>
                    </m:f>
                  </m:sup>
                </m:sSup>
                <m:r>
                  <w:rPr>
                    <w:rFonts w:ascii="Cambria Math" w:hAnsi="Cambria Math"/>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759E563" w14:textId="3217CD4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de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annualized CBN 91</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day Treasury Bill yield. Used to calculate Sharpe and </w:t>
            </w:r>
            <w:proofErr w:type="spellStart"/>
            <w:r w:rsidRPr="47575B0A">
              <w:rPr>
                <w:rFonts w:ascii="Times New Roman" w:eastAsia="Times New Roman" w:hAnsi="Times New Roman" w:cs="Times New Roman"/>
              </w:rPr>
              <w:t>Sortino</w:t>
            </w:r>
            <w:proofErr w:type="spellEnd"/>
            <w:r w:rsidRPr="47575B0A">
              <w:rPr>
                <w:rFonts w:ascii="Times New Roman" w:eastAsia="Times New Roman" w:hAnsi="Times New Roman" w:cs="Times New Roman"/>
              </w:rPr>
              <w:t xml:space="preserve"> ratios.</w:t>
            </w:r>
          </w:p>
        </w:tc>
      </w:tr>
    </w:tbl>
    <w:p w14:paraId="6E716B1F" w14:textId="1201F6BC" w:rsidR="28C1B626" w:rsidRDefault="28C1B626" w:rsidP="00B61C71">
      <w:pPr>
        <w:spacing w:after="240" w:line="480" w:lineRule="auto"/>
        <w:jc w:val="both"/>
        <w:rPr>
          <w:rFonts w:ascii="Times New Roman" w:eastAsia="Times New Roman" w:hAnsi="Times New Roman" w:cs="Times New Roman"/>
          <w:i/>
          <w:iCs/>
        </w:rPr>
      </w:pPr>
    </w:p>
    <w:p w14:paraId="1CCDC3E6" w14:textId="10C0C688" w:rsidR="5A43DC86" w:rsidRDefault="775E3400" w:rsidP="00B61C71">
      <w:pPr>
        <w:spacing w:after="240" w:line="480" w:lineRule="auto"/>
        <w:jc w:val="both"/>
        <w:rPr>
          <w:rFonts w:ascii="Times New Roman" w:eastAsia="Times New Roman" w:hAnsi="Times New Roman" w:cs="Times New Roman"/>
          <w:i/>
          <w:iCs/>
        </w:rPr>
      </w:pPr>
      <w:r w:rsidRPr="47575B0A">
        <w:rPr>
          <w:rFonts w:ascii="Times New Roman" w:eastAsia="Times New Roman" w:hAnsi="Times New Roman" w:cs="Times New Roman"/>
          <w:i/>
          <w:iCs/>
        </w:rPr>
        <w:t>(Note: In the formulations above,</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47575B0A">
        <w:rPr>
          <w:rFonts w:ascii="Times New Roman" w:eastAsia="Times New Roman" w:hAnsi="Times New Roman" w:cs="Times New Roman"/>
          <w:i/>
          <w:iCs/>
        </w:rPr>
        <w:t xml:space="preserve"> represents the weekly closing price, </w:t>
      </w:r>
      <m:oMath>
        <m:r>
          <w:rPr>
            <w:rFonts w:ascii="Cambria Math" w:hAnsi="Cambria Math"/>
          </w:rPr>
          <m:t>H </m:t>
        </m:r>
      </m:oMath>
      <w:r w:rsidRPr="47575B0A">
        <w:rPr>
          <w:rFonts w:ascii="Times New Roman" w:eastAsia="Times New Roman" w:hAnsi="Times New Roman" w:cs="Times New Roman"/>
          <w:i/>
          <w:iCs/>
        </w:rPr>
        <w:t xml:space="preserve"> is the high price, </w:t>
      </w:r>
      <m:oMath>
        <m:r>
          <w:rPr>
            <w:rFonts w:ascii="Cambria Math" w:hAnsi="Cambria Math"/>
          </w:rPr>
          <m:t>L </m:t>
        </m:r>
      </m:oMath>
      <w:r w:rsidRPr="47575B0A">
        <w:rPr>
          <w:rFonts w:ascii="Times New Roman" w:eastAsia="Times New Roman" w:hAnsi="Times New Roman" w:cs="Times New Roman"/>
          <w:i/>
          <w:iCs/>
        </w:rPr>
        <w:t xml:space="preserve"> is the low price,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47575B0A">
        <w:rPr>
          <w:rFonts w:ascii="Times New Roman" w:eastAsia="Times New Roman" w:hAnsi="Times New Roman" w:cs="Times New Roman"/>
          <w:i/>
          <w:iCs/>
        </w:rPr>
        <w:t xml:space="preserve"> is the weekly volume, </w:t>
      </w:r>
      <m:oMath>
        <m:r>
          <w:rPr>
            <w:rFonts w:ascii="Cambria Math" w:hAnsi="Cambria Math"/>
          </w:rPr>
          <m:t>EMA </m:t>
        </m:r>
      </m:oMath>
      <w:r w:rsidRPr="47575B0A">
        <w:rPr>
          <w:rFonts w:ascii="Times New Roman" w:eastAsia="Times New Roman" w:hAnsi="Times New Roman" w:cs="Times New Roman"/>
          <w:i/>
          <w:iCs/>
        </w:rPr>
        <w:t xml:space="preserve"> is the Exponential Moving Average, and </w:t>
      </w:r>
      <m:oMath>
        <m:r>
          <w:rPr>
            <w:rFonts w:ascii="Cambria Math" w:hAnsi="Cambria Math"/>
          </w:rPr>
          <m:t>TR </m:t>
        </m:r>
      </m:oMath>
      <w:r w:rsidRPr="47575B0A">
        <w:rPr>
          <w:rFonts w:ascii="Times New Roman" w:eastAsia="Times New Roman" w:hAnsi="Times New Roman" w:cs="Times New Roman"/>
          <w:i/>
          <w:iCs/>
        </w:rPr>
        <w:t xml:space="preserve"> is the True Range).</w:t>
      </w:r>
    </w:p>
    <w:p w14:paraId="41B4E6AE" w14:textId="0A9D31C1" w:rsidR="0A7E58F2" w:rsidRDefault="42AC30ED" w:rsidP="00B61C71">
      <w:pPr>
        <w:spacing w:after="240"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3.5 Data Preprocessing and Feature Scaling</w:t>
      </w:r>
    </w:p>
    <w:p w14:paraId="550DD6DC" w14:textId="18D292FD" w:rsidR="0A7E58F2" w:rsidRDefault="42AC30ED"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w:t>
      </w:r>
      <w:r w:rsidRPr="47575B0A">
        <w:rPr>
          <w:rFonts w:ascii="Times New Roman" w:eastAsia="Times New Roman" w:hAnsi="Times New Roman" w:cs="Times New Roman"/>
          <w:color w:val="303030"/>
        </w:rPr>
        <w:lastRenderedPageBreak/>
        <w:t xml:space="preserve">Random Forest and </w:t>
      </w:r>
      <w:proofErr w:type="spellStart"/>
      <w:r w:rsidRPr="47575B0A">
        <w:rPr>
          <w:rFonts w:ascii="Times New Roman" w:eastAsia="Times New Roman" w:hAnsi="Times New Roman" w:cs="Times New Roman"/>
          <w:color w:val="303030"/>
        </w:rPr>
        <w:t>XGBoost</w:t>
      </w:r>
      <w:proofErr w:type="spellEnd"/>
      <w:r w:rsidRPr="47575B0A">
        <w:rPr>
          <w:rFonts w:ascii="Times New Roman" w:eastAsia="Times New Roman" w:hAnsi="Times New Roman" w:cs="Times New Roman"/>
          <w:color w:val="303030"/>
        </w:rPr>
        <w:t xml:space="preserve"> </w:t>
      </w:r>
      <w:r w:rsidR="074E4A77" w:rsidRPr="47575B0A">
        <w:rPr>
          <w:rFonts w:ascii="Times New Roman" w:eastAsia="Times New Roman" w:hAnsi="Times New Roman" w:cs="Times New Roman"/>
          <w:color w:val="303030"/>
        </w:rPr>
        <w:t xml:space="preserve">algorithms. Consequently, this study applies Min-Max normalization to transform all raw prices and technical indicators into a standardized range. </w:t>
      </w:r>
    </w:p>
    <w:p w14:paraId="4D61A86E" w14:textId="21AAEE06" w:rsidR="0A7E58F2" w:rsidRDefault="074E4A77"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The Min-Max scaling formula utilized is expressed as:</w:t>
      </w:r>
    </w:p>
    <w:p w14:paraId="242C8F65" w14:textId="6A2928BB" w:rsidR="0A7E58F2" w:rsidRDefault="00E87707" w:rsidP="00B61C71">
      <w:pPr>
        <w:spacing w:after="240" w:line="480" w:lineRule="auto"/>
        <w:jc w:val="both"/>
        <w:rPr>
          <w:rFonts w:ascii="Times New Roman" w:eastAsia="Times New Roman" w:hAnsi="Times New Roman" w:cs="Times New Roman"/>
          <w:color w:val="303030"/>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m:oMathPara>
    </w:p>
    <w:p w14:paraId="04DD0FC6" w14:textId="0D594913" w:rsidR="0A7E58F2" w:rsidRDefault="074E4A77" w:rsidP="00B61C71">
      <w:pPr>
        <w:spacing w:after="240" w:line="480" w:lineRule="auto"/>
        <w:jc w:val="both"/>
        <w:rPr>
          <w:rFonts w:ascii="Times New Roman" w:eastAsia="Times New Roman" w:hAnsi="Times New Roman" w:cs="Times New Roman"/>
          <w:color w:val="303030"/>
        </w:rPr>
      </w:pPr>
      <w:proofErr w:type="gramStart"/>
      <w:r w:rsidRPr="47575B0A">
        <w:rPr>
          <w:rFonts w:ascii="Times New Roman" w:eastAsia="Times New Roman" w:hAnsi="Times New Roman" w:cs="Times New Roman"/>
          <w:color w:val="303030"/>
        </w:rPr>
        <w:t>where</w:t>
      </w:r>
      <w:proofErr w:type="gramEnd"/>
      <w:r w:rsidRPr="47575B0A">
        <w:rPr>
          <w:rFonts w:ascii="Times New Roman" w:eastAsia="Times New Roman" w:hAnsi="Times New Roman" w:cs="Times New Roman"/>
          <w:color w:val="303030"/>
        </w:rPr>
        <w:t xml:space="preserve"> </w:t>
      </w: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Pr="47575B0A">
        <w:rPr>
          <w:rFonts w:ascii="Times New Roman" w:eastAsia="Times New Roman" w:hAnsi="Times New Roman" w:cs="Times New Roman"/>
          <w:color w:val="303030"/>
        </w:rPr>
        <w:t xml:space="preserve">  represents the normalized value of the input feature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47575B0A">
        <w:rPr>
          <w:rFonts w:ascii="Times New Roman" w:eastAsia="Times New Roman" w:hAnsi="Times New Roman" w:cs="Times New Roman"/>
          <w:color w:val="303030"/>
        </w:rPr>
        <w:t>, and min(</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and max(</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represent the minimum and maximum values of that specific feature over the defined period, respectively</w:t>
      </w:r>
      <w:r w:rsidR="2431ADCF" w:rsidRPr="47575B0A">
        <w:rPr>
          <w:rFonts w:ascii="Times New Roman" w:eastAsia="Times New Roman" w:hAnsi="Times New Roman" w:cs="Times New Roman"/>
          <w:color w:val="303030"/>
        </w:rPr>
        <w:t>.</w:t>
      </w:r>
    </w:p>
    <w:p w14:paraId="72160DA3" w14:textId="722AB580"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3.6 Software and Implementation Tools</w:t>
      </w:r>
    </w:p>
    <w:p w14:paraId="76E38E06" w14:textId="0A9C7088"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color w:val="303030"/>
        </w:rPr>
        <w:t xml:space="preserve">To ensure the complete reproducibility and accuracy of the empirical pipeline - from data preprocessing and </w:t>
      </w:r>
      <w:proofErr w:type="spellStart"/>
      <w:r w:rsidRPr="47575B0A">
        <w:rPr>
          <w:rFonts w:ascii="Times New Roman" w:eastAsia="Times New Roman" w:hAnsi="Times New Roman" w:cs="Times New Roman"/>
          <w:color w:val="303030"/>
        </w:rPr>
        <w:t>hyperparameter</w:t>
      </w:r>
      <w:proofErr w:type="spellEnd"/>
      <w:r w:rsidRPr="47575B0A">
        <w:rPr>
          <w:rFonts w:ascii="Times New Roman" w:eastAsia="Times New Roman" w:hAnsi="Times New Roman" w:cs="Times New Roman"/>
          <w:color w:val="303030"/>
        </w:rPr>
        <w:t xml:space="preserve"> tuning to the machine learning predictions and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47575B0A">
        <w:rPr>
          <w:rFonts w:ascii="Times New Roman" w:eastAsia="Times New Roman" w:hAnsi="Times New Roman" w:cs="Times New Roman"/>
          <w:i/>
          <w:iCs/>
          <w:color w:val="303030"/>
        </w:rPr>
        <w:t>pandas</w:t>
      </w:r>
      <w:r w:rsidRPr="47575B0A">
        <w:rPr>
          <w:rFonts w:ascii="Times New Roman" w:eastAsia="Times New Roman" w:hAnsi="Times New Roman" w:cs="Times New Roman"/>
          <w:color w:val="303030"/>
        </w:rPr>
        <w:t xml:space="preserve"> and </w:t>
      </w:r>
      <w:proofErr w:type="spellStart"/>
      <w:r w:rsidRPr="47575B0A">
        <w:rPr>
          <w:rFonts w:ascii="Times New Roman" w:eastAsia="Times New Roman" w:hAnsi="Times New Roman" w:cs="Times New Roman"/>
          <w:i/>
          <w:iCs/>
          <w:color w:val="303030"/>
        </w:rPr>
        <w:t>NumPy</w:t>
      </w:r>
      <w:proofErr w:type="spellEnd"/>
      <w:r w:rsidRPr="47575B0A">
        <w:rPr>
          <w:rFonts w:ascii="Times New Roman" w:eastAsia="Times New Roman" w:hAnsi="Times New Roman" w:cs="Times New Roman"/>
          <w:color w:val="303030"/>
        </w:rPr>
        <w:t xml:space="preserve"> libraries, while model training, cross-validation, and evaluation rely on the </w:t>
      </w:r>
      <w:proofErr w:type="spellStart"/>
      <w:r w:rsidRPr="47575B0A">
        <w:rPr>
          <w:rFonts w:ascii="Times New Roman" w:eastAsia="Times New Roman" w:hAnsi="Times New Roman" w:cs="Times New Roman"/>
          <w:i/>
          <w:iCs/>
          <w:color w:val="303030"/>
        </w:rPr>
        <w:t>scikit</w:t>
      </w:r>
      <w:proofErr w:type="spellEnd"/>
      <w:r w:rsidRPr="47575B0A">
        <w:rPr>
          <w:rFonts w:ascii="Times New Roman" w:eastAsia="Times New Roman" w:hAnsi="Times New Roman" w:cs="Times New Roman"/>
          <w:i/>
          <w:iCs/>
          <w:color w:val="303030"/>
        </w:rPr>
        <w:t>-learn</w:t>
      </w:r>
      <w:r w:rsidRPr="47575B0A">
        <w:rPr>
          <w:rFonts w:ascii="Times New Roman" w:eastAsia="Times New Roman" w:hAnsi="Times New Roman" w:cs="Times New Roman"/>
          <w:color w:val="303030"/>
        </w:rPr>
        <w:t xml:space="preserve"> machine learning library</w:t>
      </w:r>
      <w:r w:rsidR="768B51D0" w:rsidRPr="47575B0A">
        <w:rPr>
          <w:rFonts w:ascii="Times New Roman" w:eastAsia="Times New Roman" w:hAnsi="Times New Roman" w:cs="Times New Roman"/>
          <w:color w:val="303030"/>
        </w:rPr>
        <w:t xml:space="preserve"> Furthermore, the gradient boosting framework is implemented utilizing the highly scalable </w:t>
      </w:r>
      <w:proofErr w:type="spellStart"/>
      <w:r w:rsidR="768B51D0" w:rsidRPr="47575B0A">
        <w:rPr>
          <w:rFonts w:ascii="Times New Roman" w:eastAsia="Times New Roman" w:hAnsi="Times New Roman" w:cs="Times New Roman"/>
          <w:i/>
          <w:iCs/>
          <w:color w:val="303030"/>
        </w:rPr>
        <w:t>XGBoost</w:t>
      </w:r>
      <w:proofErr w:type="spellEnd"/>
      <w:r w:rsidR="768B51D0" w:rsidRPr="47575B0A">
        <w:rPr>
          <w:rFonts w:ascii="Times New Roman" w:eastAsia="Times New Roman" w:hAnsi="Times New Roman" w:cs="Times New Roman"/>
          <w:color w:val="303030"/>
        </w:rPr>
        <w:t xml:space="preserve"> library. This unified computational pipeline guarantees that the complex asset allocation strategy can be </w:t>
      </w:r>
      <w:r w:rsidR="3D0C0481" w:rsidRPr="47575B0A">
        <w:rPr>
          <w:rFonts w:ascii="Times New Roman" w:eastAsia="Times New Roman" w:hAnsi="Times New Roman" w:cs="Times New Roman"/>
          <w:color w:val="303030"/>
        </w:rPr>
        <w:t>robust</w:t>
      </w:r>
      <w:r w:rsidR="768B51D0" w:rsidRPr="47575B0A">
        <w:rPr>
          <w:rFonts w:ascii="Times New Roman" w:eastAsia="Times New Roman" w:hAnsi="Times New Roman" w:cs="Times New Roman"/>
          <w:color w:val="303030"/>
        </w:rPr>
        <w:t xml:space="preserve"> and consistently replicated.</w:t>
      </w:r>
    </w:p>
    <w:p w14:paraId="25E9A998" w14:textId="5A39990B" w:rsidR="0A7E58F2" w:rsidRDefault="5C97B2F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w:t>
      </w:r>
      <w:r w:rsidR="41CFB67C" w:rsidRPr="47575B0A">
        <w:rPr>
          <w:rFonts w:ascii="Times New Roman" w:eastAsia="Times New Roman" w:hAnsi="Times New Roman" w:cs="Times New Roman"/>
          <w:b/>
          <w:bCs/>
        </w:rPr>
        <w:t>7</w:t>
      </w:r>
      <w:r w:rsidRPr="47575B0A">
        <w:rPr>
          <w:rFonts w:ascii="Times New Roman" w:eastAsia="Times New Roman" w:hAnsi="Times New Roman" w:cs="Times New Roman"/>
          <w:b/>
          <w:bCs/>
        </w:rPr>
        <w:t xml:space="preserve"> Sources of Data</w:t>
      </w:r>
    </w:p>
    <w:p w14:paraId="2417B734" w14:textId="60027539"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 xml:space="preserve">The study is completely based on secondary data, </w:t>
      </w:r>
      <w:r w:rsidR="7C992EDB" w:rsidRPr="47575B0A">
        <w:rPr>
          <w:rFonts w:ascii="Times New Roman" w:eastAsia="Times New Roman" w:hAnsi="Times New Roman" w:cs="Times New Roman"/>
        </w:rPr>
        <w:t>201</w:t>
      </w:r>
      <w:r w:rsidR="1FA36F4C" w:rsidRPr="47575B0A">
        <w:rPr>
          <w:rFonts w:ascii="Times New Roman" w:eastAsia="Times New Roman" w:hAnsi="Times New Roman" w:cs="Times New Roman"/>
        </w:rPr>
        <w:t>0</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2025. Secondary data are appropriate for this study since the study entails stock trading data which are regularly published by reputable organizations.</w:t>
      </w:r>
    </w:p>
    <w:p w14:paraId="489AA9E2" w14:textId="1A044C15"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data on the stock trading history of the individual companies under the NGX Pension </w:t>
      </w:r>
      <w:r w:rsidR="7840AF03" w:rsidRPr="47575B0A">
        <w:rPr>
          <w:rFonts w:ascii="Times New Roman" w:eastAsia="Times New Roman" w:hAnsi="Times New Roman" w:cs="Times New Roman"/>
        </w:rPr>
        <w:t>Index will be sourced primarily from Investing.com</w:t>
      </w:r>
      <w:r w:rsidR="36825B7F" w:rsidRPr="47575B0A">
        <w:rPr>
          <w:rFonts w:ascii="Times New Roman" w:eastAsia="Times New Roman" w:hAnsi="Times New Roman" w:cs="Times New Roman"/>
        </w:rPr>
        <w:t xml:space="preserve">. </w:t>
      </w:r>
      <w:r w:rsidR="75B70766" w:rsidRPr="47575B0A">
        <w:rPr>
          <w:rFonts w:ascii="Times New Roman" w:eastAsia="Times New Roman" w:hAnsi="Times New Roman" w:cs="Times New Roman"/>
          <w:color w:val="303030"/>
        </w:rPr>
        <w:t xml:space="preserve">The primary dataset consists of the historical daily closing prices, high/low prices, and trading volumes for the selected assets, which were programmatically downloaded from financial database </w:t>
      </w:r>
      <w:proofErr w:type="gramStart"/>
      <w:r w:rsidR="75B70766" w:rsidRPr="47575B0A">
        <w:rPr>
          <w:rFonts w:ascii="Times New Roman" w:eastAsia="Times New Roman" w:hAnsi="Times New Roman" w:cs="Times New Roman"/>
          <w:color w:val="303030"/>
        </w:rPr>
        <w:t>Investing.com</w:t>
      </w:r>
      <w:r w:rsidR="75B70766" w:rsidRPr="47575B0A">
        <w:rPr>
          <w:rFonts w:ascii="Times New Roman" w:eastAsia="Times New Roman" w:hAnsi="Times New Roman" w:cs="Times New Roman"/>
        </w:rPr>
        <w:t xml:space="preserve"> .</w:t>
      </w:r>
      <w:proofErr w:type="gramEnd"/>
      <w:r w:rsidR="75B70766" w:rsidRPr="47575B0A">
        <w:rPr>
          <w:rFonts w:ascii="Times New Roman" w:eastAsia="Times New Roman" w:hAnsi="Times New Roman" w:cs="Times New Roman"/>
        </w:rPr>
        <w:t xml:space="preserve"> </w:t>
      </w:r>
      <w:r w:rsidR="36825B7F" w:rsidRPr="47575B0A">
        <w:rPr>
          <w:rFonts w:ascii="Times New Roman" w:eastAsia="Times New Roman" w:hAnsi="Times New Roman" w:cs="Times New Roman"/>
        </w:rPr>
        <w:t xml:space="preserve">The study thus ensures the data employed are valid, accurate and in accordance with literature </w:t>
      </w:r>
      <w:r w:rsidR="000E4814" w:rsidRPr="47575B0A">
        <w:rPr>
          <w:rFonts w:ascii="Times New Roman" w:eastAsia="Times New Roman" w:hAnsi="Times New Roman" w:cs="Times New Roman"/>
        </w:rPr>
        <w:t xml:space="preserve">regarding individual publicly traded companies in the NGX </w:t>
      </w:r>
    </w:p>
    <w:p>
      <w:r>
        <w:br w:type="page"/>
      </w:r>
    </w:p>
    <w:p>
      <w:pPr>
        <w:spacing w:line="480" w:lineRule="auto" w:before="0" w:after="0"/>
        <w:jc w:val="left"/>
      </w:pPr>
      <w:r>
        <w:rPr>
          <w:rFonts w:ascii="Times New Roman" w:hAnsi="Times New Roman"/>
          <w:b/>
          <w:color w:val="000000"/>
          <w:sz w:val="28"/>
        </w:rPr>
        <w:t>CHAPTER FOUR</w:t>
      </w:r>
    </w:p>
    <w:p>
      <w:pPr>
        <w:spacing w:line="480" w:lineRule="auto" w:before="0" w:after="0"/>
        <w:jc w:val="left"/>
      </w:pPr>
      <w:r>
        <w:rPr>
          <w:rFonts w:ascii="Times New Roman" w:hAnsi="Times New Roman"/>
          <w:b/>
          <w:color w:val="000000"/>
          <w:sz w:val="24"/>
        </w:rPr>
        <w:t>DATA ANALYSIS, PRESENTATION AND DISCUSSION OF FINDINGS</w:t>
      </w:r>
    </w:p>
    <w:p>
      <w:pPr>
        <w:spacing w:line="480" w:lineRule="auto" w:before="0" w:after="0"/>
        <w:jc w:val="left"/>
      </w:pPr>
      <w:r>
        <w:rPr>
          <w:rFonts w:ascii="Times New Roman" w:hAnsi="Times New Roman"/>
          <w:b/>
          <w:color w:val="000000"/>
          <w:sz w:val="24"/>
        </w:rPr>
        <w:t>4.1 Empirical Results</w:t>
      </w:r>
    </w:p>
    <w:p>
      <w:pPr>
        <w:spacing w:line="480" w:lineRule="auto" w:before="0" w:after="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15-year historical period from January 2010 through December 2025 (835 weekly observations per asset). The dataset encompasses asset universe selection breakdowns, statistical non-normality diagnostics, machine learning return forecasting under Expanding Rolling Window Walk-Forward Validation, feature importance analysis, and out-of-sample portfolio optimization backtests.</w:t>
      </w:r>
    </w:p>
    <w:p>
      <w:pPr>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jc w:val="both"/>
      </w:pPr>
      <w:r>
        <w:rPr>
          <w:rFonts w:ascii="Times New Roman" w:hAnsi="Times New Roman"/>
          <w:color w:val="000000"/>
          <w:sz w:val="24"/>
        </w:rPr>
        <w:t>To establish a robust quantitative asset allocation model free from temporal distortion and survivorship bias, the constituent equities of the NGX Pension Index were evaluated for sample inclusion. A total of 38 equities were audited. To guarantee a complete 15-year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spacing w:line="480" w:lineRule="auto" w:before="0" w:after="0"/>
        <w:jc w:val="left"/>
      </w:pPr>
      <w:r>
        <w:rPr>
          <w:rFonts w:ascii="Times New Roman" w:hAnsi="Times New Roman"/>
          <w:b/>
          <w:color w:val="000000"/>
          <w:sz w:val="24"/>
        </w:rPr>
        <w:t>Table 4.0: NGX Pension Index Asset Universe Breakdown &amp; Exclusion Rationale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F2F2F2"/>
          </w:tcPr>
          <w:p>
            <w:pPr>
              <w:spacing w:line="276" w:lineRule="auto" w:before="40" w:after="40"/>
              <w:jc w:val="center"/>
            </w:pPr>
            <w:r>
              <w:rPr>
                <w:rFonts w:ascii="Times New Roman" w:hAnsi="Times New Roman"/>
                <w:b/>
                <w:color w:val="000000"/>
                <w:sz w:val="19"/>
              </w:rPr>
              <w:t>Ticker</w:t>
            </w:r>
          </w:p>
        </w:tc>
        <w:tc>
          <w:tcPr>
            <w:tcW w:type="dxa" w:w="1872"/>
            <w:shd w:val="clear" w:color="auto" w:fill="F2F2F2"/>
          </w:tcPr>
          <w:p>
            <w:pPr>
              <w:spacing w:line="276" w:lineRule="auto" w:before="40" w:after="40"/>
              <w:jc w:val="center"/>
            </w:pPr>
            <w:r>
              <w:rPr>
                <w:rFonts w:ascii="Times New Roman" w:hAnsi="Times New Roman"/>
                <w:b/>
                <w:color w:val="000000"/>
                <w:sz w:val="19"/>
              </w:rPr>
              <w:t>Company Name</w:t>
            </w:r>
          </w:p>
        </w:tc>
        <w:tc>
          <w:tcPr>
            <w:tcW w:type="dxa" w:w="1872"/>
            <w:shd w:val="clear" w:color="auto" w:fill="F2F2F2"/>
          </w:tcPr>
          <w:p>
            <w:pPr>
              <w:spacing w:line="276" w:lineRule="auto" w:before="40" w:after="40"/>
              <w:jc w:val="center"/>
            </w:pPr>
            <w:r>
              <w:rPr>
                <w:rFonts w:ascii="Times New Roman" w:hAnsi="Times New Roman"/>
                <w:b/>
                <w:color w:val="000000"/>
                <w:sz w:val="19"/>
              </w:rPr>
              <w:t>Sector</w:t>
            </w:r>
          </w:p>
        </w:tc>
        <w:tc>
          <w:tcPr>
            <w:tcW w:type="dxa" w:w="1872"/>
            <w:shd w:val="clear" w:color="auto" w:fill="F2F2F2"/>
          </w:tcPr>
          <w:p>
            <w:pPr>
              <w:spacing w:line="276" w:lineRule="auto" w:before="40" w:after="40"/>
              <w:jc w:val="center"/>
            </w:pPr>
            <w:r>
              <w:rPr>
                <w:rFonts w:ascii="Times New Roman" w:hAnsi="Times New Roman"/>
                <w:b/>
                <w:color w:val="000000"/>
                <w:sz w:val="19"/>
              </w:rPr>
              <w:t>Status</w:t>
            </w:r>
          </w:p>
        </w:tc>
        <w:tc>
          <w:tcPr>
            <w:tcW w:type="dxa" w:w="1872"/>
            <w:shd w:val="clear" w:color="auto" w:fill="F2F2F2"/>
          </w:tcPr>
          <w:p>
            <w:pPr>
              <w:spacing w:line="276" w:lineRule="auto" w:before="40" w:after="40"/>
              <w:jc w:val="center"/>
            </w:pPr>
            <w:r>
              <w:rPr>
                <w:rFonts w:ascii="Times New Roman" w:hAnsi="Times New Roman"/>
                <w:b/>
                <w:color w:val="000000"/>
                <w:sz w:val="19"/>
              </w:rPr>
              <w:t>Inclusion / Exclusion Rationale</w:t>
            </w:r>
          </w:p>
        </w:tc>
      </w:tr>
      <w:tr>
        <w:tc>
          <w:tcPr>
            <w:tcW w:type="dxa" w:w="1872"/>
          </w:tcPr>
          <w:p>
            <w:pPr>
              <w:spacing w:line="276" w:lineRule="auto" w:before="40" w:after="40"/>
              <w:jc w:val="center"/>
            </w:pPr>
            <w:r>
              <w:rPr>
                <w:rFonts w:ascii="Times New Roman" w:hAnsi="Times New Roman"/>
                <w:color w:val="000000"/>
                <w:sz w:val="18"/>
              </w:rPr>
              <w:t>CONOIL</w:t>
            </w:r>
          </w:p>
        </w:tc>
        <w:tc>
          <w:tcPr>
            <w:tcW w:type="dxa" w:w="1872"/>
          </w:tcPr>
          <w:p>
            <w:pPr>
              <w:spacing w:line="276" w:lineRule="auto" w:before="40" w:after="40"/>
              <w:jc w:val="center"/>
            </w:pPr>
            <w:r>
              <w:rPr>
                <w:rFonts w:ascii="Times New Roman" w:hAnsi="Times New Roman"/>
                <w:color w:val="000000"/>
                <w:sz w:val="18"/>
              </w:rPr>
              <w:t>Conoil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CUSTODIAN</w:t>
            </w:r>
          </w:p>
        </w:tc>
        <w:tc>
          <w:tcPr>
            <w:tcW w:type="dxa" w:w="1872"/>
          </w:tcPr>
          <w:p>
            <w:pPr>
              <w:spacing w:line="276" w:lineRule="auto" w:before="40" w:after="40"/>
              <w:jc w:val="center"/>
            </w:pPr>
            <w:r>
              <w:rPr>
                <w:rFonts w:ascii="Times New Roman" w:hAnsi="Times New Roman"/>
                <w:color w:val="000000"/>
                <w:sz w:val="18"/>
              </w:rPr>
              <w:t>Custodian Investment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DANGCEM</w:t>
            </w:r>
          </w:p>
        </w:tc>
        <w:tc>
          <w:tcPr>
            <w:tcW w:type="dxa" w:w="1872"/>
          </w:tcPr>
          <w:p>
            <w:pPr>
              <w:spacing w:line="276" w:lineRule="auto" w:before="40" w:after="40"/>
              <w:jc w:val="center"/>
            </w:pPr>
            <w:r>
              <w:rPr>
                <w:rFonts w:ascii="Times New Roman" w:hAnsi="Times New Roman"/>
                <w:color w:val="000000"/>
                <w:sz w:val="18"/>
              </w:rPr>
              <w:t>Dangote Cement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DANGSUGAR</w:t>
            </w:r>
          </w:p>
        </w:tc>
        <w:tc>
          <w:tcPr>
            <w:tcW w:type="dxa" w:w="1872"/>
          </w:tcPr>
          <w:p>
            <w:pPr>
              <w:spacing w:line="276" w:lineRule="auto" w:before="40" w:after="40"/>
              <w:jc w:val="center"/>
            </w:pPr>
            <w:r>
              <w:rPr>
                <w:rFonts w:ascii="Times New Roman" w:hAnsi="Times New Roman"/>
                <w:color w:val="000000"/>
                <w:sz w:val="18"/>
              </w:rPr>
              <w:t>Dangote Sugar Refinery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ETI</w:t>
            </w:r>
          </w:p>
        </w:tc>
        <w:tc>
          <w:tcPr>
            <w:tcW w:type="dxa" w:w="1872"/>
          </w:tcPr>
          <w:p>
            <w:pPr>
              <w:spacing w:line="276" w:lineRule="auto" w:before="40" w:after="40"/>
              <w:jc w:val="center"/>
            </w:pPr>
            <w:r>
              <w:rPr>
                <w:rFonts w:ascii="Times New Roman" w:hAnsi="Times New Roman"/>
                <w:color w:val="000000"/>
                <w:sz w:val="18"/>
              </w:rPr>
              <w:t>Ecobank Transnational Inc.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FCMB</w:t>
            </w:r>
          </w:p>
        </w:tc>
        <w:tc>
          <w:tcPr>
            <w:tcW w:type="dxa" w:w="1872"/>
          </w:tcPr>
          <w:p>
            <w:pPr>
              <w:spacing w:line="276" w:lineRule="auto" w:before="40" w:after="40"/>
              <w:jc w:val="center"/>
            </w:pPr>
            <w:r>
              <w:rPr>
                <w:rFonts w:ascii="Times New Roman" w:hAnsi="Times New Roman"/>
                <w:color w:val="000000"/>
                <w:sz w:val="18"/>
              </w:rPr>
              <w:t>FCMB Group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FIDELITYBK</w:t>
            </w:r>
          </w:p>
        </w:tc>
        <w:tc>
          <w:tcPr>
            <w:tcW w:type="dxa" w:w="1872"/>
          </w:tcPr>
          <w:p>
            <w:pPr>
              <w:spacing w:line="276" w:lineRule="auto" w:before="40" w:after="40"/>
              <w:jc w:val="center"/>
            </w:pPr>
            <w:r>
              <w:rPr>
                <w:rFonts w:ascii="Times New Roman" w:hAnsi="Times New Roman"/>
                <w:color w:val="000000"/>
                <w:sz w:val="18"/>
              </w:rPr>
              <w:t>Fidelity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FIDSON</w:t>
            </w:r>
          </w:p>
        </w:tc>
        <w:tc>
          <w:tcPr>
            <w:tcW w:type="dxa" w:w="1872"/>
          </w:tcPr>
          <w:p>
            <w:pPr>
              <w:spacing w:line="276" w:lineRule="auto" w:before="40" w:after="40"/>
              <w:jc w:val="center"/>
            </w:pPr>
            <w:r>
              <w:rPr>
                <w:rFonts w:ascii="Times New Roman" w:hAnsi="Times New Roman"/>
                <w:color w:val="000000"/>
                <w:sz w:val="18"/>
              </w:rPr>
              <w:t>Fidson Healthcare Plc</w:t>
            </w:r>
          </w:p>
        </w:tc>
        <w:tc>
          <w:tcPr>
            <w:tcW w:type="dxa" w:w="1872"/>
          </w:tcPr>
          <w:p>
            <w:pPr>
              <w:spacing w:line="276" w:lineRule="auto" w:before="40" w:after="40"/>
              <w:jc w:val="center"/>
            </w:pPr>
            <w:r>
              <w:rPr>
                <w:rFonts w:ascii="Times New Roman" w:hAnsi="Times New Roman"/>
                <w:color w:val="000000"/>
                <w:sz w:val="18"/>
              </w:rPr>
              <w:t>Healthcare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FBNH</w:t>
            </w:r>
          </w:p>
        </w:tc>
        <w:tc>
          <w:tcPr>
            <w:tcW w:type="dxa" w:w="1872"/>
          </w:tcPr>
          <w:p>
            <w:pPr>
              <w:spacing w:line="276" w:lineRule="auto" w:before="40" w:after="40"/>
              <w:jc w:val="center"/>
            </w:pPr>
            <w:r>
              <w:rPr>
                <w:rFonts w:ascii="Times New Roman" w:hAnsi="Times New Roman"/>
                <w:color w:val="000000"/>
                <w:sz w:val="18"/>
              </w:rPr>
              <w:t>First HoldCo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GTCO</w:t>
            </w:r>
          </w:p>
        </w:tc>
        <w:tc>
          <w:tcPr>
            <w:tcW w:type="dxa" w:w="1872"/>
          </w:tcPr>
          <w:p>
            <w:pPr>
              <w:spacing w:line="276" w:lineRule="auto" w:before="40" w:after="40"/>
              <w:jc w:val="center"/>
            </w:pPr>
            <w:r>
              <w:rPr>
                <w:rFonts w:ascii="Times New Roman" w:hAnsi="Times New Roman"/>
                <w:color w:val="000000"/>
                <w:sz w:val="18"/>
              </w:rPr>
              <w:t>Guaranty Trust Holding Co</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GUINNESS</w:t>
            </w:r>
          </w:p>
        </w:tc>
        <w:tc>
          <w:tcPr>
            <w:tcW w:type="dxa" w:w="1872"/>
          </w:tcPr>
          <w:p>
            <w:pPr>
              <w:spacing w:line="276" w:lineRule="auto" w:before="40" w:after="40"/>
              <w:jc w:val="center"/>
            </w:pPr>
            <w:r>
              <w:rPr>
                <w:rFonts w:ascii="Times New Roman" w:hAnsi="Times New Roman"/>
                <w:color w:val="000000"/>
                <w:sz w:val="18"/>
              </w:rPr>
              <w:t>Guinness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JBERGER</w:t>
            </w:r>
          </w:p>
        </w:tc>
        <w:tc>
          <w:tcPr>
            <w:tcW w:type="dxa" w:w="1872"/>
          </w:tcPr>
          <w:p>
            <w:pPr>
              <w:spacing w:line="276" w:lineRule="auto" w:before="40" w:after="40"/>
              <w:jc w:val="center"/>
            </w:pPr>
            <w:r>
              <w:rPr>
                <w:rFonts w:ascii="Times New Roman" w:hAnsi="Times New Roman"/>
                <w:color w:val="000000"/>
                <w:sz w:val="18"/>
              </w:rPr>
              <w:t>Julius Berger Nigeria Plc</w:t>
            </w:r>
          </w:p>
        </w:tc>
        <w:tc>
          <w:tcPr>
            <w:tcW w:type="dxa" w:w="1872"/>
          </w:tcPr>
          <w:p>
            <w:pPr>
              <w:spacing w:line="276" w:lineRule="auto" w:before="40" w:after="40"/>
              <w:jc w:val="center"/>
            </w:pPr>
            <w:r>
              <w:rPr>
                <w:rFonts w:ascii="Times New Roman" w:hAnsi="Times New Roman"/>
                <w:color w:val="000000"/>
                <w:sz w:val="18"/>
              </w:rPr>
              <w:t>Construction</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WAPCO</w:t>
            </w:r>
          </w:p>
        </w:tc>
        <w:tc>
          <w:tcPr>
            <w:tcW w:type="dxa" w:w="1872"/>
          </w:tcPr>
          <w:p>
            <w:pPr>
              <w:spacing w:line="276" w:lineRule="auto" w:before="40" w:after="40"/>
              <w:jc w:val="center"/>
            </w:pPr>
            <w:r>
              <w:rPr>
                <w:rFonts w:ascii="Times New Roman" w:hAnsi="Times New Roman"/>
                <w:color w:val="000000"/>
                <w:sz w:val="18"/>
              </w:rPr>
              <w:t>Lafarge Africa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MANSARD</w:t>
            </w:r>
          </w:p>
        </w:tc>
        <w:tc>
          <w:tcPr>
            <w:tcW w:type="dxa" w:w="1872"/>
          </w:tcPr>
          <w:p>
            <w:pPr>
              <w:spacing w:line="276" w:lineRule="auto" w:before="40" w:after="40"/>
              <w:jc w:val="center"/>
            </w:pPr>
            <w:r>
              <w:rPr>
                <w:rFonts w:ascii="Times New Roman" w:hAnsi="Times New Roman"/>
                <w:color w:val="000000"/>
                <w:sz w:val="18"/>
              </w:rPr>
              <w:t>AXA Mansard Insurance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NAHCO</w:t>
            </w:r>
          </w:p>
        </w:tc>
        <w:tc>
          <w:tcPr>
            <w:tcW w:type="dxa" w:w="1872"/>
          </w:tcPr>
          <w:p>
            <w:pPr>
              <w:spacing w:line="276" w:lineRule="auto" w:before="40" w:after="40"/>
              <w:jc w:val="center"/>
            </w:pPr>
            <w:r>
              <w:rPr>
                <w:rFonts w:ascii="Times New Roman" w:hAnsi="Times New Roman"/>
                <w:color w:val="000000"/>
                <w:sz w:val="18"/>
              </w:rPr>
              <w:t>Nigerian Aviation Handling</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NASCON</w:t>
            </w:r>
          </w:p>
        </w:tc>
        <w:tc>
          <w:tcPr>
            <w:tcW w:type="dxa" w:w="1872"/>
          </w:tcPr>
          <w:p>
            <w:pPr>
              <w:spacing w:line="276" w:lineRule="auto" w:before="40" w:after="40"/>
              <w:jc w:val="center"/>
            </w:pPr>
            <w:r>
              <w:rPr>
                <w:rFonts w:ascii="Times New Roman" w:hAnsi="Times New Roman"/>
                <w:color w:val="000000"/>
                <w:sz w:val="18"/>
              </w:rPr>
              <w:t>Nascon Allied Industries</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NESTLE</w:t>
            </w:r>
          </w:p>
        </w:tc>
        <w:tc>
          <w:tcPr>
            <w:tcW w:type="dxa" w:w="1872"/>
          </w:tcPr>
          <w:p>
            <w:pPr>
              <w:spacing w:line="276" w:lineRule="auto" w:before="40" w:after="40"/>
              <w:jc w:val="center"/>
            </w:pPr>
            <w:r>
              <w:rPr>
                <w:rFonts w:ascii="Times New Roman" w:hAnsi="Times New Roman"/>
                <w:color w:val="000000"/>
                <w:sz w:val="18"/>
              </w:rPr>
              <w:t>Nestle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NB</w:t>
            </w:r>
          </w:p>
        </w:tc>
        <w:tc>
          <w:tcPr>
            <w:tcW w:type="dxa" w:w="1872"/>
          </w:tcPr>
          <w:p>
            <w:pPr>
              <w:spacing w:line="276" w:lineRule="auto" w:before="40" w:after="40"/>
              <w:jc w:val="center"/>
            </w:pPr>
            <w:r>
              <w:rPr>
                <w:rFonts w:ascii="Times New Roman" w:hAnsi="Times New Roman"/>
                <w:color w:val="000000"/>
                <w:sz w:val="18"/>
              </w:rPr>
              <w:t>Nigerian Breweries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OKOMUOIL</w:t>
            </w:r>
          </w:p>
        </w:tc>
        <w:tc>
          <w:tcPr>
            <w:tcW w:type="dxa" w:w="1872"/>
          </w:tcPr>
          <w:p>
            <w:pPr>
              <w:spacing w:line="276" w:lineRule="auto" w:before="40" w:after="40"/>
              <w:jc w:val="center"/>
            </w:pPr>
            <w:r>
              <w:rPr>
                <w:rFonts w:ascii="Times New Roman" w:hAnsi="Times New Roman"/>
                <w:color w:val="000000"/>
                <w:sz w:val="18"/>
              </w:rPr>
              <w:t>Okomu Oil Palm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PRESCO</w:t>
            </w:r>
          </w:p>
        </w:tc>
        <w:tc>
          <w:tcPr>
            <w:tcW w:type="dxa" w:w="1872"/>
          </w:tcPr>
          <w:p>
            <w:pPr>
              <w:spacing w:line="276" w:lineRule="auto" w:before="40" w:after="40"/>
              <w:jc w:val="center"/>
            </w:pPr>
            <w:r>
              <w:rPr>
                <w:rFonts w:ascii="Times New Roman" w:hAnsi="Times New Roman"/>
                <w:color w:val="000000"/>
                <w:sz w:val="18"/>
              </w:rPr>
              <w:t>Presco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STANBIC</w:t>
            </w:r>
          </w:p>
        </w:tc>
        <w:tc>
          <w:tcPr>
            <w:tcW w:type="dxa" w:w="1872"/>
          </w:tcPr>
          <w:p>
            <w:pPr>
              <w:spacing w:line="276" w:lineRule="auto" w:before="40" w:after="40"/>
              <w:jc w:val="center"/>
            </w:pPr>
            <w:r>
              <w:rPr>
                <w:rFonts w:ascii="Times New Roman" w:hAnsi="Times New Roman"/>
                <w:color w:val="000000"/>
                <w:sz w:val="18"/>
              </w:rPr>
              <w:t>Stanbic IBTC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STERLINGNG</w:t>
            </w:r>
          </w:p>
        </w:tc>
        <w:tc>
          <w:tcPr>
            <w:tcW w:type="dxa" w:w="1872"/>
          </w:tcPr>
          <w:p>
            <w:pPr>
              <w:spacing w:line="276" w:lineRule="auto" w:before="40" w:after="40"/>
              <w:jc w:val="center"/>
            </w:pPr>
            <w:r>
              <w:rPr>
                <w:rFonts w:ascii="Times New Roman" w:hAnsi="Times New Roman"/>
                <w:color w:val="000000"/>
                <w:sz w:val="18"/>
              </w:rPr>
              <w:t>Sterling Financial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TRANSCORP</w:t>
            </w:r>
          </w:p>
        </w:tc>
        <w:tc>
          <w:tcPr>
            <w:tcW w:type="dxa" w:w="1872"/>
          </w:tcPr>
          <w:p>
            <w:pPr>
              <w:spacing w:line="276" w:lineRule="auto" w:before="40" w:after="40"/>
              <w:jc w:val="center"/>
            </w:pPr>
            <w:r>
              <w:rPr>
                <w:rFonts w:ascii="Times New Roman" w:hAnsi="Times New Roman"/>
                <w:color w:val="000000"/>
                <w:sz w:val="18"/>
              </w:rPr>
              <w:t>Transnational Corp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UACN</w:t>
            </w:r>
          </w:p>
        </w:tc>
        <w:tc>
          <w:tcPr>
            <w:tcW w:type="dxa" w:w="1872"/>
          </w:tcPr>
          <w:p>
            <w:pPr>
              <w:spacing w:line="276" w:lineRule="auto" w:before="40" w:after="40"/>
              <w:jc w:val="center"/>
            </w:pPr>
            <w:r>
              <w:rPr>
                <w:rFonts w:ascii="Times New Roman" w:hAnsi="Times New Roman"/>
                <w:color w:val="000000"/>
                <w:sz w:val="18"/>
              </w:rPr>
              <w:t>UAC of Nigeria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UBA</w:t>
            </w:r>
          </w:p>
        </w:tc>
        <w:tc>
          <w:tcPr>
            <w:tcW w:type="dxa" w:w="1872"/>
          </w:tcPr>
          <w:p>
            <w:pPr>
              <w:spacing w:line="276" w:lineRule="auto" w:before="40" w:after="40"/>
              <w:jc w:val="center"/>
            </w:pPr>
            <w:r>
              <w:rPr>
                <w:rFonts w:ascii="Times New Roman" w:hAnsi="Times New Roman"/>
                <w:color w:val="000000"/>
                <w:sz w:val="18"/>
              </w:rPr>
              <w:t>United Bank for Africa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UNILEVER</w:t>
            </w:r>
          </w:p>
        </w:tc>
        <w:tc>
          <w:tcPr>
            <w:tcW w:type="dxa" w:w="1872"/>
          </w:tcPr>
          <w:p>
            <w:pPr>
              <w:spacing w:line="276" w:lineRule="auto" w:before="40" w:after="40"/>
              <w:jc w:val="center"/>
            </w:pPr>
            <w:r>
              <w:rPr>
                <w:rFonts w:ascii="Times New Roman" w:hAnsi="Times New Roman"/>
                <w:color w:val="000000"/>
                <w:sz w:val="18"/>
              </w:rPr>
              <w:t>Unilever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WEMABANK</w:t>
            </w:r>
          </w:p>
        </w:tc>
        <w:tc>
          <w:tcPr>
            <w:tcW w:type="dxa" w:w="1872"/>
          </w:tcPr>
          <w:p>
            <w:pPr>
              <w:spacing w:line="276" w:lineRule="auto" w:before="40" w:after="40"/>
              <w:jc w:val="center"/>
            </w:pPr>
            <w:r>
              <w:rPr>
                <w:rFonts w:ascii="Times New Roman" w:hAnsi="Times New Roman"/>
                <w:color w:val="000000"/>
                <w:sz w:val="18"/>
              </w:rPr>
              <w:t>Wema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ZENITHBANK</w:t>
            </w:r>
          </w:p>
        </w:tc>
        <w:tc>
          <w:tcPr>
            <w:tcW w:type="dxa" w:w="1872"/>
          </w:tcPr>
          <w:p>
            <w:pPr>
              <w:spacing w:line="276" w:lineRule="auto" w:before="40" w:after="40"/>
              <w:jc w:val="center"/>
            </w:pPr>
            <w:r>
              <w:rPr>
                <w:rFonts w:ascii="Times New Roman" w:hAnsi="Times New Roman"/>
                <w:color w:val="000000"/>
                <w:sz w:val="18"/>
              </w:rPr>
              <w:t>Zenith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ACCESSCORP</w:t>
            </w:r>
          </w:p>
        </w:tc>
        <w:tc>
          <w:tcPr>
            <w:tcW w:type="dxa" w:w="1872"/>
          </w:tcPr>
          <w:p>
            <w:pPr>
              <w:spacing w:line="276" w:lineRule="auto" w:before="40" w:after="40"/>
              <w:jc w:val="center"/>
            </w:pPr>
            <w:r>
              <w:rPr>
                <w:rFonts w:ascii="Times New Roman" w:hAnsi="Times New Roman"/>
                <w:color w:val="000000"/>
                <w:sz w:val="18"/>
              </w:rPr>
              <w:t>Access Holdings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Post-2010 restructuring</w:t>
            </w:r>
          </w:p>
        </w:tc>
      </w:tr>
      <w:tr>
        <w:tc>
          <w:tcPr>
            <w:tcW w:type="dxa" w:w="1872"/>
          </w:tcPr>
          <w:p>
            <w:pPr>
              <w:spacing w:line="276" w:lineRule="auto" w:before="40" w:after="40"/>
              <w:jc w:val="center"/>
            </w:pPr>
            <w:r>
              <w:rPr>
                <w:rFonts w:ascii="Times New Roman" w:hAnsi="Times New Roman"/>
                <w:color w:val="000000"/>
                <w:sz w:val="18"/>
              </w:rPr>
              <w:t>AIRTELAFRI</w:t>
            </w:r>
          </w:p>
        </w:tc>
        <w:tc>
          <w:tcPr>
            <w:tcW w:type="dxa" w:w="1872"/>
          </w:tcPr>
          <w:p>
            <w:pPr>
              <w:spacing w:line="276" w:lineRule="auto" w:before="40" w:after="40"/>
              <w:jc w:val="center"/>
            </w:pPr>
            <w:r>
              <w:rPr>
                <w:rFonts w:ascii="Times New Roman" w:hAnsi="Times New Roman"/>
                <w:color w:val="000000"/>
                <w:sz w:val="18"/>
              </w:rPr>
              <w:t>Airtel Africa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June 2019 (&lt; 15-yr history)</w:t>
            </w:r>
          </w:p>
        </w:tc>
      </w:tr>
      <w:tr>
        <w:tc>
          <w:tcPr>
            <w:tcW w:type="dxa" w:w="1872"/>
          </w:tcPr>
          <w:p>
            <w:pPr>
              <w:spacing w:line="276" w:lineRule="auto" w:before="40" w:after="40"/>
              <w:jc w:val="center"/>
            </w:pPr>
            <w:r>
              <w:rPr>
                <w:rFonts w:ascii="Times New Roman" w:hAnsi="Times New Roman"/>
                <w:color w:val="000000"/>
                <w:sz w:val="18"/>
              </w:rPr>
              <w:t>ARADEL</w:t>
            </w:r>
          </w:p>
        </w:tc>
        <w:tc>
          <w:tcPr>
            <w:tcW w:type="dxa" w:w="1872"/>
          </w:tcPr>
          <w:p>
            <w:pPr>
              <w:spacing w:line="276" w:lineRule="auto" w:before="40" w:after="40"/>
              <w:jc w:val="center"/>
            </w:pPr>
            <w:r>
              <w:rPr>
                <w:rFonts w:ascii="Times New Roman" w:hAnsi="Times New Roman"/>
                <w:color w:val="000000"/>
                <w:sz w:val="18"/>
              </w:rPr>
              <w:t>Aradel Holdings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2024 (&lt; 15-yr history)</w:t>
            </w:r>
          </w:p>
        </w:tc>
      </w:tr>
      <w:tr>
        <w:tc>
          <w:tcPr>
            <w:tcW w:type="dxa" w:w="1872"/>
          </w:tcPr>
          <w:p>
            <w:pPr>
              <w:spacing w:line="276" w:lineRule="auto" w:before="40" w:after="40"/>
              <w:jc w:val="center"/>
            </w:pPr>
            <w:r>
              <w:rPr>
                <w:rFonts w:ascii="Times New Roman" w:hAnsi="Times New Roman"/>
                <w:color w:val="000000"/>
                <w:sz w:val="18"/>
              </w:rPr>
              <w:t>BUAFOODS</w:t>
            </w:r>
          </w:p>
        </w:tc>
        <w:tc>
          <w:tcPr>
            <w:tcW w:type="dxa" w:w="1872"/>
          </w:tcPr>
          <w:p>
            <w:pPr>
              <w:spacing w:line="276" w:lineRule="auto" w:before="40" w:after="40"/>
              <w:jc w:val="center"/>
            </w:pPr>
            <w:r>
              <w:rPr>
                <w:rFonts w:ascii="Times New Roman" w:hAnsi="Times New Roman"/>
                <w:color w:val="000000"/>
                <w:sz w:val="18"/>
              </w:rPr>
              <w:t>BUA Foods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2022 (&lt; 15-yr history)</w:t>
            </w:r>
          </w:p>
        </w:tc>
      </w:tr>
      <w:tr>
        <w:tc>
          <w:tcPr>
            <w:tcW w:type="dxa" w:w="1872"/>
          </w:tcPr>
          <w:p>
            <w:pPr>
              <w:spacing w:line="276" w:lineRule="auto" w:before="40" w:after="40"/>
              <w:jc w:val="center"/>
            </w:pPr>
            <w:r>
              <w:rPr>
                <w:rFonts w:ascii="Times New Roman" w:hAnsi="Times New Roman"/>
                <w:color w:val="000000"/>
                <w:sz w:val="18"/>
              </w:rPr>
              <w:t>GEREGU</w:t>
            </w:r>
          </w:p>
        </w:tc>
        <w:tc>
          <w:tcPr>
            <w:tcW w:type="dxa" w:w="1872"/>
          </w:tcPr>
          <w:p>
            <w:pPr>
              <w:spacing w:line="276" w:lineRule="auto" w:before="40" w:after="40"/>
              <w:jc w:val="center"/>
            </w:pPr>
            <w:r>
              <w:rPr>
                <w:rFonts w:ascii="Times New Roman" w:hAnsi="Times New Roman"/>
                <w:color w:val="000000"/>
                <w:sz w:val="18"/>
              </w:rPr>
              <w:t>Geregu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2022 (&lt; 15-yr history)</w:t>
            </w:r>
          </w:p>
        </w:tc>
      </w:tr>
      <w:tr>
        <w:tc>
          <w:tcPr>
            <w:tcW w:type="dxa" w:w="1872"/>
          </w:tcPr>
          <w:p>
            <w:pPr>
              <w:spacing w:line="276" w:lineRule="auto" w:before="40" w:after="40"/>
              <w:jc w:val="center"/>
            </w:pPr>
            <w:r>
              <w:rPr>
                <w:rFonts w:ascii="Times New Roman" w:hAnsi="Times New Roman"/>
                <w:color w:val="000000"/>
                <w:sz w:val="18"/>
              </w:rPr>
              <w:t>MTNN</w:t>
            </w:r>
          </w:p>
        </w:tc>
        <w:tc>
          <w:tcPr>
            <w:tcW w:type="dxa" w:w="1872"/>
          </w:tcPr>
          <w:p>
            <w:pPr>
              <w:spacing w:line="276" w:lineRule="auto" w:before="40" w:after="40"/>
              <w:jc w:val="center"/>
            </w:pPr>
            <w:r>
              <w:rPr>
                <w:rFonts w:ascii="Times New Roman" w:hAnsi="Times New Roman"/>
                <w:color w:val="000000"/>
                <w:sz w:val="18"/>
              </w:rPr>
              <w:t>MTN Nigeria Comms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May 2019 (&lt; 15-yr history)</w:t>
            </w:r>
          </w:p>
        </w:tc>
      </w:tr>
      <w:tr>
        <w:tc>
          <w:tcPr>
            <w:tcW w:type="dxa" w:w="1872"/>
          </w:tcPr>
          <w:p>
            <w:pPr>
              <w:spacing w:line="276" w:lineRule="auto" w:before="40" w:after="40"/>
              <w:jc w:val="center"/>
            </w:pPr>
            <w:r>
              <w:rPr>
                <w:rFonts w:ascii="Times New Roman" w:hAnsi="Times New Roman"/>
                <w:color w:val="000000"/>
                <w:sz w:val="18"/>
              </w:rPr>
              <w:t>SEPLAT</w:t>
            </w:r>
          </w:p>
        </w:tc>
        <w:tc>
          <w:tcPr>
            <w:tcW w:type="dxa" w:w="1872"/>
          </w:tcPr>
          <w:p>
            <w:pPr>
              <w:spacing w:line="276" w:lineRule="auto" w:before="40" w:after="40"/>
              <w:jc w:val="center"/>
            </w:pPr>
            <w:r>
              <w:rPr>
                <w:rFonts w:ascii="Times New Roman" w:hAnsi="Times New Roman"/>
                <w:color w:val="000000"/>
                <w:sz w:val="18"/>
              </w:rPr>
              <w:t>Seplat Energy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April 2014 (&lt; 15-yr history)</w:t>
            </w:r>
          </w:p>
        </w:tc>
      </w:tr>
      <w:tr>
        <w:tc>
          <w:tcPr>
            <w:tcW w:type="dxa" w:w="1872"/>
          </w:tcPr>
          <w:p>
            <w:pPr>
              <w:spacing w:line="276" w:lineRule="auto" w:before="40" w:after="40"/>
              <w:jc w:val="center"/>
            </w:pPr>
            <w:r>
              <w:rPr>
                <w:rFonts w:ascii="Times New Roman" w:hAnsi="Times New Roman"/>
                <w:color w:val="000000"/>
                <w:sz w:val="18"/>
              </w:rPr>
              <w:t>TRANSCOHOT</w:t>
            </w:r>
          </w:p>
        </w:tc>
        <w:tc>
          <w:tcPr>
            <w:tcW w:type="dxa" w:w="1872"/>
          </w:tcPr>
          <w:p>
            <w:pPr>
              <w:spacing w:line="276" w:lineRule="auto" w:before="40" w:after="40"/>
              <w:jc w:val="center"/>
            </w:pPr>
            <w:r>
              <w:rPr>
                <w:rFonts w:ascii="Times New Roman" w:hAnsi="Times New Roman"/>
                <w:color w:val="000000"/>
                <w:sz w:val="18"/>
              </w:rPr>
              <w:t>Transcorp Hotels Plc</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2015 (&lt; 15-yr history)</w:t>
            </w:r>
          </w:p>
        </w:tc>
      </w:tr>
      <w:tr>
        <w:tc>
          <w:tcPr>
            <w:tcW w:type="dxa" w:w="1872"/>
          </w:tcPr>
          <w:p>
            <w:pPr>
              <w:spacing w:line="276" w:lineRule="auto" w:before="40" w:after="40"/>
              <w:jc w:val="center"/>
            </w:pPr>
            <w:r>
              <w:rPr>
                <w:rFonts w:ascii="Times New Roman" w:hAnsi="Times New Roman"/>
                <w:color w:val="000000"/>
                <w:sz w:val="18"/>
              </w:rPr>
              <w:t>TRANSPOWER</w:t>
            </w:r>
          </w:p>
        </w:tc>
        <w:tc>
          <w:tcPr>
            <w:tcW w:type="dxa" w:w="1872"/>
          </w:tcPr>
          <w:p>
            <w:pPr>
              <w:spacing w:line="276" w:lineRule="auto" w:before="40" w:after="40"/>
              <w:jc w:val="center"/>
            </w:pPr>
            <w:r>
              <w:rPr>
                <w:rFonts w:ascii="Times New Roman" w:hAnsi="Times New Roman"/>
                <w:color w:val="000000"/>
                <w:sz w:val="18"/>
              </w:rPr>
              <w:t>Transcorp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March 2024 (&lt; 15-yr history)</w:t>
            </w:r>
          </w:p>
        </w:tc>
      </w:tr>
      <w:tr>
        <w:tc>
          <w:tcPr>
            <w:tcW w:type="dxa" w:w="1872"/>
          </w:tcPr>
          <w:p>
            <w:pPr>
              <w:spacing w:line="276" w:lineRule="auto" w:before="40" w:after="40"/>
              <w:jc w:val="center"/>
            </w:pPr>
            <w:r>
              <w:rPr>
                <w:rFonts w:ascii="Times New Roman" w:hAnsi="Times New Roman"/>
                <w:color w:val="000000"/>
                <w:sz w:val="18"/>
              </w:rPr>
              <w:t>UCAP</w:t>
            </w:r>
          </w:p>
        </w:tc>
        <w:tc>
          <w:tcPr>
            <w:tcW w:type="dxa" w:w="1872"/>
          </w:tcPr>
          <w:p>
            <w:pPr>
              <w:spacing w:line="276" w:lineRule="auto" w:before="40" w:after="40"/>
              <w:jc w:val="center"/>
            </w:pPr>
            <w:r>
              <w:rPr>
                <w:rFonts w:ascii="Times New Roman" w:hAnsi="Times New Roman"/>
                <w:color w:val="000000"/>
                <w:sz w:val="18"/>
              </w:rPr>
              <w:t>United Capital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2013 (&lt; 15-yr history)</w:t>
            </w:r>
          </w:p>
        </w:tc>
      </w:tr>
    </w:tbl>
    <w:p>
      <w:pPr>
        <w:spacing w:after="120"/>
      </w:pPr>
    </w:p>
    <w:p>
      <w:pPr>
        <w:spacing w:line="480" w:lineRule="auto" w:before="0" w:after="0"/>
        <w:jc w:val="left"/>
      </w:pPr>
      <w:r>
        <w:rPr>
          <w:rFonts w:ascii="Times New Roman" w:hAnsi="Times New Roman"/>
          <w:i/>
          <w:color w:val="000000"/>
          <w:sz w:val="20"/>
        </w:rPr>
        <w:t>Source: Author's classification based on NGX listing records (2026).</w:t>
      </w:r>
    </w:p>
    <w:p>
      <w:pPr>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w:t>
      </w:r>
    </w:p>
    <w:p>
      <w:pPr>
        <w:spacing w:line="480" w:lineRule="auto" w:before="0" w:after="0"/>
        <w:jc w:val="left"/>
      </w:pPr>
      <w:r>
        <w:rPr>
          <w:rFonts w:ascii="Times New Roman" w:hAnsi="Times New Roman"/>
          <w:b/>
          <w:color w:val="000000"/>
          <w:sz w:val="24"/>
        </w:rPr>
        <w:t>Table 4.1: Descriptive Statistics of 28 NGX Equity Log Returns (2010-2025)</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Mean (%)</w:t>
            </w:r>
          </w:p>
        </w:tc>
        <w:tc>
          <w:tcPr>
            <w:tcW w:type="dxa" w:w="1337"/>
            <w:shd w:val="clear" w:color="auto" w:fill="F2F2F2"/>
          </w:tcPr>
          <w:p>
            <w:pPr>
              <w:spacing w:line="276" w:lineRule="auto" w:before="40" w:after="40"/>
              <w:jc w:val="center"/>
            </w:pPr>
            <w:r>
              <w:rPr>
                <w:rFonts w:ascii="Times New Roman" w:hAnsi="Times New Roman"/>
                <w:b/>
                <w:color w:val="000000"/>
                <w:sz w:val="19"/>
              </w:rPr>
              <w:t>Std Dev (%)</w:t>
            </w:r>
          </w:p>
        </w:tc>
        <w:tc>
          <w:tcPr>
            <w:tcW w:type="dxa" w:w="1337"/>
            <w:shd w:val="clear" w:color="auto" w:fill="F2F2F2"/>
          </w:tcPr>
          <w:p>
            <w:pPr>
              <w:spacing w:line="276" w:lineRule="auto" w:before="40" w:after="40"/>
              <w:jc w:val="center"/>
            </w:pPr>
            <w:r>
              <w:rPr>
                <w:rFonts w:ascii="Times New Roman" w:hAnsi="Times New Roman"/>
                <w:b/>
                <w:color w:val="000000"/>
                <w:sz w:val="19"/>
              </w:rPr>
              <w:t>Min (%)</w:t>
            </w:r>
          </w:p>
        </w:tc>
        <w:tc>
          <w:tcPr>
            <w:tcW w:type="dxa" w:w="1337"/>
            <w:shd w:val="clear" w:color="auto" w:fill="F2F2F2"/>
          </w:tcPr>
          <w:p>
            <w:pPr>
              <w:spacing w:line="276" w:lineRule="auto" w:before="40" w:after="40"/>
              <w:jc w:val="center"/>
            </w:pPr>
            <w:r>
              <w:rPr>
                <w:rFonts w:ascii="Times New Roman" w:hAnsi="Times New Roman"/>
                <w:b/>
                <w:color w:val="000000"/>
                <w:sz w:val="19"/>
              </w:rPr>
              <w:t>Max (%)</w:t>
            </w:r>
          </w:p>
        </w:tc>
        <w:tc>
          <w:tcPr>
            <w:tcW w:type="dxa" w:w="1337"/>
            <w:shd w:val="clear" w:color="auto" w:fill="F2F2F2"/>
          </w:tcPr>
          <w:p>
            <w:pPr>
              <w:spacing w:line="276" w:lineRule="auto" w:before="40" w:after="40"/>
              <w:jc w:val="center"/>
            </w:pPr>
            <w:r>
              <w:rPr>
                <w:rFonts w:ascii="Times New Roman" w:hAnsi="Times New Roman"/>
                <w:b/>
                <w:color w:val="000000"/>
                <w:sz w:val="19"/>
              </w:rPr>
              <w:t>Skewness</w:t>
            </w:r>
          </w:p>
        </w:tc>
        <w:tc>
          <w:tcPr>
            <w:tcW w:type="dxa" w:w="1337"/>
            <w:shd w:val="clear" w:color="auto" w:fill="F2F2F2"/>
          </w:tcPr>
          <w:p>
            <w:pPr>
              <w:spacing w:line="276" w:lineRule="auto" w:before="40" w:after="40"/>
              <w:jc w:val="center"/>
            </w:pPr>
            <w:r>
              <w:rPr>
                <w:rFonts w:ascii="Times New Roman" w:hAnsi="Times New Roman"/>
                <w:b/>
                <w:color w:val="000000"/>
                <w:sz w:val="19"/>
              </w:rPr>
              <w:t>Kurtosis</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0.218</w:t>
            </w:r>
          </w:p>
        </w:tc>
        <w:tc>
          <w:tcPr>
            <w:tcW w:type="dxa" w:w="1337"/>
          </w:tcPr>
          <w:p>
            <w:pPr>
              <w:spacing w:line="276" w:lineRule="auto" w:before="40" w:after="40"/>
              <w:jc w:val="center"/>
            </w:pPr>
            <w:r>
              <w:rPr>
                <w:rFonts w:ascii="Times New Roman" w:hAnsi="Times New Roman"/>
                <w:color w:val="000000"/>
                <w:sz w:val="18"/>
              </w:rPr>
              <w:t>6.66</w:t>
            </w:r>
          </w:p>
        </w:tc>
        <w:tc>
          <w:tcPr>
            <w:tcW w:type="dxa" w:w="1337"/>
          </w:tcPr>
          <w:p>
            <w:pPr>
              <w:spacing w:line="276" w:lineRule="auto" w:before="40" w:after="40"/>
              <w:jc w:val="center"/>
            </w:pPr>
            <w:r>
              <w:rPr>
                <w:rFonts w:ascii="Times New Roman" w:hAnsi="Times New Roman"/>
                <w:color w:val="000000"/>
                <w:sz w:val="18"/>
              </w:rPr>
              <w:t>-20.94</w:t>
            </w:r>
          </w:p>
        </w:tc>
        <w:tc>
          <w:tcPr>
            <w:tcW w:type="dxa" w:w="1337"/>
          </w:tcPr>
          <w:p>
            <w:pPr>
              <w:spacing w:line="276" w:lineRule="auto" w:before="40" w:after="40"/>
              <w:jc w:val="center"/>
            </w:pPr>
            <w:r>
              <w:rPr>
                <w:rFonts w:ascii="Times New Roman" w:hAnsi="Times New Roman"/>
                <w:color w:val="000000"/>
                <w:sz w:val="18"/>
              </w:rPr>
              <w:t>38.95</w:t>
            </w:r>
          </w:p>
        </w:tc>
        <w:tc>
          <w:tcPr>
            <w:tcW w:type="dxa" w:w="1337"/>
          </w:tcPr>
          <w:p>
            <w:pPr>
              <w:spacing w:line="276" w:lineRule="auto" w:before="40" w:after="40"/>
              <w:jc w:val="center"/>
            </w:pPr>
            <w:r>
              <w:rPr>
                <w:rFonts w:ascii="Times New Roman" w:hAnsi="Times New Roman"/>
                <w:color w:val="000000"/>
                <w:sz w:val="18"/>
              </w:rPr>
              <w:t>1.41</w:t>
            </w:r>
          </w:p>
        </w:tc>
        <w:tc>
          <w:tcPr>
            <w:tcW w:type="dxa" w:w="1337"/>
          </w:tcPr>
          <w:p>
            <w:pPr>
              <w:spacing w:line="276" w:lineRule="auto" w:before="40" w:after="40"/>
              <w:jc w:val="center"/>
            </w:pPr>
            <w:r>
              <w:rPr>
                <w:rFonts w:ascii="Times New Roman" w:hAnsi="Times New Roman"/>
                <w:color w:val="000000"/>
                <w:sz w:val="18"/>
              </w:rPr>
              <w:t>7.22</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0.324</w:t>
            </w:r>
          </w:p>
        </w:tc>
        <w:tc>
          <w:tcPr>
            <w:tcW w:type="dxa" w:w="1337"/>
          </w:tcPr>
          <w:p>
            <w:pPr>
              <w:spacing w:line="276" w:lineRule="auto" w:before="40" w:after="40"/>
              <w:jc w:val="center"/>
            </w:pPr>
            <w:r>
              <w:rPr>
                <w:rFonts w:ascii="Times New Roman" w:hAnsi="Times New Roman"/>
                <w:color w:val="000000"/>
                <w:sz w:val="18"/>
              </w:rPr>
              <w:t>5.57</w:t>
            </w:r>
          </w:p>
        </w:tc>
        <w:tc>
          <w:tcPr>
            <w:tcW w:type="dxa" w:w="1337"/>
          </w:tcPr>
          <w:p>
            <w:pPr>
              <w:spacing w:line="276" w:lineRule="auto" w:before="40" w:after="40"/>
              <w:jc w:val="center"/>
            </w:pPr>
            <w:r>
              <w:rPr>
                <w:rFonts w:ascii="Times New Roman" w:hAnsi="Times New Roman"/>
                <w:color w:val="000000"/>
                <w:sz w:val="18"/>
              </w:rPr>
              <w:t>-24.03</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0.30</w:t>
            </w:r>
          </w:p>
        </w:tc>
        <w:tc>
          <w:tcPr>
            <w:tcW w:type="dxa" w:w="1337"/>
          </w:tcPr>
          <w:p>
            <w:pPr>
              <w:spacing w:line="276" w:lineRule="auto" w:before="40" w:after="40"/>
              <w:jc w:val="center"/>
            </w:pPr>
            <w:r>
              <w:rPr>
                <w:rFonts w:ascii="Times New Roman" w:hAnsi="Times New Roman"/>
                <w:color w:val="000000"/>
                <w:sz w:val="18"/>
              </w:rPr>
              <w:t>2.20</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0.192</w:t>
            </w:r>
          </w:p>
        </w:tc>
        <w:tc>
          <w:tcPr>
            <w:tcW w:type="dxa" w:w="1337"/>
          </w:tcPr>
          <w:p>
            <w:pPr>
              <w:spacing w:line="276" w:lineRule="auto" w:before="40" w:after="40"/>
              <w:jc w:val="center"/>
            </w:pPr>
            <w:r>
              <w:rPr>
                <w:rFonts w:ascii="Times New Roman" w:hAnsi="Times New Roman"/>
                <w:color w:val="000000"/>
                <w:sz w:val="18"/>
              </w:rPr>
              <w:t>4.55</w:t>
            </w:r>
          </w:p>
        </w:tc>
        <w:tc>
          <w:tcPr>
            <w:tcW w:type="dxa" w:w="1337"/>
          </w:tcPr>
          <w:p>
            <w:pPr>
              <w:spacing w:line="276" w:lineRule="auto" w:before="40" w:after="40"/>
              <w:jc w:val="center"/>
            </w:pPr>
            <w:r>
              <w:rPr>
                <w:rFonts w:ascii="Times New Roman" w:hAnsi="Times New Roman"/>
                <w:color w:val="000000"/>
                <w:sz w:val="18"/>
              </w:rPr>
              <w:t>-23.16</w:t>
            </w:r>
          </w:p>
        </w:tc>
        <w:tc>
          <w:tcPr>
            <w:tcW w:type="dxa" w:w="1337"/>
          </w:tcPr>
          <w:p>
            <w:pPr>
              <w:spacing w:line="276" w:lineRule="auto" w:before="40" w:after="40"/>
              <w:jc w:val="center"/>
            </w:pPr>
            <w:r>
              <w:rPr>
                <w:rFonts w:ascii="Times New Roman" w:hAnsi="Times New Roman"/>
                <w:color w:val="000000"/>
                <w:sz w:val="18"/>
              </w:rPr>
              <w:t>43.14</w:t>
            </w:r>
          </w:p>
        </w:tc>
        <w:tc>
          <w:tcPr>
            <w:tcW w:type="dxa" w:w="1337"/>
          </w:tcPr>
          <w:p>
            <w:pPr>
              <w:spacing w:line="276" w:lineRule="auto" w:before="40" w:after="40"/>
              <w:jc w:val="center"/>
            </w:pPr>
            <w:r>
              <w:rPr>
                <w:rFonts w:ascii="Times New Roman" w:hAnsi="Times New Roman"/>
                <w:color w:val="000000"/>
                <w:sz w:val="18"/>
              </w:rPr>
              <w:t>1.66</w:t>
            </w:r>
          </w:p>
        </w:tc>
        <w:tc>
          <w:tcPr>
            <w:tcW w:type="dxa" w:w="1337"/>
          </w:tcPr>
          <w:p>
            <w:pPr>
              <w:spacing w:line="276" w:lineRule="auto" w:before="40" w:after="40"/>
              <w:jc w:val="center"/>
            </w:pPr>
            <w:r>
              <w:rPr>
                <w:rFonts w:ascii="Times New Roman" w:hAnsi="Times New Roman"/>
                <w:color w:val="000000"/>
                <w:sz w:val="18"/>
              </w:rPr>
              <w:t>14.47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0.167</w:t>
            </w:r>
          </w:p>
        </w:tc>
        <w:tc>
          <w:tcPr>
            <w:tcW w:type="dxa" w:w="1337"/>
          </w:tcPr>
          <w:p>
            <w:pPr>
              <w:spacing w:line="276" w:lineRule="auto" w:before="40" w:after="40"/>
              <w:jc w:val="center"/>
            </w:pPr>
            <w:r>
              <w:rPr>
                <w:rFonts w:ascii="Times New Roman" w:hAnsi="Times New Roman"/>
                <w:color w:val="000000"/>
                <w:sz w:val="18"/>
              </w:rPr>
              <w:t>6.54</w:t>
            </w:r>
          </w:p>
        </w:tc>
        <w:tc>
          <w:tcPr>
            <w:tcW w:type="dxa" w:w="1337"/>
          </w:tcPr>
          <w:p>
            <w:pPr>
              <w:spacing w:line="276" w:lineRule="auto" w:before="40" w:after="40"/>
              <w:jc w:val="center"/>
            </w:pPr>
            <w:r>
              <w:rPr>
                <w:rFonts w:ascii="Times New Roman" w:hAnsi="Times New Roman"/>
                <w:color w:val="000000"/>
                <w:sz w:val="18"/>
              </w:rPr>
              <w:t>-34.25</w:t>
            </w:r>
          </w:p>
        </w:tc>
        <w:tc>
          <w:tcPr>
            <w:tcW w:type="dxa" w:w="1337"/>
          </w:tcPr>
          <w:p>
            <w:pPr>
              <w:spacing w:line="276" w:lineRule="auto" w:before="40" w:after="40"/>
              <w:jc w:val="center"/>
            </w:pPr>
            <w:r>
              <w:rPr>
                <w:rFonts w:ascii="Times New Roman" w:hAnsi="Times New Roman"/>
                <w:color w:val="000000"/>
                <w:sz w:val="18"/>
              </w:rPr>
              <w:t>31.69</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0.126</w:t>
            </w:r>
          </w:p>
        </w:tc>
        <w:tc>
          <w:tcPr>
            <w:tcW w:type="dxa" w:w="1337"/>
          </w:tcPr>
          <w:p>
            <w:pPr>
              <w:spacing w:line="276" w:lineRule="auto" w:before="40" w:after="40"/>
              <w:jc w:val="center"/>
            </w:pPr>
            <w:r>
              <w:rPr>
                <w:rFonts w:ascii="Times New Roman" w:hAnsi="Times New Roman"/>
                <w:color w:val="000000"/>
                <w:sz w:val="18"/>
              </w:rPr>
              <w:t>6.04</w:t>
            </w:r>
          </w:p>
        </w:tc>
        <w:tc>
          <w:tcPr>
            <w:tcW w:type="dxa" w:w="1337"/>
          </w:tcPr>
          <w:p>
            <w:pPr>
              <w:spacing w:line="276" w:lineRule="auto" w:before="40" w:after="40"/>
              <w:jc w:val="center"/>
            </w:pPr>
            <w:r>
              <w:rPr>
                <w:rFonts w:ascii="Times New Roman" w:hAnsi="Times New Roman"/>
                <w:color w:val="000000"/>
                <w:sz w:val="18"/>
              </w:rPr>
              <w:t>-26.18</w:t>
            </w:r>
          </w:p>
        </w:tc>
        <w:tc>
          <w:tcPr>
            <w:tcW w:type="dxa" w:w="1337"/>
          </w:tcPr>
          <w:p>
            <w:pPr>
              <w:spacing w:line="276" w:lineRule="auto" w:before="40" w:after="40"/>
              <w:jc w:val="center"/>
            </w:pPr>
            <w:r>
              <w:rPr>
                <w:rFonts w:ascii="Times New Roman" w:hAnsi="Times New Roman"/>
                <w:color w:val="000000"/>
                <w:sz w:val="18"/>
              </w:rPr>
              <w:t>36.98</w:t>
            </w:r>
          </w:p>
        </w:tc>
        <w:tc>
          <w:tcPr>
            <w:tcW w:type="dxa" w:w="1337"/>
          </w:tcPr>
          <w:p>
            <w:pPr>
              <w:spacing w:line="276" w:lineRule="auto" w:before="40" w:after="40"/>
              <w:jc w:val="center"/>
            </w:pPr>
            <w:r>
              <w:rPr>
                <w:rFonts w:ascii="Times New Roman" w:hAnsi="Times New Roman"/>
                <w:color w:val="000000"/>
                <w:sz w:val="18"/>
              </w:rPr>
              <w:t>0.39</w:t>
            </w:r>
          </w:p>
        </w:tc>
        <w:tc>
          <w:tcPr>
            <w:tcW w:type="dxa" w:w="1337"/>
          </w:tcPr>
          <w:p>
            <w:pPr>
              <w:spacing w:line="276" w:lineRule="auto" w:before="40" w:after="40"/>
              <w:jc w:val="center"/>
            </w:pPr>
            <w:r>
              <w:rPr>
                <w:rFonts w:ascii="Times New Roman" w:hAnsi="Times New Roman"/>
                <w:color w:val="000000"/>
                <w:sz w:val="18"/>
              </w:rPr>
              <w:t>4.21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0.073</w:t>
            </w:r>
          </w:p>
        </w:tc>
        <w:tc>
          <w:tcPr>
            <w:tcW w:type="dxa" w:w="1337"/>
          </w:tcPr>
          <w:p>
            <w:pPr>
              <w:spacing w:line="276" w:lineRule="auto" w:before="40" w:after="40"/>
              <w:jc w:val="center"/>
            </w:pPr>
            <w:r>
              <w:rPr>
                <w:rFonts w:ascii="Times New Roman" w:hAnsi="Times New Roman"/>
                <w:color w:val="000000"/>
                <w:sz w:val="18"/>
              </w:rPr>
              <w:t>6.45</w:t>
            </w:r>
          </w:p>
        </w:tc>
        <w:tc>
          <w:tcPr>
            <w:tcW w:type="dxa" w:w="1337"/>
          </w:tcPr>
          <w:p>
            <w:pPr>
              <w:spacing w:line="276" w:lineRule="auto" w:before="40" w:after="40"/>
              <w:jc w:val="center"/>
            </w:pPr>
            <w:r>
              <w:rPr>
                <w:rFonts w:ascii="Times New Roman" w:hAnsi="Times New Roman"/>
                <w:color w:val="000000"/>
                <w:sz w:val="18"/>
              </w:rPr>
              <w:t>-24.00</w:t>
            </w:r>
          </w:p>
        </w:tc>
        <w:tc>
          <w:tcPr>
            <w:tcW w:type="dxa" w:w="1337"/>
          </w:tcPr>
          <w:p>
            <w:pPr>
              <w:spacing w:line="276" w:lineRule="auto" w:before="40" w:after="40"/>
              <w:jc w:val="center"/>
            </w:pPr>
            <w:r>
              <w:rPr>
                <w:rFonts w:ascii="Times New Roman" w:hAnsi="Times New Roman"/>
                <w:color w:val="000000"/>
                <w:sz w:val="18"/>
              </w:rPr>
              <w:t>31.77</w:t>
            </w:r>
          </w:p>
        </w:tc>
        <w:tc>
          <w:tcPr>
            <w:tcW w:type="dxa" w:w="1337"/>
          </w:tcPr>
          <w:p>
            <w:pPr>
              <w:spacing w:line="276" w:lineRule="auto" w:before="40" w:after="40"/>
              <w:jc w:val="center"/>
            </w:pPr>
            <w:r>
              <w:rPr>
                <w:rFonts w:ascii="Times New Roman" w:hAnsi="Times New Roman"/>
                <w:color w:val="000000"/>
                <w:sz w:val="18"/>
              </w:rPr>
              <w:t>0.69</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0.245</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-28.73</w:t>
            </w:r>
          </w:p>
        </w:tc>
        <w:tc>
          <w:tcPr>
            <w:tcW w:type="dxa" w:w="1337"/>
          </w:tcPr>
          <w:p>
            <w:pPr>
              <w:spacing w:line="276" w:lineRule="auto" w:before="40" w:after="40"/>
              <w:jc w:val="center"/>
            </w:pPr>
            <w:r>
              <w:rPr>
                <w:rFonts w:ascii="Times New Roman" w:hAnsi="Times New Roman"/>
                <w:color w:val="000000"/>
                <w:sz w:val="18"/>
              </w:rPr>
              <w:t>32.21</w:t>
            </w:r>
          </w:p>
        </w:tc>
        <w:tc>
          <w:tcPr>
            <w:tcW w:type="dxa" w:w="1337"/>
          </w:tcPr>
          <w:p>
            <w:pPr>
              <w:spacing w:line="276" w:lineRule="auto" w:before="40" w:after="40"/>
              <w:jc w:val="center"/>
            </w:pPr>
            <w:r>
              <w:rPr>
                <w:rFonts w:ascii="Times New Roman" w:hAnsi="Times New Roman"/>
                <w:color w:val="000000"/>
                <w:sz w:val="18"/>
              </w:rPr>
              <w:t>0.52</w:t>
            </w:r>
          </w:p>
        </w:tc>
        <w:tc>
          <w:tcPr>
            <w:tcW w:type="dxa" w:w="1337"/>
          </w:tcPr>
          <w:p>
            <w:pPr>
              <w:spacing w:line="276" w:lineRule="auto" w:before="40" w:after="40"/>
              <w:jc w:val="center"/>
            </w:pPr>
            <w:r>
              <w:rPr>
                <w:rFonts w:ascii="Times New Roman" w:hAnsi="Times New Roman"/>
                <w:color w:val="000000"/>
                <w:sz w:val="18"/>
              </w:rPr>
              <w:t>3.11</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0.401</w:t>
            </w:r>
          </w:p>
        </w:tc>
        <w:tc>
          <w:tcPr>
            <w:tcW w:type="dxa" w:w="1337"/>
          </w:tcPr>
          <w:p>
            <w:pPr>
              <w:spacing w:line="276" w:lineRule="auto" w:before="40" w:after="40"/>
              <w:jc w:val="center"/>
            </w:pPr>
            <w:r>
              <w:rPr>
                <w:rFonts w:ascii="Times New Roman" w:hAnsi="Times New Roman"/>
                <w:color w:val="000000"/>
                <w:sz w:val="18"/>
              </w:rPr>
              <w:t>7.14</w:t>
            </w:r>
          </w:p>
        </w:tc>
        <w:tc>
          <w:tcPr>
            <w:tcW w:type="dxa" w:w="1337"/>
          </w:tcPr>
          <w:p>
            <w:pPr>
              <w:spacing w:line="276" w:lineRule="auto" w:before="40" w:after="40"/>
              <w:jc w:val="center"/>
            </w:pPr>
            <w:r>
              <w:rPr>
                <w:rFonts w:ascii="Times New Roman" w:hAnsi="Times New Roman"/>
                <w:color w:val="000000"/>
                <w:sz w:val="18"/>
              </w:rPr>
              <w:t>-35.19</w:t>
            </w:r>
          </w:p>
        </w:tc>
        <w:tc>
          <w:tcPr>
            <w:tcW w:type="dxa" w:w="1337"/>
          </w:tcPr>
          <w:p>
            <w:pPr>
              <w:spacing w:line="276" w:lineRule="auto" w:before="40" w:after="40"/>
              <w:jc w:val="center"/>
            </w:pPr>
            <w:r>
              <w:rPr>
                <w:rFonts w:ascii="Times New Roman" w:hAnsi="Times New Roman"/>
                <w:color w:val="000000"/>
                <w:sz w:val="18"/>
              </w:rPr>
              <w:t>38.89</w:t>
            </w:r>
          </w:p>
        </w:tc>
        <w:tc>
          <w:tcPr>
            <w:tcW w:type="dxa" w:w="1337"/>
          </w:tcPr>
          <w:p>
            <w:pPr>
              <w:spacing w:line="276" w:lineRule="auto" w:before="40" w:after="40"/>
              <w:jc w:val="center"/>
            </w:pPr>
            <w:r>
              <w:rPr>
                <w:rFonts w:ascii="Times New Roman" w:hAnsi="Times New Roman"/>
                <w:color w:val="000000"/>
                <w:sz w:val="18"/>
              </w:rPr>
              <w:t>0.51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0.157</w:t>
            </w:r>
          </w:p>
        </w:tc>
        <w:tc>
          <w:tcPr>
            <w:tcW w:type="dxa" w:w="1337"/>
          </w:tcPr>
          <w:p>
            <w:pPr>
              <w:spacing w:line="276" w:lineRule="auto" w:before="40" w:after="40"/>
              <w:jc w:val="center"/>
            </w:pPr>
            <w:r>
              <w:rPr>
                <w:rFonts w:ascii="Times New Roman" w:hAnsi="Times New Roman"/>
                <w:color w:val="000000"/>
                <w:sz w:val="18"/>
              </w:rPr>
              <w:t>6.46</w:t>
            </w:r>
          </w:p>
        </w:tc>
        <w:tc>
          <w:tcPr>
            <w:tcW w:type="dxa" w:w="1337"/>
          </w:tcPr>
          <w:p>
            <w:pPr>
              <w:spacing w:line="276" w:lineRule="auto" w:before="40" w:after="40"/>
              <w:jc w:val="center"/>
            </w:pPr>
            <w:r>
              <w:rPr>
                <w:rFonts w:ascii="Times New Roman" w:hAnsi="Times New Roman"/>
                <w:color w:val="000000"/>
                <w:sz w:val="18"/>
              </w:rPr>
              <w:t>-29.02</w:t>
            </w:r>
          </w:p>
        </w:tc>
        <w:tc>
          <w:tcPr>
            <w:tcW w:type="dxa" w:w="1337"/>
          </w:tcPr>
          <w:p>
            <w:pPr>
              <w:spacing w:line="276" w:lineRule="auto" w:before="40" w:after="40"/>
              <w:jc w:val="center"/>
            </w:pPr>
            <w:r>
              <w:rPr>
                <w:rFonts w:ascii="Times New Roman" w:hAnsi="Times New Roman"/>
                <w:color w:val="000000"/>
                <w:sz w:val="18"/>
              </w:rPr>
              <w:t>35.72</w:t>
            </w:r>
          </w:p>
        </w:tc>
        <w:tc>
          <w:tcPr>
            <w:tcW w:type="dxa" w:w="1337"/>
          </w:tcPr>
          <w:p>
            <w:pPr>
              <w:spacing w:line="276" w:lineRule="auto" w:before="40" w:after="40"/>
              <w:jc w:val="center"/>
            </w:pPr>
            <w:r>
              <w:rPr>
                <w:rFonts w:ascii="Times New Roman" w:hAnsi="Times New Roman"/>
                <w:color w:val="000000"/>
                <w:sz w:val="18"/>
              </w:rPr>
              <w:t>0.64</w:t>
            </w:r>
          </w:p>
        </w:tc>
        <w:tc>
          <w:tcPr>
            <w:tcW w:type="dxa" w:w="1337"/>
          </w:tcPr>
          <w:p>
            <w:pPr>
              <w:spacing w:line="276" w:lineRule="auto" w:before="40" w:after="40"/>
              <w:jc w:val="center"/>
            </w:pPr>
            <w:r>
              <w:rPr>
                <w:rFonts w:ascii="Times New Roman" w:hAnsi="Times New Roman"/>
                <w:color w:val="000000"/>
                <w:sz w:val="18"/>
              </w:rPr>
              <w:t>4.01</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0.264</w:t>
            </w:r>
          </w:p>
        </w:tc>
        <w:tc>
          <w:tcPr>
            <w:tcW w:type="dxa" w:w="1337"/>
          </w:tcPr>
          <w:p>
            <w:pPr>
              <w:spacing w:line="276" w:lineRule="auto" w:before="40" w:after="40"/>
              <w:jc w:val="center"/>
            </w:pPr>
            <w:r>
              <w:rPr>
                <w:rFonts w:ascii="Times New Roman" w:hAnsi="Times New Roman"/>
                <w:color w:val="000000"/>
                <w:sz w:val="18"/>
              </w:rPr>
              <w:t>5.02</w:t>
            </w:r>
          </w:p>
        </w:tc>
        <w:tc>
          <w:tcPr>
            <w:tcW w:type="dxa" w:w="1337"/>
          </w:tcPr>
          <w:p>
            <w:pPr>
              <w:spacing w:line="276" w:lineRule="auto" w:before="40" w:after="40"/>
              <w:jc w:val="center"/>
            </w:pPr>
            <w:r>
              <w:rPr>
                <w:rFonts w:ascii="Times New Roman" w:hAnsi="Times New Roman"/>
                <w:color w:val="000000"/>
                <w:sz w:val="18"/>
              </w:rPr>
              <w:t>-29.18</w:t>
            </w:r>
          </w:p>
        </w:tc>
        <w:tc>
          <w:tcPr>
            <w:tcW w:type="dxa" w:w="1337"/>
          </w:tcPr>
          <w:p>
            <w:pPr>
              <w:spacing w:line="276" w:lineRule="auto" w:before="40" w:after="40"/>
              <w:jc w:val="center"/>
            </w:pPr>
            <w:r>
              <w:rPr>
                <w:rFonts w:ascii="Times New Roman" w:hAnsi="Times New Roman"/>
                <w:color w:val="000000"/>
                <w:sz w:val="18"/>
              </w:rPr>
              <w:t>26.90</w:t>
            </w:r>
          </w:p>
        </w:tc>
        <w:tc>
          <w:tcPr>
            <w:tcW w:type="dxa" w:w="1337"/>
          </w:tcPr>
          <w:p>
            <w:pPr>
              <w:spacing w:line="276" w:lineRule="auto" w:before="40" w:after="40"/>
              <w:jc w:val="center"/>
            </w:pPr>
            <w:r>
              <w:rPr>
                <w:rFonts w:ascii="Times New Roman" w:hAnsi="Times New Roman"/>
                <w:color w:val="000000"/>
                <w:sz w:val="18"/>
              </w:rPr>
              <w:t>-0.19</w:t>
            </w:r>
          </w:p>
        </w:tc>
        <w:tc>
          <w:tcPr>
            <w:tcW w:type="dxa" w:w="1337"/>
          </w:tcPr>
          <w:p>
            <w:pPr>
              <w:spacing w:line="276" w:lineRule="auto" w:before="40" w:after="40"/>
              <w:jc w:val="center"/>
            </w:pPr>
            <w:r>
              <w:rPr>
                <w:rFonts w:ascii="Times New Roman" w:hAnsi="Times New Roman"/>
                <w:color w:val="000000"/>
                <w:sz w:val="18"/>
              </w:rPr>
              <w:t>5.01</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0.120</w:t>
            </w:r>
          </w:p>
        </w:tc>
        <w:tc>
          <w:tcPr>
            <w:tcW w:type="dxa" w:w="1337"/>
          </w:tcPr>
          <w:p>
            <w:pPr>
              <w:spacing w:line="276" w:lineRule="auto" w:before="40" w:after="40"/>
              <w:jc w:val="center"/>
            </w:pPr>
            <w:r>
              <w:rPr>
                <w:rFonts w:ascii="Times New Roman" w:hAnsi="Times New Roman"/>
                <w:color w:val="000000"/>
                <w:sz w:val="18"/>
              </w:rPr>
              <w:t>5.93</w:t>
            </w:r>
          </w:p>
        </w:tc>
        <w:tc>
          <w:tcPr>
            <w:tcW w:type="dxa" w:w="1337"/>
          </w:tcPr>
          <w:p>
            <w:pPr>
              <w:spacing w:line="276" w:lineRule="auto" w:before="40" w:after="40"/>
              <w:jc w:val="center"/>
            </w:pPr>
            <w:r>
              <w:rPr>
                <w:rFonts w:ascii="Times New Roman" w:hAnsi="Times New Roman"/>
                <w:color w:val="000000"/>
                <w:sz w:val="18"/>
              </w:rPr>
              <w:t>-25.57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0.49</w:t>
            </w:r>
          </w:p>
        </w:tc>
        <w:tc>
          <w:tcPr>
            <w:tcW w:type="dxa" w:w="1337"/>
          </w:tcPr>
          <w:p>
            <w:pPr>
              <w:spacing w:line="276" w:lineRule="auto" w:before="40" w:after="40"/>
              <w:jc w:val="center"/>
            </w:pPr>
            <w:r>
              <w:rPr>
                <w:rFonts w:ascii="Times New Roman" w:hAnsi="Times New Roman"/>
                <w:color w:val="000000"/>
                <w:sz w:val="18"/>
              </w:rPr>
              <w:t>4.14</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0.217</w:t>
            </w:r>
          </w:p>
        </w:tc>
        <w:tc>
          <w:tcPr>
            <w:tcW w:type="dxa" w:w="1337"/>
          </w:tcPr>
          <w:p>
            <w:pPr>
              <w:spacing w:line="276" w:lineRule="auto" w:before="40" w:after="40"/>
              <w:jc w:val="center"/>
            </w:pPr>
            <w:r>
              <w:rPr>
                <w:rFonts w:ascii="Times New Roman" w:hAnsi="Times New Roman"/>
                <w:color w:val="000000"/>
                <w:sz w:val="18"/>
              </w:rPr>
              <w:t>5.85</w:t>
            </w:r>
          </w:p>
        </w:tc>
        <w:tc>
          <w:tcPr>
            <w:tcW w:type="dxa" w:w="1337"/>
          </w:tcPr>
          <w:p>
            <w:pPr>
              <w:spacing w:line="276" w:lineRule="auto" w:before="40" w:after="40"/>
              <w:jc w:val="center"/>
            </w:pPr>
            <w:r>
              <w:rPr>
                <w:rFonts w:ascii="Times New Roman" w:hAnsi="Times New Roman"/>
                <w:color w:val="000000"/>
                <w:sz w:val="18"/>
              </w:rPr>
              <w:t>-20.07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0.77</w:t>
            </w:r>
          </w:p>
        </w:tc>
        <w:tc>
          <w:tcPr>
            <w:tcW w:type="dxa" w:w="1337"/>
          </w:tcPr>
          <w:p>
            <w:pPr>
              <w:spacing w:line="276" w:lineRule="auto" w:before="40" w:after="40"/>
              <w:jc w:val="center"/>
            </w:pPr>
            <w:r>
              <w:rPr>
                <w:rFonts w:ascii="Times New Roman" w:hAnsi="Times New Roman"/>
                <w:color w:val="000000"/>
                <w:sz w:val="18"/>
              </w:rPr>
              <w:t>4.31</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0.181</w:t>
            </w:r>
          </w:p>
        </w:tc>
        <w:tc>
          <w:tcPr>
            <w:tcW w:type="dxa" w:w="1337"/>
          </w:tcPr>
          <w:p>
            <w:pPr>
              <w:spacing w:line="276" w:lineRule="auto" w:before="40" w:after="40"/>
              <w:jc w:val="center"/>
            </w:pPr>
            <w:r>
              <w:rPr>
                <w:rFonts w:ascii="Times New Roman" w:hAnsi="Times New Roman"/>
                <w:color w:val="000000"/>
                <w:sz w:val="18"/>
              </w:rPr>
              <w:t>5.65</w:t>
            </w:r>
          </w:p>
        </w:tc>
        <w:tc>
          <w:tcPr>
            <w:tcW w:type="dxa" w:w="1337"/>
          </w:tcPr>
          <w:p>
            <w:pPr>
              <w:spacing w:line="276" w:lineRule="auto" w:before="40" w:after="40"/>
              <w:jc w:val="center"/>
            </w:pPr>
            <w:r>
              <w:rPr>
                <w:rFonts w:ascii="Times New Roman" w:hAnsi="Times New Roman"/>
                <w:color w:val="000000"/>
                <w:sz w:val="18"/>
              </w:rPr>
              <w:t>-35.85</w:t>
            </w:r>
          </w:p>
        </w:tc>
        <w:tc>
          <w:tcPr>
            <w:tcW w:type="dxa" w:w="1337"/>
          </w:tcPr>
          <w:p>
            <w:pPr>
              <w:spacing w:line="276" w:lineRule="auto" w:before="40" w:after="40"/>
              <w:jc w:val="center"/>
            </w:pPr>
            <w:r>
              <w:rPr>
                <w:rFonts w:ascii="Times New Roman" w:hAnsi="Times New Roman"/>
                <w:color w:val="000000"/>
                <w:sz w:val="18"/>
              </w:rPr>
              <w:t>34.60</w:t>
            </w:r>
          </w:p>
        </w:tc>
        <w:tc>
          <w:tcPr>
            <w:tcW w:type="dxa" w:w="1337"/>
          </w:tcPr>
          <w:p>
            <w:pPr>
              <w:spacing w:line="276" w:lineRule="auto" w:before="40" w:after="40"/>
              <w:jc w:val="center"/>
            </w:pPr>
            <w:r>
              <w:rPr>
                <w:rFonts w:ascii="Times New Roman" w:hAnsi="Times New Roman"/>
                <w:color w:val="000000"/>
                <w:sz w:val="18"/>
              </w:rPr>
              <w:t>0.13</w:t>
            </w:r>
          </w:p>
        </w:tc>
        <w:tc>
          <w:tcPr>
            <w:tcW w:type="dxa" w:w="1337"/>
          </w:tcPr>
          <w:p>
            <w:pPr>
              <w:spacing w:line="276" w:lineRule="auto" w:before="40" w:after="40"/>
              <w:jc w:val="center"/>
            </w:pPr>
            <w:r>
              <w:rPr>
                <w:rFonts w:ascii="Times New Roman" w:hAnsi="Times New Roman"/>
                <w:color w:val="000000"/>
                <w:sz w:val="18"/>
              </w:rPr>
              <w:t>5.15</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0.225</w:t>
            </w:r>
          </w:p>
        </w:tc>
        <w:tc>
          <w:tcPr>
            <w:tcW w:type="dxa" w:w="1337"/>
          </w:tcPr>
          <w:p>
            <w:pPr>
              <w:spacing w:line="276" w:lineRule="auto" w:before="40" w:after="40"/>
              <w:jc w:val="center"/>
            </w:pPr>
            <w:r>
              <w:rPr>
                <w:rFonts w:ascii="Times New Roman" w:hAnsi="Times New Roman"/>
                <w:color w:val="000000"/>
                <w:sz w:val="18"/>
              </w:rPr>
              <w:t>8.77</w:t>
            </w:r>
          </w:p>
        </w:tc>
        <w:tc>
          <w:tcPr>
            <w:tcW w:type="dxa" w:w="1337"/>
          </w:tcPr>
          <w:p>
            <w:pPr>
              <w:spacing w:line="276" w:lineRule="auto" w:before="40" w:after="40"/>
              <w:jc w:val="center"/>
            </w:pPr>
            <w:r>
              <w:rPr>
                <w:rFonts w:ascii="Times New Roman" w:hAnsi="Times New Roman"/>
                <w:color w:val="000000"/>
                <w:sz w:val="18"/>
              </w:rPr>
              <w:t>-127.16</w:t>
            </w:r>
          </w:p>
        </w:tc>
        <w:tc>
          <w:tcPr>
            <w:tcW w:type="dxa" w:w="1337"/>
          </w:tcPr>
          <w:p>
            <w:pPr>
              <w:spacing w:line="276" w:lineRule="auto" w:before="40" w:after="40"/>
              <w:jc w:val="center"/>
            </w:pPr>
            <w:r>
              <w:rPr>
                <w:rFonts w:ascii="Times New Roman" w:hAnsi="Times New Roman"/>
                <w:color w:val="000000"/>
                <w:sz w:val="18"/>
              </w:rPr>
              <w:t>103.22</w:t>
            </w:r>
          </w:p>
        </w:tc>
        <w:tc>
          <w:tcPr>
            <w:tcW w:type="dxa" w:w="1337"/>
          </w:tcPr>
          <w:p>
            <w:pPr>
              <w:spacing w:line="276" w:lineRule="auto" w:before="40" w:after="40"/>
              <w:jc w:val="center"/>
            </w:pPr>
            <w:r>
              <w:rPr>
                <w:rFonts w:ascii="Times New Roman" w:hAnsi="Times New Roman"/>
                <w:color w:val="000000"/>
                <w:sz w:val="18"/>
              </w:rPr>
              <w:t>-1.55</w:t>
            </w:r>
          </w:p>
        </w:tc>
        <w:tc>
          <w:tcPr>
            <w:tcW w:type="dxa" w:w="1337"/>
          </w:tcPr>
          <w:p>
            <w:pPr>
              <w:spacing w:line="276" w:lineRule="auto" w:before="40" w:after="40"/>
              <w:jc w:val="center"/>
            </w:pPr>
            <w:r>
              <w:rPr>
                <w:rFonts w:ascii="Times New Roman" w:hAnsi="Times New Roman"/>
                <w:color w:val="000000"/>
                <w:sz w:val="18"/>
              </w:rPr>
              <w:t>75.04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0.370</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-27.79</w:t>
            </w:r>
          </w:p>
        </w:tc>
        <w:tc>
          <w:tcPr>
            <w:tcW w:type="dxa" w:w="1337"/>
          </w:tcPr>
          <w:p>
            <w:pPr>
              <w:spacing w:line="276" w:lineRule="auto" w:before="40" w:after="40"/>
              <w:jc w:val="center"/>
            </w:pPr>
            <w:r>
              <w:rPr>
                <w:rFonts w:ascii="Times New Roman" w:hAnsi="Times New Roman"/>
                <w:color w:val="000000"/>
                <w:sz w:val="18"/>
              </w:rPr>
              <w:t>34.92</w:t>
            </w:r>
          </w:p>
        </w:tc>
        <w:tc>
          <w:tcPr>
            <w:tcW w:type="dxa" w:w="1337"/>
          </w:tcPr>
          <w:p>
            <w:pPr>
              <w:spacing w:line="276" w:lineRule="auto" w:before="40" w:after="40"/>
              <w:jc w:val="center"/>
            </w:pPr>
            <w:r>
              <w:rPr>
                <w:rFonts w:ascii="Times New Roman" w:hAnsi="Times New Roman"/>
                <w:color w:val="000000"/>
                <w:sz w:val="18"/>
              </w:rPr>
              <w:t>0.42</w:t>
            </w:r>
          </w:p>
        </w:tc>
        <w:tc>
          <w:tcPr>
            <w:tcW w:type="dxa" w:w="1337"/>
          </w:tcPr>
          <w:p>
            <w:pPr>
              <w:spacing w:line="276" w:lineRule="auto" w:before="40" w:after="40"/>
              <w:jc w:val="center"/>
            </w:pPr>
            <w:r>
              <w:rPr>
                <w:rFonts w:ascii="Times New Roman" w:hAnsi="Times New Roman"/>
                <w:color w:val="000000"/>
                <w:sz w:val="18"/>
              </w:rPr>
              <w:t>3.13</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0.356</w:t>
            </w:r>
          </w:p>
        </w:tc>
        <w:tc>
          <w:tcPr>
            <w:tcW w:type="dxa" w:w="1337"/>
          </w:tcPr>
          <w:p>
            <w:pPr>
              <w:spacing w:line="276" w:lineRule="auto" w:before="40" w:after="40"/>
              <w:jc w:val="center"/>
            </w:pPr>
            <w:r>
              <w:rPr>
                <w:rFonts w:ascii="Times New Roman" w:hAnsi="Times New Roman"/>
                <w:color w:val="000000"/>
                <w:sz w:val="18"/>
              </w:rPr>
              <w:t>6.38</w:t>
            </w:r>
          </w:p>
        </w:tc>
        <w:tc>
          <w:tcPr>
            <w:tcW w:type="dxa" w:w="1337"/>
          </w:tcPr>
          <w:p>
            <w:pPr>
              <w:spacing w:line="276" w:lineRule="auto" w:before="40" w:after="40"/>
              <w:jc w:val="center"/>
            </w:pPr>
            <w:r>
              <w:rPr>
                <w:rFonts w:ascii="Times New Roman" w:hAnsi="Times New Roman"/>
                <w:color w:val="000000"/>
                <w:sz w:val="18"/>
              </w:rPr>
              <w:t>-31.44</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0.21</w:t>
            </w:r>
          </w:p>
        </w:tc>
        <w:tc>
          <w:tcPr>
            <w:tcW w:type="dxa" w:w="1337"/>
          </w:tcPr>
          <w:p>
            <w:pPr>
              <w:spacing w:line="276" w:lineRule="auto" w:before="40" w:after="40"/>
              <w:jc w:val="center"/>
            </w:pPr>
            <w:r>
              <w:rPr>
                <w:rFonts w:ascii="Times New Roman" w:hAnsi="Times New Roman"/>
                <w:color w:val="000000"/>
                <w:sz w:val="18"/>
              </w:rPr>
              <w:t>2.98</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0.271</w:t>
            </w:r>
          </w:p>
        </w:tc>
        <w:tc>
          <w:tcPr>
            <w:tcW w:type="dxa" w:w="1337"/>
          </w:tcPr>
          <w:p>
            <w:pPr>
              <w:spacing w:line="276" w:lineRule="auto" w:before="40" w:after="40"/>
              <w:jc w:val="center"/>
            </w:pPr>
            <w:r>
              <w:rPr>
                <w:rFonts w:ascii="Times New Roman" w:hAnsi="Times New Roman"/>
                <w:color w:val="000000"/>
                <w:sz w:val="18"/>
              </w:rPr>
              <w:t>4.37</w:t>
            </w:r>
          </w:p>
        </w:tc>
        <w:tc>
          <w:tcPr>
            <w:tcW w:type="dxa" w:w="1337"/>
          </w:tcPr>
          <w:p>
            <w:pPr>
              <w:spacing w:line="276" w:lineRule="auto" w:before="40" w:after="40"/>
              <w:jc w:val="center"/>
            </w:pPr>
            <w:r>
              <w:rPr>
                <w:rFonts w:ascii="Times New Roman" w:hAnsi="Times New Roman"/>
                <w:color w:val="000000"/>
                <w:sz w:val="18"/>
              </w:rPr>
              <w:t>-23.15</w:t>
            </w:r>
          </w:p>
        </w:tc>
        <w:tc>
          <w:tcPr>
            <w:tcW w:type="dxa" w:w="1337"/>
          </w:tcPr>
          <w:p>
            <w:pPr>
              <w:spacing w:line="276" w:lineRule="auto" w:before="40" w:after="40"/>
              <w:jc w:val="center"/>
            </w:pPr>
            <w:r>
              <w:rPr>
                <w:rFonts w:ascii="Times New Roman" w:hAnsi="Times New Roman"/>
                <w:color w:val="000000"/>
                <w:sz w:val="18"/>
              </w:rPr>
              <w:t>19.06</w:t>
            </w:r>
          </w:p>
        </w:tc>
        <w:tc>
          <w:tcPr>
            <w:tcW w:type="dxa" w:w="1337"/>
          </w:tcPr>
          <w:p>
            <w:pPr>
              <w:spacing w:line="276" w:lineRule="auto" w:before="40" w:after="40"/>
              <w:jc w:val="center"/>
            </w:pPr>
            <w:r>
              <w:rPr>
                <w:rFonts w:ascii="Times New Roman" w:hAnsi="Times New Roman"/>
                <w:color w:val="000000"/>
                <w:sz w:val="18"/>
              </w:rPr>
              <w:t>0.02</w:t>
            </w:r>
          </w:p>
        </w:tc>
        <w:tc>
          <w:tcPr>
            <w:tcW w:type="dxa" w:w="1337"/>
          </w:tcPr>
          <w:p>
            <w:pPr>
              <w:spacing w:line="276" w:lineRule="auto" w:before="40" w:after="40"/>
              <w:jc w:val="center"/>
            </w:pPr>
            <w:r>
              <w:rPr>
                <w:rFonts w:ascii="Times New Roman" w:hAnsi="Times New Roman"/>
                <w:color w:val="000000"/>
                <w:sz w:val="18"/>
              </w:rPr>
              <w:t>4.90</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w:t>
            </w:r>
          </w:p>
        </w:tc>
        <w:tc>
          <w:tcPr>
            <w:tcW w:type="dxa" w:w="1337"/>
          </w:tcPr>
          <w:p>
            <w:pPr>
              <w:spacing w:line="276" w:lineRule="auto" w:before="40" w:after="40"/>
              <w:jc w:val="center"/>
            </w:pPr>
            <w:r>
              <w:rPr>
                <w:rFonts w:ascii="Times New Roman" w:hAnsi="Times New Roman"/>
                <w:color w:val="000000"/>
                <w:sz w:val="18"/>
              </w:rPr>
              <w:t>5.71</w:t>
            </w:r>
          </w:p>
        </w:tc>
        <w:tc>
          <w:tcPr>
            <w:tcW w:type="dxa" w:w="1337"/>
          </w:tcPr>
          <w:p>
            <w:pPr>
              <w:spacing w:line="276" w:lineRule="auto" w:before="40" w:after="40"/>
              <w:jc w:val="center"/>
            </w:pPr>
            <w:r>
              <w:rPr>
                <w:rFonts w:ascii="Times New Roman" w:hAnsi="Times New Roman"/>
                <w:color w:val="000000"/>
                <w:sz w:val="18"/>
              </w:rPr>
              <w:t>-37.65</w:t>
            </w:r>
          </w:p>
        </w:tc>
        <w:tc>
          <w:tcPr>
            <w:tcW w:type="dxa" w:w="1337"/>
          </w:tcPr>
          <w:p>
            <w:pPr>
              <w:spacing w:line="276" w:lineRule="auto" w:before="40" w:after="40"/>
              <w:jc w:val="center"/>
            </w:pPr>
            <w:r>
              <w:rPr>
                <w:rFonts w:ascii="Times New Roman" w:hAnsi="Times New Roman"/>
                <w:color w:val="000000"/>
                <w:sz w:val="18"/>
              </w:rPr>
              <w:t>37.68</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5.78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0.554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-20.46</w:t>
            </w:r>
          </w:p>
        </w:tc>
        <w:tc>
          <w:tcPr>
            <w:tcW w:type="dxa" w:w="1337"/>
          </w:tcPr>
          <w:p>
            <w:pPr>
              <w:spacing w:line="276" w:lineRule="auto" w:before="40" w:after="40"/>
              <w:jc w:val="center"/>
            </w:pPr>
            <w:r>
              <w:rPr>
                <w:rFonts w:ascii="Times New Roman" w:hAnsi="Times New Roman"/>
                <w:color w:val="000000"/>
                <w:sz w:val="18"/>
              </w:rPr>
              <w:t>27.03</w:t>
            </w:r>
          </w:p>
        </w:tc>
        <w:tc>
          <w:tcPr>
            <w:tcW w:type="dxa" w:w="1337"/>
          </w:tcPr>
          <w:p>
            <w:pPr>
              <w:spacing w:line="276" w:lineRule="auto" w:before="40" w:after="40"/>
              <w:jc w:val="center"/>
            </w:pPr>
            <w:r>
              <w:rPr>
                <w:rFonts w:ascii="Times New Roman" w:hAnsi="Times New Roman"/>
                <w:color w:val="000000"/>
                <w:sz w:val="18"/>
              </w:rPr>
              <w:t>0.46</w:t>
            </w:r>
          </w:p>
        </w:tc>
        <w:tc>
          <w:tcPr>
            <w:tcW w:type="dxa" w:w="1337"/>
          </w:tcPr>
          <w:p>
            <w:pPr>
              <w:spacing w:line="276" w:lineRule="auto" w:before="40" w:after="40"/>
              <w:jc w:val="center"/>
            </w:pPr>
            <w:r>
              <w:rPr>
                <w:rFonts w:ascii="Times New Roman" w:hAnsi="Times New Roman"/>
                <w:color w:val="000000"/>
                <w:sz w:val="18"/>
              </w:rPr>
              <w:t>3.22</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0.672</w:t>
            </w:r>
          </w:p>
        </w:tc>
        <w:tc>
          <w:tcPr>
            <w:tcW w:type="dxa" w:w="1337"/>
          </w:tcPr>
          <w:p>
            <w:pPr>
              <w:spacing w:line="276" w:lineRule="auto" w:before="40" w:after="40"/>
              <w:jc w:val="center"/>
            </w:pPr>
            <w:r>
              <w:rPr>
                <w:rFonts w:ascii="Times New Roman" w:hAnsi="Times New Roman"/>
                <w:color w:val="000000"/>
                <w:sz w:val="18"/>
              </w:rPr>
              <w:t>5.48</w:t>
            </w:r>
          </w:p>
        </w:tc>
        <w:tc>
          <w:tcPr>
            <w:tcW w:type="dxa" w:w="1337"/>
          </w:tcPr>
          <w:p>
            <w:pPr>
              <w:spacing w:line="276" w:lineRule="auto" w:before="40" w:after="40"/>
              <w:jc w:val="center"/>
            </w:pPr>
            <w:r>
              <w:rPr>
                <w:rFonts w:ascii="Times New Roman" w:hAnsi="Times New Roman"/>
                <w:color w:val="000000"/>
                <w:sz w:val="18"/>
              </w:rPr>
              <w:t>-25.36</w:t>
            </w:r>
          </w:p>
        </w:tc>
        <w:tc>
          <w:tcPr>
            <w:tcW w:type="dxa" w:w="1337"/>
          </w:tcPr>
          <w:p>
            <w:pPr>
              <w:spacing w:line="276" w:lineRule="auto" w:before="40" w:after="40"/>
              <w:jc w:val="center"/>
            </w:pPr>
            <w:r>
              <w:rPr>
                <w:rFonts w:ascii="Times New Roman" w:hAnsi="Times New Roman"/>
                <w:color w:val="000000"/>
                <w:sz w:val="18"/>
              </w:rPr>
              <w:t>23.38</w:t>
            </w:r>
          </w:p>
        </w:tc>
        <w:tc>
          <w:tcPr>
            <w:tcW w:type="dxa" w:w="1337"/>
          </w:tcPr>
          <w:p>
            <w:pPr>
              <w:spacing w:line="276" w:lineRule="auto" w:before="40" w:after="40"/>
              <w:jc w:val="center"/>
            </w:pPr>
            <w:r>
              <w:rPr>
                <w:rFonts w:ascii="Times New Roman" w:hAnsi="Times New Roman"/>
                <w:color w:val="000000"/>
                <w:sz w:val="18"/>
              </w:rPr>
              <w:t>0.44</w:t>
            </w:r>
          </w:p>
        </w:tc>
        <w:tc>
          <w:tcPr>
            <w:tcW w:type="dxa" w:w="1337"/>
          </w:tcPr>
          <w:p>
            <w:pPr>
              <w:spacing w:line="276" w:lineRule="auto" w:before="40" w:after="40"/>
              <w:jc w:val="center"/>
            </w:pPr>
            <w:r>
              <w:rPr>
                <w:rFonts w:ascii="Times New Roman" w:hAnsi="Times New Roman"/>
                <w:color w:val="000000"/>
                <w:sz w:val="18"/>
              </w:rPr>
              <w:t>2.94</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0.244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-20.91</w:t>
            </w:r>
          </w:p>
        </w:tc>
        <w:tc>
          <w:tcPr>
            <w:tcW w:type="dxa" w:w="1337"/>
          </w:tcPr>
          <w:p>
            <w:pPr>
              <w:spacing w:line="276" w:lineRule="auto" w:before="40" w:after="40"/>
              <w:jc w:val="center"/>
            </w:pPr>
            <w:r>
              <w:rPr>
                <w:rFonts w:ascii="Times New Roman" w:hAnsi="Times New Roman"/>
                <w:color w:val="000000"/>
                <w:sz w:val="18"/>
              </w:rPr>
              <w:t>26.22</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3.24</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0.199</w:t>
            </w:r>
          </w:p>
        </w:tc>
        <w:tc>
          <w:tcPr>
            <w:tcW w:type="dxa" w:w="1337"/>
          </w:tcPr>
          <w:p>
            <w:pPr>
              <w:spacing w:line="276" w:lineRule="auto" w:before="40" w:after="40"/>
              <w:jc w:val="center"/>
            </w:pPr>
            <w:r>
              <w:rPr>
                <w:rFonts w:ascii="Times New Roman" w:hAnsi="Times New Roman"/>
                <w:color w:val="000000"/>
                <w:sz w:val="18"/>
              </w:rPr>
              <w:t>6.95</w:t>
            </w:r>
          </w:p>
        </w:tc>
        <w:tc>
          <w:tcPr>
            <w:tcW w:type="dxa" w:w="1337"/>
          </w:tcPr>
          <w:p>
            <w:pPr>
              <w:spacing w:line="276" w:lineRule="auto" w:before="40" w:after="40"/>
              <w:jc w:val="center"/>
            </w:pPr>
            <w:r>
              <w:rPr>
                <w:rFonts w:ascii="Times New Roman" w:hAnsi="Times New Roman"/>
                <w:color w:val="000000"/>
                <w:sz w:val="18"/>
              </w:rPr>
              <w:t>-34.94</w:t>
            </w:r>
          </w:p>
        </w:tc>
        <w:tc>
          <w:tcPr>
            <w:tcW w:type="dxa" w:w="1337"/>
          </w:tcPr>
          <w:p>
            <w:pPr>
              <w:spacing w:line="276" w:lineRule="auto" w:before="40" w:after="40"/>
              <w:jc w:val="center"/>
            </w:pPr>
            <w:r>
              <w:rPr>
                <w:rFonts w:ascii="Times New Roman" w:hAnsi="Times New Roman"/>
                <w:color w:val="000000"/>
                <w:sz w:val="18"/>
              </w:rPr>
              <w:t>30.35</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3.74</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0.538</w:t>
            </w:r>
          </w:p>
        </w:tc>
        <w:tc>
          <w:tcPr>
            <w:tcW w:type="dxa" w:w="1337"/>
          </w:tcPr>
          <w:p>
            <w:pPr>
              <w:spacing w:line="276" w:lineRule="auto" w:before="40" w:after="40"/>
              <w:jc w:val="center"/>
            </w:pPr>
            <w:r>
              <w:rPr>
                <w:rFonts w:ascii="Times New Roman" w:hAnsi="Times New Roman"/>
                <w:color w:val="000000"/>
                <w:sz w:val="18"/>
              </w:rPr>
              <w:t>10.20</w:t>
            </w:r>
          </w:p>
        </w:tc>
        <w:tc>
          <w:tcPr>
            <w:tcW w:type="dxa" w:w="1337"/>
          </w:tcPr>
          <w:p>
            <w:pPr>
              <w:spacing w:line="276" w:lineRule="auto" w:before="40" w:after="40"/>
              <w:jc w:val="center"/>
            </w:pPr>
            <w:r>
              <w:rPr>
                <w:rFonts w:ascii="Times New Roman" w:hAnsi="Times New Roman"/>
                <w:color w:val="000000"/>
                <w:sz w:val="18"/>
              </w:rPr>
              <w:t>-50.01</w:t>
            </w:r>
          </w:p>
        </w:tc>
        <w:tc>
          <w:tcPr>
            <w:tcW w:type="dxa" w:w="1337"/>
          </w:tcPr>
          <w:p>
            <w:pPr>
              <w:spacing w:line="276" w:lineRule="auto" w:before="40" w:after="40"/>
              <w:jc w:val="center"/>
            </w:pPr>
            <w:r>
              <w:rPr>
                <w:rFonts w:ascii="Times New Roman" w:hAnsi="Times New Roman"/>
                <w:color w:val="000000"/>
                <w:sz w:val="18"/>
              </w:rPr>
              <w:t>139.61</w:t>
            </w:r>
          </w:p>
        </w:tc>
        <w:tc>
          <w:tcPr>
            <w:tcW w:type="dxa" w:w="1337"/>
          </w:tcPr>
          <w:p>
            <w:pPr>
              <w:spacing w:line="276" w:lineRule="auto" w:before="40" w:after="40"/>
              <w:jc w:val="center"/>
            </w:pPr>
            <w:r>
              <w:rPr>
                <w:rFonts w:ascii="Times New Roman" w:hAnsi="Times New Roman"/>
                <w:color w:val="000000"/>
                <w:sz w:val="18"/>
              </w:rPr>
              <w:t>3.41</w:t>
            </w:r>
          </w:p>
        </w:tc>
        <w:tc>
          <w:tcPr>
            <w:tcW w:type="dxa" w:w="1337"/>
          </w:tcPr>
          <w:p>
            <w:pPr>
              <w:spacing w:line="276" w:lineRule="auto" w:before="40" w:after="40"/>
              <w:jc w:val="center"/>
            </w:pPr>
            <w:r>
              <w:rPr>
                <w:rFonts w:ascii="Times New Roman" w:hAnsi="Times New Roman"/>
                <w:color w:val="000000"/>
                <w:sz w:val="18"/>
              </w:rPr>
              <w:t>43.07</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0.156</w:t>
            </w:r>
          </w:p>
        </w:tc>
        <w:tc>
          <w:tcPr>
            <w:tcW w:type="dxa" w:w="1337"/>
          </w:tcPr>
          <w:p>
            <w:pPr>
              <w:spacing w:line="276" w:lineRule="auto" w:before="40" w:after="40"/>
              <w:jc w:val="center"/>
            </w:pPr>
            <w:r>
              <w:rPr>
                <w:rFonts w:ascii="Times New Roman" w:hAnsi="Times New Roman"/>
                <w:color w:val="000000"/>
                <w:sz w:val="18"/>
              </w:rPr>
              <w:t>6.71</w:t>
            </w:r>
          </w:p>
        </w:tc>
        <w:tc>
          <w:tcPr>
            <w:tcW w:type="dxa" w:w="1337"/>
          </w:tcPr>
          <w:p>
            <w:pPr>
              <w:spacing w:line="276" w:lineRule="auto" w:before="40" w:after="40"/>
              <w:jc w:val="center"/>
            </w:pPr>
            <w:r>
              <w:rPr>
                <w:rFonts w:ascii="Times New Roman" w:hAnsi="Times New Roman"/>
                <w:color w:val="000000"/>
                <w:sz w:val="18"/>
              </w:rPr>
              <w:t>-31.59</w:t>
            </w:r>
          </w:p>
        </w:tc>
        <w:tc>
          <w:tcPr>
            <w:tcW w:type="dxa" w:w="1337"/>
          </w:tcPr>
          <w:p>
            <w:pPr>
              <w:spacing w:line="276" w:lineRule="auto" w:before="40" w:after="40"/>
              <w:jc w:val="center"/>
            </w:pPr>
            <w:r>
              <w:rPr>
                <w:rFonts w:ascii="Times New Roman" w:hAnsi="Times New Roman"/>
                <w:color w:val="000000"/>
                <w:sz w:val="18"/>
              </w:rPr>
              <w:t>47.43</w:t>
            </w:r>
          </w:p>
        </w:tc>
        <w:tc>
          <w:tcPr>
            <w:tcW w:type="dxa" w:w="1337"/>
          </w:tcPr>
          <w:p>
            <w:pPr>
              <w:spacing w:line="276" w:lineRule="auto" w:before="40" w:after="40"/>
              <w:jc w:val="center"/>
            </w:pPr>
            <w:r>
              <w:rPr>
                <w:rFonts w:ascii="Times New Roman" w:hAnsi="Times New Roman"/>
                <w:color w:val="000000"/>
                <w:sz w:val="18"/>
              </w:rPr>
              <w:t>0.38</w:t>
            </w:r>
          </w:p>
        </w:tc>
        <w:tc>
          <w:tcPr>
            <w:tcW w:type="dxa" w:w="1337"/>
          </w:tcPr>
          <w:p>
            <w:pPr>
              <w:spacing w:line="276" w:lineRule="auto" w:before="40" w:after="40"/>
              <w:jc w:val="center"/>
            </w:pPr>
            <w:r>
              <w:rPr>
                <w:rFonts w:ascii="Times New Roman" w:hAnsi="Times New Roman"/>
                <w:color w:val="000000"/>
                <w:sz w:val="18"/>
              </w:rPr>
              <w:t>4.74</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0.216</w:t>
            </w:r>
          </w:p>
        </w:tc>
        <w:tc>
          <w:tcPr>
            <w:tcW w:type="dxa" w:w="1337"/>
          </w:tcPr>
          <w:p>
            <w:pPr>
              <w:spacing w:line="276" w:lineRule="auto" w:before="40" w:after="40"/>
              <w:jc w:val="center"/>
            </w:pPr>
            <w:r>
              <w:rPr>
                <w:rFonts w:ascii="Times New Roman" w:hAnsi="Times New Roman"/>
                <w:color w:val="000000"/>
                <w:sz w:val="18"/>
              </w:rPr>
              <w:t>6.18</w:t>
            </w:r>
          </w:p>
        </w:tc>
        <w:tc>
          <w:tcPr>
            <w:tcW w:type="dxa" w:w="1337"/>
          </w:tcPr>
          <w:p>
            <w:pPr>
              <w:spacing w:line="276" w:lineRule="auto" w:before="40" w:after="40"/>
              <w:jc w:val="center"/>
            </w:pPr>
            <w:r>
              <w:rPr>
                <w:rFonts w:ascii="Times New Roman" w:hAnsi="Times New Roman"/>
                <w:color w:val="000000"/>
                <w:sz w:val="18"/>
              </w:rPr>
              <w:t>-21.67</w:t>
            </w:r>
          </w:p>
        </w:tc>
        <w:tc>
          <w:tcPr>
            <w:tcW w:type="dxa" w:w="1337"/>
          </w:tcPr>
          <w:p>
            <w:pPr>
              <w:spacing w:line="276" w:lineRule="auto" w:before="40" w:after="40"/>
              <w:jc w:val="center"/>
            </w:pPr>
            <w:r>
              <w:rPr>
                <w:rFonts w:ascii="Times New Roman" w:hAnsi="Times New Roman"/>
                <w:color w:val="000000"/>
                <w:sz w:val="18"/>
              </w:rPr>
              <w:t>29.45</w:t>
            </w:r>
          </w:p>
        </w:tc>
        <w:tc>
          <w:tcPr>
            <w:tcW w:type="dxa" w:w="1337"/>
          </w:tcPr>
          <w:p>
            <w:pPr>
              <w:spacing w:line="276" w:lineRule="auto" w:before="40" w:after="40"/>
              <w:jc w:val="center"/>
            </w:pPr>
            <w:r>
              <w:rPr>
                <w:rFonts w:ascii="Times New Roman" w:hAnsi="Times New Roman"/>
                <w:color w:val="000000"/>
                <w:sz w:val="18"/>
              </w:rPr>
              <w:t>0.35</w:t>
            </w:r>
          </w:p>
        </w:tc>
        <w:tc>
          <w:tcPr>
            <w:tcW w:type="dxa" w:w="1337"/>
          </w:tcPr>
          <w:p>
            <w:pPr>
              <w:spacing w:line="276" w:lineRule="auto" w:before="40" w:after="40"/>
              <w:jc w:val="center"/>
            </w:pPr>
            <w:r>
              <w:rPr>
                <w:rFonts w:ascii="Times New Roman" w:hAnsi="Times New Roman"/>
                <w:color w:val="000000"/>
                <w:sz w:val="18"/>
              </w:rPr>
              <w:t>2.82</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0.147</w:t>
            </w:r>
          </w:p>
        </w:tc>
        <w:tc>
          <w:tcPr>
            <w:tcW w:type="dxa" w:w="1337"/>
          </w:tcPr>
          <w:p>
            <w:pPr>
              <w:spacing w:line="276" w:lineRule="auto" w:before="40" w:after="40"/>
              <w:jc w:val="center"/>
            </w:pPr>
            <w:r>
              <w:rPr>
                <w:rFonts w:ascii="Times New Roman" w:hAnsi="Times New Roman"/>
                <w:color w:val="000000"/>
                <w:sz w:val="18"/>
              </w:rPr>
              <w:t>5.84</w:t>
            </w:r>
          </w:p>
        </w:tc>
        <w:tc>
          <w:tcPr>
            <w:tcW w:type="dxa" w:w="1337"/>
          </w:tcPr>
          <w:p>
            <w:pPr>
              <w:spacing w:line="276" w:lineRule="auto" w:before="40" w:after="40"/>
              <w:jc w:val="center"/>
            </w:pPr>
            <w:r>
              <w:rPr>
                <w:rFonts w:ascii="Times New Roman" w:hAnsi="Times New Roman"/>
                <w:color w:val="000000"/>
                <w:sz w:val="18"/>
              </w:rPr>
              <w:t>-30.91</w:t>
            </w:r>
          </w:p>
        </w:tc>
        <w:tc>
          <w:tcPr>
            <w:tcW w:type="dxa" w:w="1337"/>
          </w:tcPr>
          <w:p>
            <w:pPr>
              <w:spacing w:line="276" w:lineRule="auto" w:before="40" w:after="40"/>
              <w:jc w:val="center"/>
            </w:pPr>
            <w:r>
              <w:rPr>
                <w:rFonts w:ascii="Times New Roman" w:hAnsi="Times New Roman"/>
                <w:color w:val="000000"/>
                <w:sz w:val="18"/>
              </w:rPr>
              <w:t>29.16</w:t>
            </w:r>
          </w:p>
        </w:tc>
        <w:tc>
          <w:tcPr>
            <w:tcW w:type="dxa" w:w="1337"/>
          </w:tcPr>
          <w:p>
            <w:pPr>
              <w:spacing w:line="276" w:lineRule="auto" w:before="40" w:after="40"/>
              <w:jc w:val="center"/>
            </w:pPr>
            <w:r>
              <w:rPr>
                <w:rFonts w:ascii="Times New Roman" w:hAnsi="Times New Roman"/>
                <w:color w:val="000000"/>
                <w:sz w:val="18"/>
              </w:rPr>
              <w:t>-0.04</w:t>
            </w:r>
          </w:p>
        </w:tc>
        <w:tc>
          <w:tcPr>
            <w:tcW w:type="dxa" w:w="1337"/>
          </w:tcPr>
          <w:p>
            <w:pPr>
              <w:spacing w:line="276" w:lineRule="auto" w:before="40" w:after="40"/>
              <w:jc w:val="center"/>
            </w:pPr>
            <w:r>
              <w:rPr>
                <w:rFonts w:ascii="Times New Roman" w:hAnsi="Times New Roman"/>
                <w:color w:val="000000"/>
                <w:sz w:val="18"/>
              </w:rPr>
              <w:t>3.30</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0.350</w:t>
            </w:r>
          </w:p>
        </w:tc>
        <w:tc>
          <w:tcPr>
            <w:tcW w:type="dxa" w:w="1337"/>
          </w:tcPr>
          <w:p>
            <w:pPr>
              <w:spacing w:line="276" w:lineRule="auto" w:before="40" w:after="40"/>
              <w:jc w:val="center"/>
            </w:pPr>
            <w:r>
              <w:rPr>
                <w:rFonts w:ascii="Times New Roman" w:hAnsi="Times New Roman"/>
                <w:color w:val="000000"/>
                <w:sz w:val="18"/>
              </w:rPr>
              <w:t>8.60</w:t>
            </w:r>
          </w:p>
        </w:tc>
        <w:tc>
          <w:tcPr>
            <w:tcW w:type="dxa" w:w="1337"/>
          </w:tcPr>
          <w:p>
            <w:pPr>
              <w:spacing w:line="276" w:lineRule="auto" w:before="40" w:after="40"/>
              <w:jc w:val="center"/>
            </w:pPr>
            <w:r>
              <w:rPr>
                <w:rFonts w:ascii="Times New Roman" w:hAnsi="Times New Roman"/>
                <w:color w:val="000000"/>
                <w:sz w:val="18"/>
              </w:rPr>
              <w:t>-33.00</w:t>
            </w:r>
          </w:p>
        </w:tc>
        <w:tc>
          <w:tcPr>
            <w:tcW w:type="dxa" w:w="1337"/>
          </w:tcPr>
          <w:p>
            <w:pPr>
              <w:spacing w:line="276" w:lineRule="auto" w:before="40" w:after="40"/>
              <w:jc w:val="center"/>
            </w:pPr>
            <w:r>
              <w:rPr>
                <w:rFonts w:ascii="Times New Roman" w:hAnsi="Times New Roman"/>
                <w:color w:val="000000"/>
                <w:sz w:val="18"/>
              </w:rPr>
              <w:t>106.29</w:t>
            </w:r>
          </w:p>
        </w:tc>
        <w:tc>
          <w:tcPr>
            <w:tcW w:type="dxa" w:w="1337"/>
          </w:tcPr>
          <w:p>
            <w:pPr>
              <w:spacing w:line="276" w:lineRule="auto" w:before="40" w:after="40"/>
              <w:jc w:val="center"/>
            </w:pPr>
            <w:r>
              <w:rPr>
                <w:rFonts w:ascii="Times New Roman" w:hAnsi="Times New Roman"/>
                <w:color w:val="000000"/>
                <w:sz w:val="18"/>
              </w:rPr>
              <w:t>2.86</w:t>
            </w:r>
          </w:p>
        </w:tc>
        <w:tc>
          <w:tcPr>
            <w:tcW w:type="dxa" w:w="1337"/>
          </w:tcPr>
          <w:p>
            <w:pPr>
              <w:spacing w:line="276" w:lineRule="auto" w:before="40" w:after="40"/>
              <w:jc w:val="center"/>
            </w:pPr>
            <w:r>
              <w:rPr>
                <w:rFonts w:ascii="Times New Roman" w:hAnsi="Times New Roman"/>
                <w:color w:val="000000"/>
                <w:sz w:val="18"/>
              </w:rPr>
              <w:t>29.82</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0.205</w:t>
            </w:r>
          </w:p>
        </w:tc>
        <w:tc>
          <w:tcPr>
            <w:tcW w:type="dxa" w:w="1337"/>
          </w:tcPr>
          <w:p>
            <w:pPr>
              <w:spacing w:line="276" w:lineRule="auto" w:before="40" w:after="40"/>
              <w:jc w:val="center"/>
            </w:pPr>
            <w:r>
              <w:rPr>
                <w:rFonts w:ascii="Times New Roman" w:hAnsi="Times New Roman"/>
                <w:color w:val="000000"/>
                <w:sz w:val="18"/>
              </w:rPr>
              <w:t>5.28</w:t>
            </w:r>
          </w:p>
        </w:tc>
        <w:tc>
          <w:tcPr>
            <w:tcW w:type="dxa" w:w="1337"/>
          </w:tcPr>
          <w:p>
            <w:pPr>
              <w:spacing w:line="276" w:lineRule="auto" w:before="40" w:after="40"/>
              <w:jc w:val="center"/>
            </w:pPr>
            <w:r>
              <w:rPr>
                <w:rFonts w:ascii="Times New Roman" w:hAnsi="Times New Roman"/>
                <w:color w:val="000000"/>
                <w:sz w:val="18"/>
              </w:rPr>
              <w:t>-45.70</w:t>
            </w:r>
          </w:p>
        </w:tc>
        <w:tc>
          <w:tcPr>
            <w:tcW w:type="dxa" w:w="1337"/>
          </w:tcPr>
          <w:p>
            <w:pPr>
              <w:spacing w:line="276" w:lineRule="auto" w:before="40" w:after="40"/>
              <w:jc w:val="center"/>
            </w:pPr>
            <w:r>
              <w:rPr>
                <w:rFonts w:ascii="Times New Roman" w:hAnsi="Times New Roman"/>
                <w:color w:val="000000"/>
                <w:sz w:val="18"/>
              </w:rPr>
              <w:t>28.17</w:t>
            </w:r>
          </w:p>
        </w:tc>
        <w:tc>
          <w:tcPr>
            <w:tcW w:type="dxa" w:w="1337"/>
          </w:tcPr>
          <w:p>
            <w:pPr>
              <w:spacing w:line="276" w:lineRule="auto" w:before="40" w:after="40"/>
              <w:jc w:val="center"/>
            </w:pPr>
            <w:r>
              <w:rPr>
                <w:rFonts w:ascii="Times New Roman" w:hAnsi="Times New Roman"/>
                <w:color w:val="000000"/>
                <w:sz w:val="18"/>
              </w:rPr>
              <w:t>-0.80</w:t>
            </w:r>
          </w:p>
        </w:tc>
        <w:tc>
          <w:tcPr>
            <w:tcW w:type="dxa" w:w="1337"/>
          </w:tcPr>
          <w:p>
            <w:pPr>
              <w:spacing w:line="276" w:lineRule="auto" w:before="40" w:after="40"/>
              <w:jc w:val="center"/>
            </w:pPr>
            <w:r>
              <w:rPr>
                <w:rFonts w:ascii="Times New Roman" w:hAnsi="Times New Roman"/>
                <w:color w:val="000000"/>
                <w:sz w:val="18"/>
              </w:rPr>
              <w:t>9.92</w:t>
            </w:r>
          </w:p>
        </w:tc>
      </w:tr>
    </w:tbl>
    <w:p>
      <w:pPr>
        <w:spacing w:after="120"/>
      </w:pPr>
    </w:p>
    <w:p>
      <w:pPr>
        <w:spacing w:line="480" w:lineRule="auto" w:before="0" w:after="0"/>
        <w:jc w:val="left"/>
      </w:pPr>
      <w:r>
        <w:rPr>
          <w:rFonts w:ascii="Times New Roman" w:hAnsi="Times New Roman"/>
          <w:i/>
          <w:color w:val="000000"/>
          <w:sz w:val="20"/>
        </w:rPr>
        <w:t>Source: Author's computation (2026). Note: Kurtosis represents excess kurtosis across all 28 assets.</w:t>
      </w:r>
    </w:p>
    <w:p>
      <w:pPr>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and Shapiro-Wilk (SW) test were evaluated against the null hypothesis of normality, while the Augmented Dickey-Fuller (ADF) test evaluated time-series stationarity across all 28 assets.</w:t>
      </w:r>
    </w:p>
    <w:p>
      <w:pPr>
        <w:spacing w:line="480" w:lineRule="auto" w:before="0" w:after="0"/>
        <w:jc w:val="left"/>
      </w:pPr>
      <w:r>
        <w:rPr>
          <w:rFonts w:ascii="Times New Roman" w:hAnsi="Times New Roman"/>
          <w:b/>
          <w:color w:val="000000"/>
          <w:sz w:val="24"/>
        </w:rPr>
        <w:t>Table 4.2: Empirical Non-Normality (JB, SW) and Stationarity (ADF) Diagnostic Tests (All 28 Equities)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JB Stat</w:t>
            </w:r>
          </w:p>
        </w:tc>
        <w:tc>
          <w:tcPr>
            <w:tcW w:type="dxa" w:w="1337"/>
            <w:shd w:val="clear" w:color="auto" w:fill="F2F2F2"/>
          </w:tcPr>
          <w:p>
            <w:pPr>
              <w:spacing w:line="276" w:lineRule="auto" w:before="40" w:after="40"/>
              <w:jc w:val="center"/>
            </w:pPr>
            <w:r>
              <w:rPr>
                <w:rFonts w:ascii="Times New Roman" w:hAnsi="Times New Roman"/>
                <w:b/>
                <w:color w:val="000000"/>
                <w:sz w:val="19"/>
              </w:rPr>
              <w:t>JB p-val</w:t>
            </w:r>
          </w:p>
        </w:tc>
        <w:tc>
          <w:tcPr>
            <w:tcW w:type="dxa" w:w="1337"/>
            <w:shd w:val="clear" w:color="auto" w:fill="F2F2F2"/>
          </w:tcPr>
          <w:p>
            <w:pPr>
              <w:spacing w:line="276" w:lineRule="auto" w:before="40" w:after="40"/>
              <w:jc w:val="center"/>
            </w:pPr>
            <w:r>
              <w:rPr>
                <w:rFonts w:ascii="Times New Roman" w:hAnsi="Times New Roman"/>
                <w:b/>
                <w:color w:val="000000"/>
                <w:sz w:val="19"/>
              </w:rPr>
              <w:t>SW Stat</w:t>
            </w:r>
          </w:p>
        </w:tc>
        <w:tc>
          <w:tcPr>
            <w:tcW w:type="dxa" w:w="1337"/>
            <w:shd w:val="clear" w:color="auto" w:fill="F2F2F2"/>
          </w:tcPr>
          <w:p>
            <w:pPr>
              <w:spacing w:line="276" w:lineRule="auto" w:before="40" w:after="40"/>
              <w:jc w:val="center"/>
            </w:pPr>
            <w:r>
              <w:rPr>
                <w:rFonts w:ascii="Times New Roman" w:hAnsi="Times New Roman"/>
                <w:b/>
                <w:color w:val="000000"/>
                <w:sz w:val="19"/>
              </w:rPr>
              <w:t>ADF Stat</w:t>
            </w:r>
          </w:p>
        </w:tc>
        <w:tc>
          <w:tcPr>
            <w:tcW w:type="dxa" w:w="1337"/>
            <w:shd w:val="clear" w:color="auto" w:fill="F2F2F2"/>
          </w:tcPr>
          <w:p>
            <w:pPr>
              <w:spacing w:line="276" w:lineRule="auto" w:before="40" w:after="40"/>
              <w:jc w:val="center"/>
            </w:pPr>
            <w:r>
              <w:rPr>
                <w:rFonts w:ascii="Times New Roman" w:hAnsi="Times New Roman"/>
                <w:b/>
                <w:color w:val="000000"/>
                <w:sz w:val="19"/>
              </w:rPr>
              <w:t>ADF p-val</w:t>
            </w:r>
          </w:p>
        </w:tc>
        <w:tc>
          <w:tcPr>
            <w:tcW w:type="dxa" w:w="1337"/>
            <w:shd w:val="clear" w:color="auto" w:fill="F2F2F2"/>
          </w:tcPr>
          <w:p>
            <w:pPr>
              <w:spacing w:line="276" w:lineRule="auto" w:before="40" w:after="40"/>
              <w:jc w:val="center"/>
            </w:pPr>
            <w:r>
              <w:rPr>
                <w:rFonts w:ascii="Times New Roman" w:hAnsi="Times New Roman"/>
                <w:b/>
                <w:color w:val="000000"/>
                <w:sz w:val="19"/>
              </w:rPr>
              <w:t>Stationary</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2087.1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0.776</w:t>
            </w:r>
          </w:p>
        </w:tc>
        <w:tc>
          <w:tcPr>
            <w:tcW w:type="dxa" w:w="1337"/>
          </w:tcPr>
          <w:p>
            <w:pPr>
              <w:spacing w:line="276" w:lineRule="auto" w:before="40" w:after="40"/>
              <w:jc w:val="center"/>
            </w:pPr>
            <w:r>
              <w:rPr>
                <w:rFonts w:ascii="Times New Roman" w:hAnsi="Times New Roman"/>
                <w:color w:val="000000"/>
                <w:sz w:val="18"/>
              </w:rPr>
              <w:t>-25.69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181.1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0.951</w:t>
            </w:r>
          </w:p>
        </w:tc>
        <w:tc>
          <w:tcPr>
            <w:tcW w:type="dxa" w:w="1337"/>
          </w:tcPr>
          <w:p>
            <w:pPr>
              <w:spacing w:line="276" w:lineRule="auto" w:before="40" w:after="40"/>
              <w:jc w:val="center"/>
            </w:pPr>
            <w:r>
              <w:rPr>
                <w:rFonts w:ascii="Times New Roman" w:hAnsi="Times New Roman"/>
                <w:color w:val="000000"/>
                <w:sz w:val="18"/>
              </w:rPr>
              <w:t>-31.89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7652.5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-11.74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467.7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-5.42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637.1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-16.12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528.6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0.939</w:t>
            </w:r>
          </w:p>
        </w:tc>
        <w:tc>
          <w:tcPr>
            <w:tcW w:type="dxa" w:w="1337"/>
          </w:tcPr>
          <w:p>
            <w:pPr>
              <w:spacing w:line="276" w:lineRule="auto" w:before="40" w:after="40"/>
              <w:jc w:val="center"/>
            </w:pPr>
            <w:r>
              <w:rPr>
                <w:rFonts w:ascii="Times New Roman" w:hAnsi="Times New Roman"/>
                <w:color w:val="000000"/>
                <w:sz w:val="18"/>
              </w:rPr>
              <w:t>-14.02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372.8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0.948</w:t>
            </w:r>
          </w:p>
        </w:tc>
        <w:tc>
          <w:tcPr>
            <w:tcW w:type="dxa" w:w="1337"/>
          </w:tcPr>
          <w:p>
            <w:pPr>
              <w:spacing w:line="276" w:lineRule="auto" w:before="40" w:after="40"/>
              <w:jc w:val="center"/>
            </w:pPr>
            <w:r>
              <w:rPr>
                <w:rFonts w:ascii="Times New Roman" w:hAnsi="Times New Roman"/>
                <w:color w:val="000000"/>
                <w:sz w:val="18"/>
              </w:rPr>
              <w:t>-32.13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531.0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-30.14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617.0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0.931</w:t>
            </w:r>
          </w:p>
        </w:tc>
        <w:tc>
          <w:tcPr>
            <w:tcW w:type="dxa" w:w="1337"/>
          </w:tcPr>
          <w:p>
            <w:pPr>
              <w:spacing w:line="276" w:lineRule="auto" w:before="40" w:after="40"/>
              <w:jc w:val="center"/>
            </w:pPr>
            <w:r>
              <w:rPr>
                <w:rFonts w:ascii="Times New Roman" w:hAnsi="Times New Roman"/>
                <w:color w:val="000000"/>
                <w:sz w:val="18"/>
              </w:rPr>
              <w:t>-9.01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877.0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-30.74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629.1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0.890</w:t>
            </w:r>
          </w:p>
        </w:tc>
        <w:tc>
          <w:tcPr>
            <w:tcW w:type="dxa" w:w="1337"/>
          </w:tcPr>
          <w:p>
            <w:pPr>
              <w:spacing w:line="276" w:lineRule="auto" w:before="40" w:after="40"/>
              <w:jc w:val="center"/>
            </w:pPr>
            <w:r>
              <w:rPr>
                <w:rFonts w:ascii="Times New Roman" w:hAnsi="Times New Roman"/>
                <w:color w:val="000000"/>
                <w:sz w:val="18"/>
              </w:rPr>
              <w:t>-17.00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727.9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0.863</w:t>
            </w:r>
          </w:p>
        </w:tc>
        <w:tc>
          <w:tcPr>
            <w:tcW w:type="dxa" w:w="1337"/>
          </w:tcPr>
          <w:p>
            <w:pPr>
              <w:spacing w:line="276" w:lineRule="auto" w:before="40" w:after="40"/>
              <w:jc w:val="center"/>
            </w:pPr>
            <w:r>
              <w:rPr>
                <w:rFonts w:ascii="Times New Roman" w:hAnsi="Times New Roman"/>
                <w:color w:val="000000"/>
                <w:sz w:val="18"/>
              </w:rPr>
              <w:t>-7.42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925.3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-18.98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196037.5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0.708</w:t>
            </w:r>
          </w:p>
        </w:tc>
        <w:tc>
          <w:tcPr>
            <w:tcW w:type="dxa" w:w="1337"/>
          </w:tcPr>
          <w:p>
            <w:pPr>
              <w:spacing w:line="276" w:lineRule="auto" w:before="40" w:after="40"/>
              <w:jc w:val="center"/>
            </w:pPr>
            <w:r>
              <w:rPr>
                <w:rFonts w:ascii="Times New Roman" w:hAnsi="Times New Roman"/>
                <w:color w:val="000000"/>
                <w:sz w:val="18"/>
              </w:rPr>
              <w:t>-30.94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364.9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0.949</w:t>
            </w:r>
          </w:p>
        </w:tc>
        <w:tc>
          <w:tcPr>
            <w:tcW w:type="dxa" w:w="1337"/>
          </w:tcPr>
          <w:p>
            <w:pPr>
              <w:spacing w:line="276" w:lineRule="auto" w:before="40" w:after="40"/>
              <w:jc w:val="center"/>
            </w:pPr>
            <w:r>
              <w:rPr>
                <w:rFonts w:ascii="Times New Roman" w:hAnsi="Times New Roman"/>
                <w:color w:val="000000"/>
                <w:sz w:val="18"/>
              </w:rPr>
              <w:t>-31.30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315.8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0.930</w:t>
            </w:r>
          </w:p>
        </w:tc>
        <w:tc>
          <w:tcPr>
            <w:tcW w:type="dxa" w:w="1337"/>
          </w:tcPr>
          <w:p>
            <w:pPr>
              <w:spacing w:line="276" w:lineRule="auto" w:before="40" w:after="40"/>
              <w:jc w:val="center"/>
            </w:pPr>
            <w:r>
              <w:rPr>
                <w:rFonts w:ascii="Times New Roman" w:hAnsi="Times New Roman"/>
                <w:color w:val="000000"/>
                <w:sz w:val="18"/>
              </w:rPr>
              <w:t>-21.59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834.9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0.850</w:t>
            </w:r>
          </w:p>
        </w:tc>
        <w:tc>
          <w:tcPr>
            <w:tcW w:type="dxa" w:w="1337"/>
          </w:tcPr>
          <w:p>
            <w:pPr>
              <w:spacing w:line="276" w:lineRule="auto" w:before="40" w:after="40"/>
              <w:jc w:val="center"/>
            </w:pPr>
            <w:r>
              <w:rPr>
                <w:rFonts w:ascii="Times New Roman" w:hAnsi="Times New Roman"/>
                <w:color w:val="000000"/>
                <w:sz w:val="18"/>
              </w:rPr>
              <w:t>-28.24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1166.5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0.929</w:t>
            </w:r>
          </w:p>
        </w:tc>
        <w:tc>
          <w:tcPr>
            <w:tcW w:type="dxa" w:w="1337"/>
          </w:tcPr>
          <w:p>
            <w:pPr>
              <w:spacing w:line="276" w:lineRule="auto" w:before="40" w:after="40"/>
              <w:jc w:val="center"/>
            </w:pPr>
            <w:r>
              <w:rPr>
                <w:rFonts w:ascii="Times New Roman" w:hAnsi="Times New Roman"/>
                <w:color w:val="000000"/>
                <w:sz w:val="18"/>
              </w:rPr>
              <w:t>-12.18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389.3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0.879</w:t>
            </w:r>
          </w:p>
        </w:tc>
        <w:tc>
          <w:tcPr>
            <w:tcW w:type="dxa" w:w="1337"/>
          </w:tcPr>
          <w:p>
            <w:pPr>
              <w:spacing w:line="276" w:lineRule="auto" w:before="40" w:after="40"/>
              <w:jc w:val="center"/>
            </w:pPr>
            <w:r>
              <w:rPr>
                <w:rFonts w:ascii="Times New Roman" w:hAnsi="Times New Roman"/>
                <w:color w:val="000000"/>
                <w:sz w:val="18"/>
              </w:rPr>
              <w:t>-27.00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328.3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0.894</w:t>
            </w:r>
          </w:p>
        </w:tc>
        <w:tc>
          <w:tcPr>
            <w:tcW w:type="dxa" w:w="1337"/>
          </w:tcPr>
          <w:p>
            <w:pPr>
              <w:spacing w:line="276" w:lineRule="auto" w:before="40" w:after="40"/>
              <w:jc w:val="center"/>
            </w:pPr>
            <w:r>
              <w:rPr>
                <w:rFonts w:ascii="Times New Roman" w:hAnsi="Times New Roman"/>
                <w:color w:val="000000"/>
                <w:sz w:val="18"/>
              </w:rPr>
              <w:t>-27.49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371.5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-30.53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528.5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-15.62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66065.8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-29.66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799.3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-31.63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293.6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0.955</w:t>
            </w:r>
          </w:p>
        </w:tc>
        <w:tc>
          <w:tcPr>
            <w:tcW w:type="dxa" w:w="1337"/>
          </w:tcPr>
          <w:p>
            <w:pPr>
              <w:spacing w:line="276" w:lineRule="auto" w:before="40" w:after="40"/>
              <w:jc w:val="center"/>
            </w:pPr>
            <w:r>
              <w:rPr>
                <w:rFonts w:ascii="Times New Roman" w:hAnsi="Times New Roman"/>
                <w:color w:val="000000"/>
                <w:sz w:val="18"/>
              </w:rPr>
              <w:t>-5.73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379.6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0.942</w:t>
            </w:r>
          </w:p>
        </w:tc>
        <w:tc>
          <w:tcPr>
            <w:tcW w:type="dxa" w:w="1337"/>
          </w:tcPr>
          <w:p>
            <w:pPr>
              <w:spacing w:line="276" w:lineRule="auto" w:before="40" w:after="40"/>
              <w:jc w:val="center"/>
            </w:pPr>
            <w:r>
              <w:rPr>
                <w:rFonts w:ascii="Times New Roman" w:hAnsi="Times New Roman"/>
                <w:color w:val="000000"/>
                <w:sz w:val="18"/>
              </w:rPr>
              <w:t>-28.97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32045.0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0.825</w:t>
            </w:r>
          </w:p>
        </w:tc>
        <w:tc>
          <w:tcPr>
            <w:tcW w:type="dxa" w:w="1337"/>
          </w:tcPr>
          <w:p>
            <w:pPr>
              <w:spacing w:line="276" w:lineRule="auto" w:before="40" w:after="40"/>
              <w:jc w:val="center"/>
            </w:pPr>
            <w:r>
              <w:rPr>
                <w:rFonts w:ascii="Times New Roman" w:hAnsi="Times New Roman"/>
                <w:color w:val="000000"/>
                <w:sz w:val="18"/>
              </w:rPr>
              <w:t>-30.03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3504.8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0.917</w:t>
            </w:r>
          </w:p>
        </w:tc>
        <w:tc>
          <w:tcPr>
            <w:tcW w:type="dxa" w:w="1337"/>
          </w:tcPr>
          <w:p>
            <w:pPr>
              <w:spacing w:line="276" w:lineRule="auto" w:before="40" w:after="40"/>
              <w:jc w:val="center"/>
            </w:pPr>
            <w:r>
              <w:rPr>
                <w:rFonts w:ascii="Times New Roman" w:hAnsi="Times New Roman"/>
                <w:color w:val="000000"/>
                <w:sz w:val="18"/>
              </w:rPr>
              <w:t>-21.97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bl>
    <w:p>
      <w:pPr>
        <w:spacing w:after="120"/>
      </w:pPr>
    </w:p>
    <w:p>
      <w:pPr>
        <w:spacing w:line="480" w:lineRule="auto" w:before="0" w:after="0"/>
        <w:jc w:val="left"/>
      </w:pPr>
      <w:r>
        <w:rPr>
          <w:rFonts w:ascii="Times New Roman" w:hAnsi="Times New Roman"/>
          <w:i/>
          <w:color w:val="000000"/>
          <w:sz w:val="20"/>
        </w:rPr>
        <w:t>Source: Author's computation (2026). Rejection of normality across 100% of 28 equities at p &lt; 0.001.</w:t>
      </w:r>
    </w:p>
    <w:p>
      <w:pPr>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jc w:val="center"/>
      </w:pPr>
      <w:r>
        <w:drawing>
          <wp:inline xmlns:a="http://schemas.openxmlformats.org/drawingml/2006/main" xmlns:pic="http://schemas.openxmlformats.org/drawingml/2006/picture">
            <wp:extent cx="5486400" cy="480060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spacing w:line="480" w:lineRule="auto" w:before="0" w:after="0"/>
        <w:jc w:val="left"/>
      </w:pPr>
      <w:r>
        <w:rPr>
          <w:rFonts w:ascii="Times New Roman" w:hAnsi="Times New Roman"/>
          <w:i/>
          <w:color w:val="000000"/>
          <w:sz w:val="20"/>
        </w:rPr>
        <w:t>Figure 4.1: NGX 28 Equity Log Return Pairwise Correlation Matrix (2010-2025)</w:t>
      </w:r>
    </w:p>
    <w:p>
      <w:pPr>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jc w:val="both"/>
      </w:pPr>
      <w:r>
        <w:rPr>
          <w:rFonts w:ascii="Times New Roman" w:hAnsi="Times New Roman"/>
          <w:color w:val="000000"/>
          <w:sz w:val="24"/>
        </w:rPr>
        <w:t>Machine learning models (Random Forest and XGBoost Regressors) were evaluated under a rigorous Expanding Rolling Window Walk-Forward Validation protocol. To guarantee zero temporal data leakage, feature Min-Max scaling was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spacing w:line="480" w:lineRule="auto" w:before="0" w:after="0"/>
        <w:jc w:val="left"/>
      </w:pPr>
      <w:r>
        <w:rPr>
          <w:rFonts w:ascii="Times New Roman" w:hAnsi="Times New Roman"/>
          <w:b/>
          <w:color w:val="000000"/>
          <w:sz w:val="24"/>
        </w:rPr>
        <w:t>Table 4.3: Out-of-Sample Predictive Performance Metrics across All 28 NGX Equities (2021-2025 Walk-Forward)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Base RMSE</w:t>
            </w:r>
          </w:p>
        </w:tc>
        <w:tc>
          <w:tcPr>
            <w:tcW w:type="dxa" w:w="1337"/>
            <w:shd w:val="clear" w:color="auto" w:fill="F2F2F2"/>
          </w:tcPr>
          <w:p>
            <w:pPr>
              <w:spacing w:line="276" w:lineRule="auto" w:before="40" w:after="40"/>
              <w:jc w:val="center"/>
            </w:pPr>
            <w:r>
              <w:rPr>
                <w:rFonts w:ascii="Times New Roman" w:hAnsi="Times New Roman"/>
                <w:b/>
                <w:color w:val="000000"/>
                <w:sz w:val="19"/>
              </w:rPr>
              <w:t>RF RMSE</w:t>
            </w:r>
          </w:p>
        </w:tc>
        <w:tc>
          <w:tcPr>
            <w:tcW w:type="dxa" w:w="1337"/>
            <w:shd w:val="clear" w:color="auto" w:fill="F2F2F2"/>
          </w:tcPr>
          <w:p>
            <w:pPr>
              <w:spacing w:line="276" w:lineRule="auto" w:before="40" w:after="40"/>
              <w:jc w:val="center"/>
            </w:pPr>
            <w:r>
              <w:rPr>
                <w:rFonts w:ascii="Times New Roman" w:hAnsi="Times New Roman"/>
                <w:b/>
                <w:color w:val="000000"/>
                <w:sz w:val="19"/>
              </w:rPr>
              <w:t>XGB RMSE</w:t>
            </w:r>
          </w:p>
        </w:tc>
        <w:tc>
          <w:tcPr>
            <w:tcW w:type="dxa" w:w="1337"/>
            <w:shd w:val="clear" w:color="auto" w:fill="F2F2F2"/>
          </w:tcPr>
          <w:p>
            <w:pPr>
              <w:spacing w:line="276" w:lineRule="auto" w:before="40" w:after="40"/>
              <w:jc w:val="center"/>
            </w:pPr>
            <w:r>
              <w:rPr>
                <w:rFonts w:ascii="Times New Roman" w:hAnsi="Times New Roman"/>
                <w:b/>
                <w:color w:val="000000"/>
                <w:sz w:val="19"/>
              </w:rPr>
              <w:t>Base DA (%)</w:t>
            </w:r>
          </w:p>
        </w:tc>
        <w:tc>
          <w:tcPr>
            <w:tcW w:type="dxa" w:w="1337"/>
            <w:shd w:val="clear" w:color="auto" w:fill="F2F2F2"/>
          </w:tcPr>
          <w:p>
            <w:pPr>
              <w:spacing w:line="276" w:lineRule="auto" w:before="40" w:after="40"/>
              <w:jc w:val="center"/>
            </w:pPr>
            <w:r>
              <w:rPr>
                <w:rFonts w:ascii="Times New Roman" w:hAnsi="Times New Roman"/>
                <w:b/>
                <w:color w:val="000000"/>
                <w:sz w:val="19"/>
              </w:rPr>
              <w:t>RF DA (%)</w:t>
            </w:r>
          </w:p>
        </w:tc>
        <w:tc>
          <w:tcPr>
            <w:tcW w:type="dxa" w:w="1337"/>
            <w:shd w:val="clear" w:color="auto" w:fill="F2F2F2"/>
          </w:tcPr>
          <w:p>
            <w:pPr>
              <w:spacing w:line="276" w:lineRule="auto" w:before="40" w:after="40"/>
              <w:jc w:val="center"/>
            </w:pPr>
            <w:r>
              <w:rPr>
                <w:rFonts w:ascii="Times New Roman" w:hAnsi="Times New Roman"/>
                <w:b/>
                <w:color w:val="000000"/>
                <w:sz w:val="19"/>
              </w:rPr>
              <w:t>XGB DA (%)</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0.0650</w:t>
            </w:r>
          </w:p>
        </w:tc>
        <w:tc>
          <w:tcPr>
            <w:tcW w:type="dxa" w:w="1337"/>
          </w:tcPr>
          <w:p>
            <w:pPr>
              <w:spacing w:line="276" w:lineRule="auto" w:before="40" w:after="40"/>
              <w:jc w:val="center"/>
            </w:pPr>
            <w:r>
              <w:rPr>
                <w:rFonts w:ascii="Times New Roman" w:hAnsi="Times New Roman"/>
                <w:color w:val="000000"/>
                <w:sz w:val="18"/>
              </w:rPr>
              <w:t>0.0680</w:t>
            </w:r>
          </w:p>
        </w:tc>
        <w:tc>
          <w:tcPr>
            <w:tcW w:type="dxa" w:w="1337"/>
          </w:tcPr>
          <w:p>
            <w:pPr>
              <w:spacing w:line="276" w:lineRule="auto" w:before="40" w:after="40"/>
              <w:jc w:val="center"/>
            </w:pPr>
            <w:r>
              <w:rPr>
                <w:rFonts w:ascii="Times New Roman" w:hAnsi="Times New Roman"/>
                <w:color w:val="000000"/>
                <w:sz w:val="18"/>
              </w:rPr>
              <w:t>0.0674</w:t>
            </w:r>
          </w:p>
        </w:tc>
        <w:tc>
          <w:tcPr>
            <w:tcW w:type="dxa" w:w="1337"/>
          </w:tcPr>
          <w:p>
            <w:pPr>
              <w:spacing w:line="276" w:lineRule="auto" w:before="40" w:after="40"/>
              <w:jc w:val="center"/>
            </w:pPr>
            <w:r>
              <w:rPr>
                <w:rFonts w:ascii="Times New Roman" w:hAnsi="Times New Roman"/>
                <w:color w:val="000000"/>
                <w:sz w:val="18"/>
              </w:rPr>
              <w:t>13.8%</w:t>
            </w:r>
          </w:p>
        </w:tc>
        <w:tc>
          <w:tcPr>
            <w:tcW w:type="dxa" w:w="1337"/>
          </w:tcPr>
          <w:p>
            <w:pPr>
              <w:spacing w:line="276" w:lineRule="auto" w:before="40" w:after="40"/>
              <w:jc w:val="center"/>
            </w:pPr>
            <w:r>
              <w:rPr>
                <w:rFonts w:ascii="Times New Roman" w:hAnsi="Times New Roman"/>
                <w:color w:val="000000"/>
                <w:sz w:val="18"/>
              </w:rPr>
              <w:t>13.5%</w:t>
            </w:r>
          </w:p>
        </w:tc>
        <w:tc>
          <w:tcPr>
            <w:tcW w:type="dxa" w:w="1337"/>
          </w:tcPr>
          <w:p>
            <w:pPr>
              <w:spacing w:line="276" w:lineRule="auto" w:before="40" w:after="40"/>
              <w:jc w:val="center"/>
            </w:pPr>
            <w:r>
              <w:rPr>
                <w:rFonts w:ascii="Times New Roman" w:hAnsi="Times New Roman"/>
                <w:color w:val="000000"/>
                <w:sz w:val="18"/>
              </w:rPr>
              <w:t>11.5%</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0.0548</w:t>
            </w:r>
          </w:p>
        </w:tc>
        <w:tc>
          <w:tcPr>
            <w:tcW w:type="dxa" w:w="1337"/>
          </w:tcPr>
          <w:p>
            <w:pPr>
              <w:spacing w:line="276" w:lineRule="auto" w:before="40" w:after="40"/>
              <w:jc w:val="center"/>
            </w:pPr>
            <w:r>
              <w:rPr>
                <w:rFonts w:ascii="Times New Roman" w:hAnsi="Times New Roman"/>
                <w:color w:val="000000"/>
                <w:sz w:val="18"/>
              </w:rPr>
              <w:t>0.0571</w:t>
            </w:r>
          </w:p>
        </w:tc>
        <w:tc>
          <w:tcPr>
            <w:tcW w:type="dxa" w:w="1337"/>
          </w:tcPr>
          <w:p>
            <w:pPr>
              <w:spacing w:line="276" w:lineRule="auto" w:before="40" w:after="40"/>
              <w:jc w:val="center"/>
            </w:pPr>
            <w:r>
              <w:rPr>
                <w:rFonts w:ascii="Times New Roman" w:hAnsi="Times New Roman"/>
                <w:color w:val="000000"/>
                <w:sz w:val="18"/>
              </w:rPr>
              <w:t>0.0552</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0.0515</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23.6%</w:t>
            </w:r>
          </w:p>
        </w:tc>
        <w:tc>
          <w:tcPr>
            <w:tcW w:type="dxa" w:w="1337"/>
          </w:tcPr>
          <w:p>
            <w:pPr>
              <w:spacing w:line="276" w:lineRule="auto" w:before="40" w:after="40"/>
              <w:jc w:val="center"/>
            </w:pPr>
            <w:r>
              <w:rPr>
                <w:rFonts w:ascii="Times New Roman" w:hAnsi="Times New Roman"/>
                <w:color w:val="000000"/>
                <w:sz w:val="18"/>
              </w:rPr>
              <w:t>21.3%</w:t>
            </w:r>
          </w:p>
        </w:tc>
        <w:tc>
          <w:tcPr>
            <w:tcW w:type="dxa" w:w="1337"/>
          </w:tcPr>
          <w:p>
            <w:pPr>
              <w:spacing w:line="276" w:lineRule="auto" w:before="40" w:after="40"/>
              <w:jc w:val="center"/>
            </w:pPr>
            <w:r>
              <w:rPr>
                <w:rFonts w:ascii="Times New Roman" w:hAnsi="Times New Roman"/>
                <w:color w:val="000000"/>
                <w:sz w:val="18"/>
              </w:rPr>
              <w:t>21.7%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0.0630</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0.0663</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31.9%</w:t>
            </w:r>
          </w:p>
        </w:tc>
        <w:tc>
          <w:tcPr>
            <w:tcW w:type="dxa" w:w="1337"/>
          </w:tcPr>
          <w:p>
            <w:pPr>
              <w:spacing w:line="276" w:lineRule="auto" w:before="40" w:after="40"/>
              <w:jc w:val="center"/>
            </w:pPr>
            <w:r>
              <w:rPr>
                <w:rFonts w:ascii="Times New Roman" w:hAnsi="Times New Roman"/>
                <w:color w:val="000000"/>
                <w:sz w:val="18"/>
              </w:rPr>
              <w:t>38.1%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0.0560</w:t>
            </w:r>
          </w:p>
        </w:tc>
        <w:tc>
          <w:tcPr>
            <w:tcW w:type="dxa" w:w="1337"/>
          </w:tcPr>
          <w:p>
            <w:pPr>
              <w:spacing w:line="276" w:lineRule="auto" w:before="40" w:after="40"/>
              <w:jc w:val="center"/>
            </w:pPr>
            <w:r>
              <w:rPr>
                <w:rFonts w:ascii="Times New Roman" w:hAnsi="Times New Roman"/>
                <w:color w:val="000000"/>
                <w:sz w:val="18"/>
              </w:rPr>
              <w:t>0.0647</w:t>
            </w:r>
          </w:p>
        </w:tc>
        <w:tc>
          <w:tcPr>
            <w:tcW w:type="dxa" w:w="1337"/>
          </w:tcPr>
          <w:p>
            <w:pPr>
              <w:spacing w:line="276" w:lineRule="auto" w:before="40" w:after="40"/>
              <w:jc w:val="center"/>
            </w:pPr>
            <w:r>
              <w:rPr>
                <w:rFonts w:ascii="Times New Roman" w:hAnsi="Times New Roman"/>
                <w:color w:val="000000"/>
                <w:sz w:val="18"/>
              </w:rPr>
              <w:t>0.0567</w:t>
            </w:r>
          </w:p>
        </w:tc>
        <w:tc>
          <w:tcPr>
            <w:tcW w:type="dxa" w:w="1337"/>
          </w:tcPr>
          <w:p>
            <w:pPr>
              <w:spacing w:line="276" w:lineRule="auto" w:before="40" w:after="40"/>
              <w:jc w:val="center"/>
            </w:pPr>
            <w:r>
              <w:rPr>
                <w:rFonts w:ascii="Times New Roman" w:hAnsi="Times New Roman"/>
                <w:color w:val="000000"/>
                <w:sz w:val="18"/>
              </w:rPr>
              <w:t>40.4%</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0.0596</w:t>
            </w:r>
          </w:p>
        </w:tc>
        <w:tc>
          <w:tcPr>
            <w:tcW w:type="dxa" w:w="1337"/>
          </w:tcPr>
          <w:p>
            <w:pPr>
              <w:spacing w:line="276" w:lineRule="auto" w:before="40" w:after="40"/>
              <w:jc w:val="center"/>
            </w:pPr>
            <w:r>
              <w:rPr>
                <w:rFonts w:ascii="Times New Roman" w:hAnsi="Times New Roman"/>
                <w:color w:val="000000"/>
                <w:sz w:val="18"/>
              </w:rPr>
              <w:t>0.0682</w:t>
            </w:r>
          </w:p>
        </w:tc>
        <w:tc>
          <w:tcPr>
            <w:tcW w:type="dxa" w:w="1337"/>
          </w:tcPr>
          <w:p>
            <w:pPr>
              <w:spacing w:line="276" w:lineRule="auto" w:before="40" w:after="40"/>
              <w:jc w:val="center"/>
            </w:pPr>
            <w:r>
              <w:rPr>
                <w:rFonts w:ascii="Times New Roman" w:hAnsi="Times New Roman"/>
                <w:color w:val="000000"/>
                <w:sz w:val="18"/>
              </w:rPr>
              <w:t>0.0613</w:t>
            </w:r>
          </w:p>
        </w:tc>
        <w:tc>
          <w:tcPr>
            <w:tcW w:type="dxa" w:w="1337"/>
          </w:tcPr>
          <w:p>
            <w:pPr>
              <w:spacing w:line="276" w:lineRule="auto" w:before="40" w:after="40"/>
              <w:jc w:val="center"/>
            </w:pPr>
            <w:r>
              <w:rPr>
                <w:rFonts w:ascii="Times New Roman" w:hAnsi="Times New Roman"/>
                <w:color w:val="000000"/>
                <w:sz w:val="18"/>
              </w:rPr>
              <w:t>47.3%</w:t>
            </w:r>
          </w:p>
        </w:tc>
        <w:tc>
          <w:tcPr>
            <w:tcW w:type="dxa" w:w="1337"/>
          </w:tcPr>
          <w:p>
            <w:pPr>
              <w:spacing w:line="276" w:lineRule="auto" w:before="40" w:after="40"/>
              <w:jc w:val="center"/>
            </w:pPr>
            <w:r>
              <w:rPr>
                <w:rFonts w:ascii="Times New Roman" w:hAnsi="Times New Roman"/>
                <w:color w:val="000000"/>
                <w:sz w:val="18"/>
              </w:rPr>
              <w:t>46.5%</w:t>
            </w:r>
          </w:p>
        </w:tc>
        <w:tc>
          <w:tcPr>
            <w:tcW w:type="dxa" w:w="1337"/>
          </w:tcPr>
          <w:p>
            <w:pPr>
              <w:spacing w:line="276" w:lineRule="auto" w:before="40" w:after="40"/>
              <w:jc w:val="center"/>
            </w:pPr>
            <w:r>
              <w:rPr>
                <w:rFonts w:ascii="Times New Roman" w:hAnsi="Times New Roman"/>
                <w:color w:val="000000"/>
                <w:sz w:val="18"/>
              </w:rPr>
              <w:t>44.2%</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0.0590</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0.0617</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0.0700</w:t>
            </w:r>
          </w:p>
        </w:tc>
        <w:tc>
          <w:tcPr>
            <w:tcW w:type="dxa" w:w="1337"/>
          </w:tcPr>
          <w:p>
            <w:pPr>
              <w:spacing w:line="276" w:lineRule="auto" w:before="40" w:after="40"/>
              <w:jc w:val="center"/>
            </w:pPr>
            <w:r>
              <w:rPr>
                <w:rFonts w:ascii="Times New Roman" w:hAnsi="Times New Roman"/>
                <w:color w:val="000000"/>
                <w:sz w:val="18"/>
              </w:rPr>
              <w:t>0.0713</w:t>
            </w:r>
          </w:p>
        </w:tc>
        <w:tc>
          <w:tcPr>
            <w:tcW w:type="dxa" w:w="1337"/>
          </w:tcPr>
          <w:p>
            <w:pPr>
              <w:spacing w:line="276" w:lineRule="auto" w:before="40" w:after="40"/>
              <w:jc w:val="center"/>
            </w:pPr>
            <w:r>
              <w:rPr>
                <w:rFonts w:ascii="Times New Roman" w:hAnsi="Times New Roman"/>
                <w:color w:val="000000"/>
                <w:sz w:val="18"/>
              </w:rPr>
              <w:t>0.0708</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45.4%</w:t>
            </w:r>
          </w:p>
        </w:tc>
        <w:tc>
          <w:tcPr>
            <w:tcW w:type="dxa" w:w="1337"/>
          </w:tcPr>
          <w:p>
            <w:pPr>
              <w:spacing w:line="276" w:lineRule="auto" w:before="40" w:after="40"/>
              <w:jc w:val="center"/>
            </w:pPr>
            <w:r>
              <w:rPr>
                <w:rFonts w:ascii="Times New Roman" w:hAnsi="Times New Roman"/>
                <w:color w:val="000000"/>
                <w:sz w:val="18"/>
              </w:rPr>
              <w:t>46.2%</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0.0474</w:t>
            </w:r>
          </w:p>
        </w:tc>
        <w:tc>
          <w:tcPr>
            <w:tcW w:type="dxa" w:w="1337"/>
          </w:tcPr>
          <w:p>
            <w:pPr>
              <w:spacing w:line="276" w:lineRule="auto" w:before="40" w:after="40"/>
              <w:jc w:val="center"/>
            </w:pPr>
            <w:r>
              <w:rPr>
                <w:rFonts w:ascii="Times New Roman" w:hAnsi="Times New Roman"/>
                <w:color w:val="000000"/>
                <w:sz w:val="18"/>
              </w:rPr>
              <w:t>0.0485</w:t>
            </w:r>
          </w:p>
        </w:tc>
        <w:tc>
          <w:tcPr>
            <w:tcW w:type="dxa" w:w="1337"/>
          </w:tcPr>
          <w:p>
            <w:pPr>
              <w:spacing w:line="276" w:lineRule="auto" w:before="40" w:after="40"/>
              <w:jc w:val="center"/>
            </w:pPr>
            <w:r>
              <w:rPr>
                <w:rFonts w:ascii="Times New Roman" w:hAnsi="Times New Roman"/>
                <w:color w:val="000000"/>
                <w:sz w:val="18"/>
              </w:rPr>
              <w:t>0.0487</w:t>
            </w:r>
          </w:p>
        </w:tc>
        <w:tc>
          <w:tcPr>
            <w:tcW w:type="dxa" w:w="1337"/>
          </w:tcPr>
          <w:p>
            <w:pPr>
              <w:spacing w:line="276" w:lineRule="auto" w:before="40" w:after="40"/>
              <w:jc w:val="center"/>
            </w:pPr>
            <w:r>
              <w:rPr>
                <w:rFonts w:ascii="Times New Roman" w:hAnsi="Times New Roman"/>
                <w:color w:val="000000"/>
                <w:sz w:val="18"/>
              </w:rPr>
              <w:t>48.5%</w:t>
            </w:r>
          </w:p>
        </w:tc>
        <w:tc>
          <w:tcPr>
            <w:tcW w:type="dxa" w:w="1337"/>
          </w:tcPr>
          <w:p>
            <w:pPr>
              <w:spacing w:line="276" w:lineRule="auto" w:before="40" w:after="40"/>
              <w:jc w:val="center"/>
            </w:pPr>
            <w:r>
              <w:rPr>
                <w:rFonts w:ascii="Times New Roman" w:hAnsi="Times New Roman"/>
                <w:color w:val="000000"/>
                <w:sz w:val="18"/>
              </w:rPr>
              <w:t>52.3%</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0.0673</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22.3%</w:t>
            </w:r>
          </w:p>
        </w:tc>
        <w:tc>
          <w:tcPr>
            <w:tcW w:type="dxa" w:w="1337"/>
          </w:tcPr>
          <w:p>
            <w:pPr>
              <w:spacing w:line="276" w:lineRule="auto" w:before="40" w:after="40"/>
              <w:jc w:val="center"/>
            </w:pPr>
            <w:r>
              <w:rPr>
                <w:rFonts w:ascii="Times New Roman" w:hAnsi="Times New Roman"/>
                <w:color w:val="000000"/>
                <w:sz w:val="18"/>
              </w:rPr>
              <w:t>32.3%</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0.0636</w:t>
            </w:r>
          </w:p>
        </w:tc>
        <w:tc>
          <w:tcPr>
            <w:tcW w:type="dxa" w:w="1337"/>
          </w:tcPr>
          <w:p>
            <w:pPr>
              <w:spacing w:line="276" w:lineRule="auto" w:before="40" w:after="40"/>
              <w:jc w:val="center"/>
            </w:pPr>
            <w:r>
              <w:rPr>
                <w:rFonts w:ascii="Times New Roman" w:hAnsi="Times New Roman"/>
                <w:color w:val="000000"/>
                <w:sz w:val="18"/>
              </w:rPr>
              <w:t>0.0670</w:t>
            </w:r>
          </w:p>
        </w:tc>
        <w:tc>
          <w:tcPr>
            <w:tcW w:type="dxa" w:w="1337"/>
          </w:tcPr>
          <w:p>
            <w:pPr>
              <w:spacing w:line="276" w:lineRule="auto" w:before="40" w:after="40"/>
              <w:jc w:val="center"/>
            </w:pPr>
            <w:r>
              <w:rPr>
                <w:rFonts w:ascii="Times New Roman" w:hAnsi="Times New Roman"/>
                <w:color w:val="000000"/>
                <w:sz w:val="18"/>
              </w:rPr>
              <w:t>0.0653</w:t>
            </w:r>
          </w:p>
        </w:tc>
        <w:tc>
          <w:tcPr>
            <w:tcW w:type="dxa" w:w="1337"/>
          </w:tcPr>
          <w:p>
            <w:pPr>
              <w:spacing w:line="276" w:lineRule="auto" w:before="40" w:after="40"/>
              <w:jc w:val="center"/>
            </w:pPr>
            <w:r>
              <w:rPr>
                <w:rFonts w:ascii="Times New Roman" w:hAnsi="Times New Roman"/>
                <w:color w:val="000000"/>
                <w:sz w:val="18"/>
              </w:rPr>
              <w:t>25.4%</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25.0%</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0.0520</w:t>
            </w:r>
          </w:p>
        </w:tc>
        <w:tc>
          <w:tcPr>
            <w:tcW w:type="dxa" w:w="1337"/>
          </w:tcPr>
          <w:p>
            <w:pPr>
              <w:spacing w:line="276" w:lineRule="auto" w:before="40" w:after="40"/>
              <w:jc w:val="center"/>
            </w:pPr>
            <w:r>
              <w:rPr>
                <w:rFonts w:ascii="Times New Roman" w:hAnsi="Times New Roman"/>
                <w:color w:val="000000"/>
                <w:sz w:val="18"/>
              </w:rPr>
              <w:t>0.0526</w:t>
            </w:r>
          </w:p>
        </w:tc>
        <w:tc>
          <w:tcPr>
            <w:tcW w:type="dxa" w:w="1337"/>
          </w:tcPr>
          <w:p>
            <w:pPr>
              <w:spacing w:line="276" w:lineRule="auto" w:before="40" w:after="40"/>
              <w:jc w:val="center"/>
            </w:pPr>
            <w:r>
              <w:rPr>
                <w:rFonts w:ascii="Times New Roman" w:hAnsi="Times New Roman"/>
                <w:color w:val="000000"/>
                <w:sz w:val="18"/>
              </w:rPr>
              <w:t>0.0518</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48.8%</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0.0908</w:t>
            </w:r>
          </w:p>
        </w:tc>
        <w:tc>
          <w:tcPr>
            <w:tcW w:type="dxa" w:w="1337"/>
          </w:tcPr>
          <w:p>
            <w:pPr>
              <w:spacing w:line="276" w:lineRule="auto" w:before="40" w:after="40"/>
              <w:jc w:val="center"/>
            </w:pPr>
            <w:r>
              <w:rPr>
                <w:rFonts w:ascii="Times New Roman" w:hAnsi="Times New Roman"/>
                <w:color w:val="000000"/>
                <w:sz w:val="18"/>
              </w:rPr>
              <w:t>0.0922</w:t>
            </w:r>
          </w:p>
        </w:tc>
        <w:tc>
          <w:tcPr>
            <w:tcW w:type="dxa" w:w="1337"/>
          </w:tcPr>
          <w:p>
            <w:pPr>
              <w:spacing w:line="276" w:lineRule="auto" w:before="40" w:after="40"/>
              <w:jc w:val="center"/>
            </w:pPr>
            <w:r>
              <w:rPr>
                <w:rFonts w:ascii="Times New Roman" w:hAnsi="Times New Roman"/>
                <w:color w:val="000000"/>
                <w:sz w:val="18"/>
              </w:rPr>
              <w:t>0.0918</w:t>
            </w:r>
          </w:p>
        </w:tc>
        <w:tc>
          <w:tcPr>
            <w:tcW w:type="dxa" w:w="1337"/>
          </w:tcPr>
          <w:p>
            <w:pPr>
              <w:spacing w:line="276" w:lineRule="auto" w:before="40" w:after="40"/>
              <w:jc w:val="center"/>
            </w:pPr>
            <w:r>
              <w:rPr>
                <w:rFonts w:ascii="Times New Roman" w:hAnsi="Times New Roman"/>
                <w:color w:val="000000"/>
                <w:sz w:val="18"/>
              </w:rPr>
              <w:t>50.0%</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45.4%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0.0651</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45.8%</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42.7%</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37.3%</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0.0401</w:t>
            </w:r>
          </w:p>
        </w:tc>
        <w:tc>
          <w:tcPr>
            <w:tcW w:type="dxa" w:w="1337"/>
          </w:tcPr>
          <w:p>
            <w:pPr>
              <w:spacing w:line="276" w:lineRule="auto" w:before="40" w:after="40"/>
              <w:jc w:val="center"/>
            </w:pPr>
            <w:r>
              <w:rPr>
                <w:rFonts w:ascii="Times New Roman" w:hAnsi="Times New Roman"/>
                <w:color w:val="000000"/>
                <w:sz w:val="18"/>
              </w:rPr>
              <w:t>0.0432</w:t>
            </w:r>
          </w:p>
        </w:tc>
        <w:tc>
          <w:tcPr>
            <w:tcW w:type="dxa" w:w="1337"/>
          </w:tcPr>
          <w:p>
            <w:pPr>
              <w:spacing w:line="276" w:lineRule="auto" w:before="40" w:after="40"/>
              <w:jc w:val="center"/>
            </w:pPr>
            <w:r>
              <w:rPr>
                <w:rFonts w:ascii="Times New Roman" w:hAnsi="Times New Roman"/>
                <w:color w:val="000000"/>
                <w:sz w:val="18"/>
              </w:rPr>
              <w:t>0.0413</w:t>
            </w:r>
          </w:p>
        </w:tc>
        <w:tc>
          <w:tcPr>
            <w:tcW w:type="dxa" w:w="1337"/>
          </w:tcPr>
          <w:p>
            <w:pPr>
              <w:spacing w:line="276" w:lineRule="auto" w:before="40" w:after="40"/>
              <w:jc w:val="center"/>
            </w:pPr>
            <w:r>
              <w:rPr>
                <w:rFonts w:ascii="Times New Roman" w:hAnsi="Times New Roman"/>
                <w:color w:val="000000"/>
                <w:sz w:val="18"/>
              </w:rPr>
              <w:t>17.3%</w:t>
            </w:r>
          </w:p>
        </w:tc>
        <w:tc>
          <w:tcPr>
            <w:tcW w:type="dxa" w:w="1337"/>
          </w:tcPr>
          <w:p>
            <w:pPr>
              <w:spacing w:line="276" w:lineRule="auto" w:before="40" w:after="40"/>
              <w:jc w:val="center"/>
            </w:pPr>
            <w:r>
              <w:rPr>
                <w:rFonts w:ascii="Times New Roman" w:hAnsi="Times New Roman"/>
                <w:color w:val="000000"/>
                <w:sz w:val="18"/>
              </w:rPr>
              <w:t>20.0%</w:t>
            </w:r>
          </w:p>
        </w:tc>
        <w:tc>
          <w:tcPr>
            <w:tcW w:type="dxa" w:w="1337"/>
          </w:tcPr>
          <w:p>
            <w:pPr>
              <w:spacing w:line="276" w:lineRule="auto" w:before="40" w:after="40"/>
              <w:jc w:val="center"/>
            </w:pPr>
            <w:r>
              <w:rPr>
                <w:rFonts w:ascii="Times New Roman" w:hAnsi="Times New Roman"/>
                <w:color w:val="000000"/>
                <w:sz w:val="18"/>
              </w:rPr>
              <w:t>18.8%</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0.0591</w:t>
            </w:r>
          </w:p>
        </w:tc>
        <w:tc>
          <w:tcPr>
            <w:tcW w:type="dxa" w:w="1337"/>
          </w:tcPr>
          <w:p>
            <w:pPr>
              <w:spacing w:line="276" w:lineRule="auto" w:before="40" w:after="40"/>
              <w:jc w:val="center"/>
            </w:pPr>
            <w:r>
              <w:rPr>
                <w:rFonts w:ascii="Times New Roman" w:hAnsi="Times New Roman"/>
                <w:color w:val="000000"/>
                <w:sz w:val="18"/>
              </w:rPr>
              <w:t>0.0620</w:t>
            </w:r>
          </w:p>
        </w:tc>
        <w:tc>
          <w:tcPr>
            <w:tcW w:type="dxa" w:w="1337"/>
          </w:tcPr>
          <w:p>
            <w:pPr>
              <w:spacing w:line="276" w:lineRule="auto" w:before="40" w:after="40"/>
              <w:jc w:val="center"/>
            </w:pPr>
            <w:r>
              <w:rPr>
                <w:rFonts w:ascii="Times New Roman" w:hAnsi="Times New Roman"/>
                <w:color w:val="000000"/>
                <w:sz w:val="18"/>
              </w:rPr>
              <w:t>0.0609</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45.8%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0.0459</w:t>
            </w:r>
          </w:p>
        </w:tc>
        <w:tc>
          <w:tcPr>
            <w:tcW w:type="dxa" w:w="1337"/>
          </w:tcPr>
          <w:p>
            <w:pPr>
              <w:spacing w:line="276" w:lineRule="auto" w:before="40" w:after="40"/>
              <w:jc w:val="center"/>
            </w:pPr>
            <w:r>
              <w:rPr>
                <w:rFonts w:ascii="Times New Roman" w:hAnsi="Times New Roman"/>
                <w:color w:val="000000"/>
                <w:sz w:val="18"/>
              </w:rPr>
              <w:t>0.0467</w:t>
            </w:r>
          </w:p>
        </w:tc>
        <w:tc>
          <w:tcPr>
            <w:tcW w:type="dxa" w:w="1337"/>
          </w:tcPr>
          <w:p>
            <w:pPr>
              <w:spacing w:line="276" w:lineRule="auto" w:before="40" w:after="40"/>
              <w:jc w:val="center"/>
            </w:pPr>
            <w:r>
              <w:rPr>
                <w:rFonts w:ascii="Times New Roman" w:hAnsi="Times New Roman"/>
                <w:color w:val="000000"/>
                <w:sz w:val="18"/>
              </w:rPr>
              <w:t>0.0465</w:t>
            </w:r>
          </w:p>
        </w:tc>
        <w:tc>
          <w:tcPr>
            <w:tcW w:type="dxa" w:w="1337"/>
          </w:tcPr>
          <w:p>
            <w:pPr>
              <w:spacing w:line="276" w:lineRule="auto" w:before="40" w:after="40"/>
              <w:jc w:val="center"/>
            </w:pPr>
            <w:r>
              <w:rPr>
                <w:rFonts w:ascii="Times New Roman" w:hAnsi="Times New Roman"/>
                <w:color w:val="000000"/>
                <w:sz w:val="18"/>
              </w:rPr>
              <w:t>24.2%</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0.0491</w:t>
            </w:r>
          </w:p>
        </w:tc>
        <w:tc>
          <w:tcPr>
            <w:tcW w:type="dxa" w:w="1337"/>
          </w:tcPr>
          <w:p>
            <w:pPr>
              <w:spacing w:line="276" w:lineRule="auto" w:before="40" w:after="40"/>
              <w:jc w:val="center"/>
            </w:pPr>
            <w:r>
              <w:rPr>
                <w:rFonts w:ascii="Times New Roman" w:hAnsi="Times New Roman"/>
                <w:color w:val="000000"/>
                <w:sz w:val="18"/>
              </w:rPr>
              <w:t>0.0519</w:t>
            </w:r>
          </w:p>
        </w:tc>
        <w:tc>
          <w:tcPr>
            <w:tcW w:type="dxa" w:w="1337"/>
          </w:tcPr>
          <w:p>
            <w:pPr>
              <w:spacing w:line="276" w:lineRule="auto" w:before="40" w:after="40"/>
              <w:jc w:val="center"/>
            </w:pPr>
            <w:r>
              <w:rPr>
                <w:rFonts w:ascii="Times New Roman" w:hAnsi="Times New Roman"/>
                <w:color w:val="000000"/>
                <w:sz w:val="18"/>
              </w:rPr>
              <w:t>0.0495</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21.5%</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36.5%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41.5%</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0.0697</w:t>
            </w:r>
          </w:p>
        </w:tc>
        <w:tc>
          <w:tcPr>
            <w:tcW w:type="dxa" w:w="1337"/>
          </w:tcPr>
          <w:p>
            <w:pPr>
              <w:spacing w:line="276" w:lineRule="auto" w:before="40" w:after="40"/>
              <w:jc w:val="center"/>
            </w:pPr>
            <w:r>
              <w:rPr>
                <w:rFonts w:ascii="Times New Roman" w:hAnsi="Times New Roman"/>
                <w:color w:val="000000"/>
                <w:sz w:val="18"/>
              </w:rPr>
              <w:t>0.0760</w:t>
            </w:r>
          </w:p>
        </w:tc>
        <w:tc>
          <w:tcPr>
            <w:tcW w:type="dxa" w:w="1337"/>
          </w:tcPr>
          <w:p>
            <w:pPr>
              <w:spacing w:line="276" w:lineRule="auto" w:before="40" w:after="40"/>
              <w:jc w:val="center"/>
            </w:pPr>
            <w:r>
              <w:rPr>
                <w:rFonts w:ascii="Times New Roman" w:hAnsi="Times New Roman"/>
                <w:color w:val="000000"/>
                <w:sz w:val="18"/>
              </w:rPr>
              <w:t>0.0701</w:t>
            </w:r>
          </w:p>
        </w:tc>
        <w:tc>
          <w:tcPr>
            <w:tcW w:type="dxa" w:w="1337"/>
          </w:tcPr>
          <w:p>
            <w:pPr>
              <w:spacing w:line="276" w:lineRule="auto" w:before="40" w:after="40"/>
              <w:jc w:val="center"/>
            </w:pPr>
            <w:r>
              <w:rPr>
                <w:rFonts w:ascii="Times New Roman" w:hAnsi="Times New Roman"/>
                <w:color w:val="000000"/>
                <w:sz w:val="18"/>
              </w:rPr>
              <w:t>46.2%</w:t>
            </w:r>
          </w:p>
        </w:tc>
        <w:tc>
          <w:tcPr>
            <w:tcW w:type="dxa" w:w="1337"/>
          </w:tcPr>
          <w:p>
            <w:pPr>
              <w:spacing w:line="276" w:lineRule="auto" w:before="40" w:after="40"/>
              <w:jc w:val="center"/>
            </w:pPr>
            <w:r>
              <w:rPr>
                <w:rFonts w:ascii="Times New Roman" w:hAnsi="Times New Roman"/>
                <w:color w:val="000000"/>
                <w:sz w:val="18"/>
              </w:rPr>
              <w:t>45.0%</w:t>
            </w:r>
          </w:p>
        </w:tc>
        <w:tc>
          <w:tcPr>
            <w:tcW w:type="dxa" w:w="1337"/>
          </w:tcPr>
          <w:p>
            <w:pPr>
              <w:spacing w:line="276" w:lineRule="auto" w:before="40" w:after="40"/>
              <w:jc w:val="center"/>
            </w:pPr>
            <w:r>
              <w:rPr>
                <w:rFonts w:ascii="Times New Roman" w:hAnsi="Times New Roman"/>
                <w:color w:val="000000"/>
                <w:sz w:val="18"/>
              </w:rPr>
              <w:t>42.3%</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0.0812</w:t>
            </w:r>
          </w:p>
        </w:tc>
        <w:tc>
          <w:tcPr>
            <w:tcW w:type="dxa" w:w="1337"/>
          </w:tcPr>
          <w:p>
            <w:pPr>
              <w:spacing w:line="276" w:lineRule="auto" w:before="40" w:after="40"/>
              <w:jc w:val="center"/>
            </w:pPr>
            <w:r>
              <w:rPr>
                <w:rFonts w:ascii="Times New Roman" w:hAnsi="Times New Roman"/>
                <w:color w:val="000000"/>
                <w:sz w:val="18"/>
              </w:rPr>
              <w:t>0.0804</w:t>
            </w:r>
          </w:p>
        </w:tc>
        <w:tc>
          <w:tcPr>
            <w:tcW w:type="dxa" w:w="1337"/>
          </w:tcPr>
          <w:p>
            <w:pPr>
              <w:spacing w:line="276" w:lineRule="auto" w:before="40" w:after="40"/>
              <w:jc w:val="center"/>
            </w:pPr>
            <w:r>
              <w:rPr>
                <w:rFonts w:ascii="Times New Roman" w:hAnsi="Times New Roman"/>
                <w:color w:val="000000"/>
                <w:sz w:val="18"/>
              </w:rPr>
              <w:t>0.0794</w:t>
            </w:r>
          </w:p>
        </w:tc>
        <w:tc>
          <w:tcPr>
            <w:tcW w:type="dxa" w:w="1337"/>
          </w:tcPr>
          <w:p>
            <w:pPr>
              <w:spacing w:line="276" w:lineRule="auto" w:before="40" w:after="40"/>
              <w:jc w:val="center"/>
            </w:pPr>
            <w:r>
              <w:rPr>
                <w:rFonts w:ascii="Times New Roman" w:hAnsi="Times New Roman"/>
                <w:color w:val="000000"/>
                <w:sz w:val="18"/>
              </w:rPr>
              <w:t>50.8%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50.4%</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0.0789</w:t>
            </w:r>
          </w:p>
        </w:tc>
        <w:tc>
          <w:tcPr>
            <w:tcW w:type="dxa" w:w="1337"/>
          </w:tcPr>
          <w:p>
            <w:pPr>
              <w:spacing w:line="276" w:lineRule="auto" w:before="40" w:after="40"/>
              <w:jc w:val="center"/>
            </w:pPr>
            <w:r>
              <w:rPr>
                <w:rFonts w:ascii="Times New Roman" w:hAnsi="Times New Roman"/>
                <w:color w:val="000000"/>
                <w:sz w:val="18"/>
              </w:rPr>
              <w:t>0.0913</w:t>
            </w:r>
          </w:p>
        </w:tc>
        <w:tc>
          <w:tcPr>
            <w:tcW w:type="dxa" w:w="1337"/>
          </w:tcPr>
          <w:p>
            <w:pPr>
              <w:spacing w:line="276" w:lineRule="auto" w:before="40" w:after="40"/>
              <w:jc w:val="center"/>
            </w:pPr>
            <w:r>
              <w:rPr>
                <w:rFonts w:ascii="Times New Roman" w:hAnsi="Times New Roman"/>
                <w:color w:val="000000"/>
                <w:sz w:val="18"/>
              </w:rPr>
              <w:t>0.0795</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41.2%</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0.0490</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0.0493</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50.8%</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0.0553</w:t>
            </w:r>
          </w:p>
        </w:tc>
        <w:tc>
          <w:tcPr>
            <w:tcW w:type="dxa" w:w="1337"/>
          </w:tcPr>
          <w:p>
            <w:pPr>
              <w:spacing w:line="276" w:lineRule="auto" w:before="40" w:after="40"/>
              <w:jc w:val="center"/>
            </w:pPr>
            <w:r>
              <w:rPr>
                <w:rFonts w:ascii="Times New Roman" w:hAnsi="Times New Roman"/>
                <w:color w:val="000000"/>
                <w:sz w:val="18"/>
              </w:rPr>
              <w:t>0.0561</w:t>
            </w:r>
          </w:p>
        </w:tc>
        <w:tc>
          <w:tcPr>
            <w:tcW w:type="dxa" w:w="1337"/>
          </w:tcPr>
          <w:p>
            <w:pPr>
              <w:spacing w:line="276" w:lineRule="auto" w:before="40" w:after="40"/>
              <w:jc w:val="center"/>
            </w:pPr>
            <w:r>
              <w:rPr>
                <w:rFonts w:ascii="Times New Roman" w:hAnsi="Times New Roman"/>
                <w:color w:val="000000"/>
                <w:sz w:val="18"/>
              </w:rPr>
              <w:t>0.0551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38.5%</w:t>
            </w:r>
          </w:p>
        </w:tc>
        <w:tc>
          <w:tcPr>
            <w:tcW w:type="dxa" w:w="1337"/>
          </w:tcPr>
          <w:p>
            <w:pPr>
              <w:spacing w:line="276" w:lineRule="auto" w:before="40" w:after="40"/>
              <w:jc w:val="center"/>
            </w:pPr>
            <w:r>
              <w:rPr>
                <w:rFonts w:ascii="Times New Roman" w:hAnsi="Times New Roman"/>
                <w:color w:val="000000"/>
                <w:sz w:val="18"/>
              </w:rPr>
              <w:t>39.2%</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0.0693</w:t>
            </w:r>
          </w:p>
        </w:tc>
        <w:tc>
          <w:tcPr>
            <w:tcW w:type="dxa" w:w="1337"/>
          </w:tcPr>
          <w:p>
            <w:pPr>
              <w:spacing w:line="276" w:lineRule="auto" w:before="40" w:after="40"/>
              <w:jc w:val="center"/>
            </w:pPr>
            <w:r>
              <w:rPr>
                <w:rFonts w:ascii="Times New Roman" w:hAnsi="Times New Roman"/>
                <w:color w:val="000000"/>
                <w:sz w:val="18"/>
              </w:rPr>
              <w:t>0.0681</w:t>
            </w:r>
          </w:p>
        </w:tc>
        <w:tc>
          <w:tcPr>
            <w:tcW w:type="dxa" w:w="1337"/>
          </w:tcPr>
          <w:p>
            <w:pPr>
              <w:spacing w:line="276" w:lineRule="auto" w:before="40" w:after="40"/>
              <w:jc w:val="center"/>
            </w:pPr>
            <w:r>
              <w:rPr>
                <w:rFonts w:ascii="Times New Roman" w:hAnsi="Times New Roman"/>
                <w:color w:val="000000"/>
                <w:sz w:val="18"/>
              </w:rPr>
              <w:t>0.0696</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0.0449</w:t>
            </w:r>
          </w:p>
        </w:tc>
        <w:tc>
          <w:tcPr>
            <w:tcW w:type="dxa" w:w="1337"/>
          </w:tcPr>
          <w:p>
            <w:pPr>
              <w:spacing w:line="276" w:lineRule="auto" w:before="40" w:after="40"/>
              <w:jc w:val="center"/>
            </w:pPr>
            <w:r>
              <w:rPr>
                <w:rFonts w:ascii="Times New Roman" w:hAnsi="Times New Roman"/>
                <w:color w:val="000000"/>
                <w:sz w:val="18"/>
              </w:rPr>
              <w:t>0.0473</w:t>
            </w:r>
          </w:p>
        </w:tc>
        <w:tc>
          <w:tcPr>
            <w:tcW w:type="dxa" w:w="1337"/>
          </w:tcPr>
          <w:p>
            <w:pPr>
              <w:spacing w:line="276" w:lineRule="auto" w:before="40" w:after="40"/>
              <w:jc w:val="center"/>
            </w:pPr>
            <w:r>
              <w:rPr>
                <w:rFonts w:ascii="Times New Roman" w:hAnsi="Times New Roman"/>
                <w:color w:val="000000"/>
                <w:sz w:val="18"/>
              </w:rPr>
              <w:t>0.0458</w:t>
            </w:r>
          </w:p>
        </w:tc>
        <w:tc>
          <w:tcPr>
            <w:tcW w:type="dxa" w:w="1337"/>
          </w:tcPr>
          <w:p>
            <w:pPr>
              <w:spacing w:line="276" w:lineRule="auto" w:before="40" w:after="40"/>
              <w:jc w:val="center"/>
            </w:pPr>
            <w:r>
              <w:rPr>
                <w:rFonts w:ascii="Times New Roman" w:hAnsi="Times New Roman"/>
                <w:color w:val="000000"/>
                <w:sz w:val="18"/>
              </w:rPr>
              <w:t>51.2%</w:t>
            </w:r>
          </w:p>
        </w:tc>
        <w:tc>
          <w:tcPr>
            <w:tcW w:type="dxa" w:w="1337"/>
          </w:tcPr>
          <w:p>
            <w:pPr>
              <w:spacing w:line="276" w:lineRule="auto" w:before="40" w:after="40"/>
              <w:jc w:val="center"/>
            </w:pPr>
            <w:r>
              <w:rPr>
                <w:rFonts w:ascii="Times New Roman" w:hAnsi="Times New Roman"/>
                <w:color w:val="000000"/>
                <w:sz w:val="18"/>
              </w:rPr>
              <w:t>42.7%</w:t>
            </w:r>
          </w:p>
        </w:tc>
        <w:tc>
          <w:tcPr>
            <w:tcW w:type="dxa" w:w="1337"/>
          </w:tcPr>
          <w:p>
            <w:pPr>
              <w:spacing w:line="276" w:lineRule="auto" w:before="40" w:after="40"/>
              <w:jc w:val="center"/>
            </w:pPr>
            <w:r>
              <w:rPr>
                <w:rFonts w:ascii="Times New Roman" w:hAnsi="Times New Roman"/>
                <w:color w:val="000000"/>
                <w:sz w:val="18"/>
              </w:rPr>
              <w:t>47.3%</w:t>
            </w:r>
          </w:p>
        </w:tc>
      </w:tr>
      <w:tr>
        <w:tc>
          <w:tcPr>
            <w:tcW w:type="dxa" w:w="1337"/>
          </w:tcPr>
          <w:p>
            <w:pPr>
              <w:spacing w:line="276" w:lineRule="auto" w:before="40" w:after="40"/>
              <w:jc w:val="center"/>
            </w:pPr>
            <w:r>
              <w:rPr>
                <w:rFonts w:ascii="Times New Roman" w:hAnsi="Times New Roman"/>
                <w:color w:val="000000"/>
                <w:sz w:val="18"/>
              </w:rPr>
              <w:t>AVERAGE</w:t>
            </w:r>
          </w:p>
        </w:tc>
        <w:tc>
          <w:tcPr>
            <w:tcW w:type="dxa" w:w="1337"/>
          </w:tcPr>
          <w:p>
            <w:pPr>
              <w:spacing w:line="276" w:lineRule="auto" w:before="40" w:after="40"/>
              <w:jc w:val="center"/>
            </w:pPr>
            <w:r>
              <w:rPr>
                <w:rFonts w:ascii="Times New Roman" w:hAnsi="Times New Roman"/>
                <w:color w:val="000000"/>
                <w:sz w:val="18"/>
              </w:rPr>
              <w:t>0.0602</w:t>
            </w:r>
          </w:p>
        </w:tc>
        <w:tc>
          <w:tcPr>
            <w:tcW w:type="dxa" w:w="1337"/>
          </w:tcPr>
          <w:p>
            <w:pPr>
              <w:spacing w:line="276" w:lineRule="auto" w:before="40" w:after="40"/>
              <w:jc w:val="center"/>
            </w:pPr>
            <w:r>
              <w:rPr>
                <w:rFonts w:ascii="Times New Roman" w:hAnsi="Times New Roman"/>
                <w:color w:val="000000"/>
                <w:sz w:val="18"/>
              </w:rPr>
              <w:t>0.0627</w:t>
            </w:r>
          </w:p>
        </w:tc>
        <w:tc>
          <w:tcPr>
            <w:tcW w:type="dxa" w:w="1337"/>
          </w:tcPr>
          <w:p>
            <w:pPr>
              <w:spacing w:line="276" w:lineRule="auto" w:before="40" w:after="40"/>
              <w:jc w:val="center"/>
            </w:pPr>
            <w:r>
              <w:rPr>
                <w:rFonts w:ascii="Times New Roman" w:hAnsi="Times New Roman"/>
                <w:color w:val="000000"/>
                <w:sz w:val="18"/>
              </w:rPr>
              <w:t>0.0608</w:t>
            </w:r>
          </w:p>
        </w:tc>
        <w:tc>
          <w:tcPr>
            <w:tcW w:type="dxa" w:w="1337"/>
          </w:tcPr>
          <w:p>
            <w:pPr>
              <w:spacing w:line="276" w:lineRule="auto" w:before="40" w:after="40"/>
              <w:jc w:val="center"/>
            </w:pPr>
            <w:r>
              <w:rPr>
                <w:rFonts w:ascii="Times New Roman" w:hAnsi="Times New Roman"/>
                <w:color w:val="000000"/>
                <w:sz w:val="18"/>
              </w:rPr>
              <w:t>37.9%</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37.8%</w:t>
            </w:r>
          </w:p>
        </w:tc>
      </w:tr>
    </w:tbl>
    <w:p>
      <w:pPr>
        <w:spacing w:after="120"/>
      </w:pPr>
    </w:p>
    <w:p>
      <w:pPr>
        <w:spacing w:line="480" w:lineRule="auto" w:before="0" w:after="0"/>
        <w:jc w:val="left"/>
      </w:pPr>
      <w:r>
        <w:rPr>
          <w:rFonts w:ascii="Times New Roman" w:hAnsi="Times New Roman"/>
          <w:i/>
          <w:color w:val="000000"/>
          <w:sz w:val="20"/>
        </w:rPr>
        <w:t>Source: Author's computation (2026). DA (%) denotes Directional Accuracy across all 28 assets.</w:t>
      </w:r>
    </w:p>
    <w:p>
      <w:pPr>
        <w:spacing w:line="480" w:lineRule="auto" w:before="0" w:after="0"/>
        <w:jc w:val="left"/>
      </w:pPr>
      <w:r>
        <w:rPr>
          <w:rFonts w:ascii="Times New Roman" w:hAnsi="Times New Roman"/>
          <w:b/>
          <w:color w:val="000000"/>
          <w:sz w:val="24"/>
        </w:rPr>
        <w:t>Econometric Evaluation of Forecasting Performance &amp; Directional Accuracy Mechanics:</w:t>
      </w:r>
    </w:p>
    <w:p>
      <w:pPr>
        <w:spacing w:line="480" w:lineRule="auto" w:before="0" w:after="0"/>
        <w:jc w:val="both"/>
      </w:pPr>
      <w:r>
        <w:rPr>
          <w:rFonts w:ascii="Times New Roman" w:hAnsi="Times New Roman"/>
          <w:color w:val="000000"/>
          <w:sz w:val="24"/>
        </w:rPr>
        <w:t>As reported in Table 4.3, the out-of-sample Root Mean Squared Error (RMSE) across all 28 NGX equities averages 0.0602 for the Historical Mean baseline, 0.0608 for XGBoost, and 0.0627 for Random Forest, while binary directional accuracy hovers around ~37.8%--38.1%. Econometrically, directional accuracy (DA) is a symmetric binary metric that treats minor zero-mean noise (+0.1%) identically to major crash movements (-10%). At weekly sampling horizons, financial return series are dominated by unobserved news noise, causing flat historical baselines to minimize squared error during quiescent periods. However, Mean-CVaR portfolio optimization does not rely on binary sign prediction across noise weeks; rather, it depends on cross-sectional magnitude discrimination during extreme left-tail drawdowns. Tree-based models utilize volume-confirmed momentum (PPO, OBV) and volatility scaling (ATR, ADX) to correctly rank and penalize the bottom assets facing severe downside tail risk. Consequently, while ML models do not beat the baseline in raw point RMSE or binary directional accuracy, their value lies in providing dynamic expected return vectors into the portfolio optimizer to reorder relative cross-sectional weights during tail events.</w:t>
      </w:r>
    </w:p>
    <w:p>
      <w:pPr>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spacing w:line="480" w:lineRule="auto" w:before="0" w:after="0"/>
        <w:jc w:val="left"/>
      </w:pPr>
      <w:r>
        <w:rPr>
          <w:rFonts w:ascii="Times New Roman" w:hAnsi="Times New Roman"/>
          <w:i/>
          <w:color w:val="000000"/>
          <w:sz w:val="20"/>
        </w:rPr>
        <w:t>Figure 4.2: Feature Importance Breakdown across Technical Indicators</w:t>
      </w:r>
    </w:p>
    <w:p>
      <w:pPr>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alpha generation. All strategies incorporated the weekly CBN 91-day T-Bill risk-free rate (0.319% / 18.00% annualized).</w:t>
      </w:r>
    </w:p>
    <w:p>
      <w:pPr>
        <w:spacing w:line="480" w:lineRule="auto" w:before="0" w:after="0"/>
        <w:jc w:val="left"/>
      </w:pPr>
      <w:r>
        <w:rPr>
          <w:rFonts w:ascii="Times New Roman" w:hAnsi="Times New Roman"/>
          <w:b/>
          <w:color w:val="000000"/>
          <w:sz w:val="24"/>
        </w:rPr>
        <w:t>Table 4.4: Out-of-Sample Portfolio Performance with 1.50% Retail Transaction Fees &amp; Market Slippage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35.37%</w:t>
            </w:r>
          </w:p>
        </w:tc>
        <w:tc>
          <w:tcPr>
            <w:tcW w:type="dxa" w:w="1170"/>
          </w:tcPr>
          <w:p>
            <w:pPr>
              <w:spacing w:line="276" w:lineRule="auto" w:before="40" w:after="40"/>
              <w:jc w:val="center"/>
            </w:pPr>
            <w:r>
              <w:rPr>
                <w:rFonts w:ascii="Times New Roman" w:hAnsi="Times New Roman"/>
                <w:color w:val="000000"/>
                <w:sz w:val="18"/>
              </w:rPr>
              <w:t>16.17%</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1.99</w:t>
            </w:r>
          </w:p>
        </w:tc>
        <w:tc>
          <w:tcPr>
            <w:tcW w:type="dxa" w:w="1170"/>
          </w:tcPr>
          <w:p>
            <w:pPr>
              <w:spacing w:line="276" w:lineRule="auto" w:before="40" w:after="40"/>
              <w:jc w:val="center"/>
            </w:pPr>
            <w:r>
              <w:rPr>
                <w:rFonts w:ascii="Times New Roman" w:hAnsi="Times New Roman"/>
                <w:color w:val="000000"/>
                <w:sz w:val="18"/>
              </w:rPr>
              <w:t>-2.25%</w:t>
            </w:r>
          </w:p>
        </w:tc>
        <w:tc>
          <w:tcPr>
            <w:tcW w:type="dxa" w:w="1170"/>
          </w:tcPr>
          <w:p>
            <w:pPr>
              <w:spacing w:line="276" w:lineRule="auto" w:before="40" w:after="40"/>
              <w:jc w:val="center"/>
            </w:pPr>
            <w:r>
              <w:rPr>
                <w:rFonts w:ascii="Times New Roman" w:hAnsi="Times New Roman"/>
                <w:color w:val="000000"/>
                <w:sz w:val="18"/>
              </w:rPr>
              <w:t>-3.05%</w:t>
            </w:r>
          </w:p>
        </w:tc>
        <w:tc>
          <w:tcPr>
            <w:tcW w:type="dxa" w:w="1170"/>
          </w:tcPr>
          <w:p>
            <w:pPr>
              <w:spacing w:line="276" w:lineRule="auto" w:before="40" w:after="40"/>
              <w:jc w:val="center"/>
            </w:pPr>
            <w:r>
              <w:rPr>
                <w:rFonts w:ascii="Times New Roman" w:hAnsi="Times New Roman"/>
                <w:color w:val="000000"/>
                <w:sz w:val="18"/>
              </w:rPr>
              <w:t>-23.01%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33.42%</w:t>
            </w:r>
          </w:p>
        </w:tc>
        <w:tc>
          <w:tcPr>
            <w:tcW w:type="dxa" w:w="1170"/>
          </w:tcPr>
          <w:p>
            <w:pPr>
              <w:spacing w:line="276" w:lineRule="auto" w:before="40" w:after="40"/>
              <w:jc w:val="center"/>
            </w:pPr>
            <w:r>
              <w:rPr>
                <w:rFonts w:ascii="Times New Roman" w:hAnsi="Times New Roman"/>
                <w:color w:val="000000"/>
                <w:sz w:val="18"/>
              </w:rPr>
              <w:t>15.98%</w:t>
            </w:r>
          </w:p>
        </w:tc>
        <w:tc>
          <w:tcPr>
            <w:tcW w:type="dxa" w:w="1170"/>
          </w:tcPr>
          <w:p>
            <w:pPr>
              <w:spacing w:line="276" w:lineRule="auto" w:before="40" w:after="40"/>
              <w:jc w:val="center"/>
            </w:pPr>
            <w:r>
              <w:rPr>
                <w:rFonts w:ascii="Times New Roman" w:hAnsi="Times New Roman"/>
                <w:color w:val="000000"/>
                <w:sz w:val="18"/>
              </w:rPr>
              <w:t>0.96</w:t>
            </w:r>
          </w:p>
        </w:tc>
        <w:tc>
          <w:tcPr>
            <w:tcW w:type="dxa" w:w="1170"/>
          </w:tcPr>
          <w:p>
            <w:pPr>
              <w:spacing w:line="276" w:lineRule="auto" w:before="40" w:after="40"/>
              <w:jc w:val="center"/>
            </w:pPr>
            <w:r>
              <w:rPr>
                <w:rFonts w:ascii="Times New Roman" w:hAnsi="Times New Roman"/>
                <w:color w:val="000000"/>
                <w:sz w:val="18"/>
              </w:rPr>
              <w:t>1.75</w:t>
            </w:r>
          </w:p>
        </w:tc>
        <w:tc>
          <w:tcPr>
            <w:tcW w:type="dxa" w:w="1170"/>
          </w:tcPr>
          <w:p>
            <w:pPr>
              <w:spacing w:line="276" w:lineRule="auto" w:before="40" w:after="40"/>
              <w:jc w:val="center"/>
            </w:pPr>
            <w:r>
              <w:rPr>
                <w:rFonts w:ascii="Times New Roman" w:hAnsi="Times New Roman"/>
                <w:color w:val="000000"/>
                <w:sz w:val="18"/>
              </w:rPr>
              <w:t>-2.47%</w:t>
            </w:r>
          </w:p>
        </w:tc>
        <w:tc>
          <w:tcPr>
            <w:tcW w:type="dxa" w:w="1170"/>
          </w:tcPr>
          <w:p>
            <w:pPr>
              <w:spacing w:line="276" w:lineRule="auto" w:before="40" w:after="40"/>
              <w:jc w:val="center"/>
            </w:pPr>
            <w:r>
              <w:rPr>
                <w:rFonts w:ascii="Times New Roman" w:hAnsi="Times New Roman"/>
                <w:color w:val="000000"/>
                <w:sz w:val="18"/>
              </w:rPr>
              <w:t>-3.10%</w:t>
            </w:r>
          </w:p>
        </w:tc>
        <w:tc>
          <w:tcPr>
            <w:tcW w:type="dxa" w:w="1170"/>
          </w:tcPr>
          <w:p>
            <w:pPr>
              <w:spacing w:line="276" w:lineRule="auto" w:before="40" w:after="40"/>
              <w:jc w:val="center"/>
            </w:pPr>
            <w:r>
              <w:rPr>
                <w:rFonts w:ascii="Times New Roman" w:hAnsi="Times New Roman"/>
                <w:color w:val="000000"/>
                <w:sz w:val="18"/>
              </w:rPr>
              <w:t>-25.12%</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41.97%</w:t>
            </w:r>
          </w:p>
        </w:tc>
        <w:tc>
          <w:tcPr>
            <w:tcW w:type="dxa" w:w="1170"/>
          </w:tcPr>
          <w:p>
            <w:pPr>
              <w:spacing w:line="276" w:lineRule="auto" w:before="40" w:after="40"/>
              <w:jc w:val="center"/>
            </w:pPr>
            <w:r>
              <w:rPr>
                <w:rFonts w:ascii="Times New Roman" w:hAnsi="Times New Roman"/>
                <w:color w:val="000000"/>
                <w:sz w:val="18"/>
              </w:rPr>
              <w:t>16.15%</w:t>
            </w:r>
          </w:p>
        </w:tc>
        <w:tc>
          <w:tcPr>
            <w:tcW w:type="dxa" w:w="1170"/>
          </w:tcPr>
          <w:p>
            <w:pPr>
              <w:spacing w:line="276" w:lineRule="auto" w:before="40" w:after="40"/>
              <w:jc w:val="center"/>
            </w:pPr>
            <w:r>
              <w:rPr>
                <w:rFonts w:ascii="Times New Roman" w:hAnsi="Times New Roman"/>
                <w:color w:val="000000"/>
                <w:sz w:val="18"/>
              </w:rPr>
              <w:t>1.48</w:t>
            </w:r>
          </w:p>
        </w:tc>
        <w:tc>
          <w:tcPr>
            <w:tcW w:type="dxa" w:w="1170"/>
          </w:tcPr>
          <w:p>
            <w:pPr>
              <w:spacing w:line="276" w:lineRule="auto" w:before="40" w:after="40"/>
              <w:jc w:val="center"/>
            </w:pPr>
            <w:r>
              <w:rPr>
                <w:rFonts w:ascii="Times New Roman" w:hAnsi="Times New Roman"/>
                <w:color w:val="000000"/>
                <w:sz w:val="18"/>
              </w:rPr>
              <w:t>3.00</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-20.48%</w:t>
            </w:r>
          </w:p>
        </w:tc>
        <w:tc>
          <w:tcPr>
            <w:tcW w:type="dxa" w:w="1170"/>
          </w:tcPr>
          <w:p>
            <w:pPr>
              <w:spacing w:line="276" w:lineRule="auto" w:before="40" w:after="40"/>
              <w:jc w:val="center"/>
            </w:pPr>
            <w:r>
              <w:rPr>
                <w:rFonts w:ascii="Times New Roman" w:hAnsi="Times New Roman"/>
                <w:color w:val="000000"/>
                <w:sz w:val="18"/>
              </w:rPr>
              <w:t>53.92%</w:t>
            </w:r>
          </w:p>
        </w:tc>
        <w:tc>
          <w:tcPr>
            <w:tcW w:type="dxa" w:w="1170"/>
          </w:tcPr>
          <w:p>
            <w:pPr>
              <w:spacing w:line="276" w:lineRule="auto" w:before="40" w:after="40"/>
              <w:jc w:val="center"/>
            </w:pPr>
            <w:r>
              <w:rPr>
                <w:rFonts w:ascii="Times New Roman" w:hAnsi="Times New Roman"/>
                <w:color w:val="000000"/>
                <w:sz w:val="18"/>
              </w:rPr>
              <w:t>-0.71</w:t>
            </w:r>
          </w:p>
        </w:tc>
        <w:tc>
          <w:tcPr>
            <w:tcW w:type="dxa" w:w="1170"/>
          </w:tcPr>
          <w:p>
            <w:pPr>
              <w:spacing w:line="276" w:lineRule="auto" w:before="40" w:after="40"/>
              <w:jc w:val="center"/>
            </w:pPr>
            <w:r>
              <w:rPr>
                <w:rFonts w:ascii="Times New Roman" w:hAnsi="Times New Roman"/>
                <w:color w:val="000000"/>
                <w:sz w:val="18"/>
              </w:rPr>
              <w:t>-1.02</w:t>
            </w:r>
          </w:p>
        </w:tc>
        <w:tc>
          <w:tcPr>
            <w:tcW w:type="dxa" w:w="1170"/>
          </w:tcPr>
          <w:p>
            <w:pPr>
              <w:spacing w:line="276" w:lineRule="auto" w:before="40" w:after="40"/>
              <w:jc w:val="center"/>
            </w:pPr>
            <w:r>
              <w:rPr>
                <w:rFonts w:ascii="Times New Roman" w:hAnsi="Times New Roman"/>
                <w:color w:val="000000"/>
                <w:sz w:val="18"/>
              </w:rPr>
              <w:t>-10.85%</w:t>
            </w:r>
          </w:p>
        </w:tc>
        <w:tc>
          <w:tcPr>
            <w:tcW w:type="dxa" w:w="1170"/>
          </w:tcPr>
          <w:p>
            <w:pPr>
              <w:spacing w:line="276" w:lineRule="auto" w:before="40" w:after="40"/>
              <w:jc w:val="center"/>
            </w:pPr>
            <w:r>
              <w:rPr>
                <w:rFonts w:ascii="Times New Roman" w:hAnsi="Times New Roman"/>
                <w:color w:val="000000"/>
                <w:sz w:val="18"/>
              </w:rPr>
              <w:t>-17.16%</w:t>
            </w:r>
          </w:p>
        </w:tc>
        <w:tc>
          <w:tcPr>
            <w:tcW w:type="dxa" w:w="1170"/>
          </w:tcPr>
          <w:p>
            <w:pPr>
              <w:spacing w:line="276" w:lineRule="auto" w:before="40" w:after="40"/>
              <w:jc w:val="center"/>
            </w:pPr>
            <w:r>
              <w:rPr>
                <w:rFonts w:ascii="Times New Roman" w:hAnsi="Times New Roman"/>
                <w:color w:val="000000"/>
                <w:sz w:val="18"/>
              </w:rPr>
              <w:t>-86.38%</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37.27%</w:t>
            </w:r>
          </w:p>
        </w:tc>
        <w:tc>
          <w:tcPr>
            <w:tcW w:type="dxa" w:w="1170"/>
          </w:tcPr>
          <w:p>
            <w:pPr>
              <w:spacing w:line="276" w:lineRule="auto" w:before="40" w:after="40"/>
              <w:jc w:val="center"/>
            </w:pPr>
            <w:r>
              <w:rPr>
                <w:rFonts w:ascii="Times New Roman" w:hAnsi="Times New Roman"/>
                <w:color w:val="000000"/>
                <w:sz w:val="18"/>
              </w:rPr>
              <w:t>18.27%</w:t>
            </w:r>
          </w:p>
        </w:tc>
        <w:tc>
          <w:tcPr>
            <w:tcW w:type="dxa" w:w="1170"/>
          </w:tcPr>
          <w:p>
            <w:pPr>
              <w:spacing w:line="276" w:lineRule="auto" w:before="40" w:after="40"/>
              <w:jc w:val="center"/>
            </w:pPr>
            <w:r>
              <w:rPr>
                <w:rFonts w:ascii="Times New Roman" w:hAnsi="Times New Roman"/>
                <w:color w:val="000000"/>
                <w:sz w:val="18"/>
              </w:rPr>
              <w:t>1.05</w:t>
            </w:r>
          </w:p>
        </w:tc>
        <w:tc>
          <w:tcPr>
            <w:tcW w:type="dxa" w:w="1170"/>
          </w:tcPr>
          <w:p>
            <w:pPr>
              <w:spacing w:line="276" w:lineRule="auto" w:before="40" w:after="40"/>
              <w:jc w:val="center"/>
            </w:pPr>
            <w:r>
              <w:rPr>
                <w:rFonts w:ascii="Times New Roman" w:hAnsi="Times New Roman"/>
                <w:color w:val="000000"/>
                <w:sz w:val="18"/>
              </w:rPr>
              <w:t>1.81</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35.73%</w:t>
            </w:r>
          </w:p>
        </w:tc>
        <w:tc>
          <w:tcPr>
            <w:tcW w:type="dxa" w:w="1170"/>
          </w:tcPr>
          <w:p>
            <w:pPr>
              <w:spacing w:line="276" w:lineRule="auto" w:before="40" w:after="40"/>
              <w:jc w:val="center"/>
            </w:pPr>
            <w:r>
              <w:rPr>
                <w:rFonts w:ascii="Times New Roman" w:hAnsi="Times New Roman"/>
                <w:color w:val="000000"/>
                <w:sz w:val="18"/>
              </w:rPr>
              <w:t>19.75%</w:t>
            </w:r>
          </w:p>
        </w:tc>
        <w:tc>
          <w:tcPr>
            <w:tcW w:type="dxa" w:w="1170"/>
          </w:tcPr>
          <w:p>
            <w:pPr>
              <w:spacing w:line="276" w:lineRule="auto" w:before="40" w:after="40"/>
              <w:jc w:val="center"/>
            </w:pPr>
            <w:r>
              <w:rPr>
                <w:rFonts w:ascii="Times New Roman" w:hAnsi="Times New Roman"/>
                <w:color w:val="000000"/>
                <w:sz w:val="18"/>
              </w:rPr>
              <w:t>0.90</w:t>
            </w:r>
          </w:p>
        </w:tc>
        <w:tc>
          <w:tcPr>
            <w:tcW w:type="dxa" w:w="1170"/>
          </w:tcPr>
          <w:p>
            <w:pPr>
              <w:spacing w:line="276" w:lineRule="auto" w:before="40" w:after="40"/>
              <w:jc w:val="center"/>
            </w:pPr>
            <w:r>
              <w:rPr>
                <w:rFonts w:ascii="Times New Roman" w:hAnsi="Times New Roman"/>
                <w:color w:val="000000"/>
                <w:sz w:val="18"/>
              </w:rPr>
              <w:t>1.53</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Backtested under 1.50% retail transaction fee and 0.319% weekly Rf rate.</w:t>
      </w:r>
    </w:p>
    <w:p>
      <w:pPr>
        <w:spacing w:line="480" w:lineRule="auto" w:before="0" w:after="0"/>
        <w:jc w:val="left"/>
      </w:pPr>
      <w:r>
        <w:rPr>
          <w:rFonts w:ascii="Times New Roman" w:hAnsi="Times New Roman"/>
          <w:b/>
          <w:color w:val="000000"/>
          <w:sz w:val="24"/>
        </w:rPr>
        <w:t>Table 4.5: Out-of-Sample Portfolio Performance under Zero Transaction Fees (Gross Alpha - 0.00%)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41.29%</w:t>
            </w:r>
          </w:p>
        </w:tc>
        <w:tc>
          <w:tcPr>
            <w:tcW w:type="dxa" w:w="1170"/>
          </w:tcPr>
          <w:p>
            <w:pPr>
              <w:spacing w:line="276" w:lineRule="auto" w:before="40" w:after="40"/>
              <w:jc w:val="center"/>
            </w:pPr>
            <w:r>
              <w:rPr>
                <w:rFonts w:ascii="Times New Roman" w:hAnsi="Times New Roman"/>
                <w:color w:val="000000"/>
                <w:sz w:val="18"/>
              </w:rPr>
              <w:t>16.05%</w:t>
            </w:r>
          </w:p>
        </w:tc>
        <w:tc>
          <w:tcPr>
            <w:tcW w:type="dxa" w:w="1170"/>
          </w:tcPr>
          <w:p>
            <w:pPr>
              <w:spacing w:line="276" w:lineRule="auto" w:before="40" w:after="40"/>
              <w:jc w:val="center"/>
            </w:pPr>
            <w:r>
              <w:rPr>
                <w:rFonts w:ascii="Times New Roman" w:hAnsi="Times New Roman"/>
                <w:color w:val="000000"/>
                <w:sz w:val="18"/>
              </w:rPr>
              <w:t>1.45</w:t>
            </w:r>
          </w:p>
        </w:tc>
        <w:tc>
          <w:tcPr>
            <w:tcW w:type="dxa" w:w="1170"/>
          </w:tcPr>
          <w:p>
            <w:pPr>
              <w:spacing w:line="276" w:lineRule="auto" w:before="40" w:after="40"/>
              <w:jc w:val="center"/>
            </w:pPr>
            <w:r>
              <w:rPr>
                <w:rFonts w:ascii="Times New Roman" w:hAnsi="Times New Roman"/>
                <w:color w:val="000000"/>
                <w:sz w:val="18"/>
              </w:rPr>
              <w:t>2.87</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-2.78%</w:t>
            </w:r>
          </w:p>
        </w:tc>
        <w:tc>
          <w:tcPr>
            <w:tcW w:type="dxa" w:w="1170"/>
          </w:tcPr>
          <w:p>
            <w:pPr>
              <w:spacing w:line="276" w:lineRule="auto" w:before="40" w:after="40"/>
              <w:jc w:val="center"/>
            </w:pPr>
            <w:r>
              <w:rPr>
                <w:rFonts w:ascii="Times New Roman" w:hAnsi="Times New Roman"/>
                <w:color w:val="000000"/>
                <w:sz w:val="18"/>
              </w:rPr>
              <w:t>-22.01%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42.00%</w:t>
            </w:r>
          </w:p>
        </w:tc>
        <w:tc>
          <w:tcPr>
            <w:tcW w:type="dxa" w:w="1170"/>
          </w:tcPr>
          <w:p>
            <w:pPr>
              <w:spacing w:line="276" w:lineRule="auto" w:before="40" w:after="40"/>
              <w:jc w:val="center"/>
            </w:pPr>
            <w:r>
              <w:rPr>
                <w:rFonts w:ascii="Times New Roman" w:hAnsi="Times New Roman"/>
                <w:color w:val="000000"/>
                <w:sz w:val="18"/>
              </w:rPr>
              <w:t>15.75%</w:t>
            </w:r>
          </w:p>
        </w:tc>
        <w:tc>
          <w:tcPr>
            <w:tcW w:type="dxa" w:w="1170"/>
          </w:tcPr>
          <w:p>
            <w:pPr>
              <w:spacing w:line="276" w:lineRule="auto" w:before="40" w:after="40"/>
              <w:jc w:val="center"/>
            </w:pPr>
            <w:r>
              <w:rPr>
                <w:rFonts w:ascii="Times New Roman" w:hAnsi="Times New Roman"/>
                <w:color w:val="000000"/>
                <w:sz w:val="18"/>
              </w:rPr>
              <w:t>1.52</w:t>
            </w:r>
          </w:p>
        </w:tc>
        <w:tc>
          <w:tcPr>
            <w:tcW w:type="dxa" w:w="1170"/>
          </w:tcPr>
          <w:p>
            <w:pPr>
              <w:spacing w:line="276" w:lineRule="auto" w:before="40" w:after="40"/>
              <w:jc w:val="center"/>
            </w:pPr>
            <w:r>
              <w:rPr>
                <w:rFonts w:ascii="Times New Roman" w:hAnsi="Times New Roman"/>
                <w:color w:val="000000"/>
                <w:sz w:val="18"/>
              </w:rPr>
              <w:t>3.06</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-2.58%</w:t>
            </w:r>
          </w:p>
        </w:tc>
        <w:tc>
          <w:tcPr>
            <w:tcW w:type="dxa" w:w="1170"/>
          </w:tcPr>
          <w:p>
            <w:pPr>
              <w:spacing w:line="276" w:lineRule="auto" w:before="40" w:after="40"/>
              <w:jc w:val="center"/>
            </w:pPr>
            <w:r>
              <w:rPr>
                <w:rFonts w:ascii="Times New Roman" w:hAnsi="Times New Roman"/>
                <w:color w:val="000000"/>
                <w:sz w:val="18"/>
              </w:rPr>
              <w:t>-22.09%</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42.27%</w:t>
            </w:r>
          </w:p>
        </w:tc>
        <w:tc>
          <w:tcPr>
            <w:tcW w:type="dxa" w:w="1170"/>
          </w:tcPr>
          <w:p>
            <w:pPr>
              <w:spacing w:line="276" w:lineRule="auto" w:before="40" w:after="40"/>
              <w:jc w:val="center"/>
            </w:pPr>
            <w:r>
              <w:rPr>
                <w:rFonts w:ascii="Times New Roman" w:hAnsi="Times New Roman"/>
                <w:color w:val="000000"/>
                <w:sz w:val="18"/>
              </w:rPr>
              <w:t>16.16%</w:t>
            </w:r>
          </w:p>
        </w:tc>
        <w:tc>
          <w:tcPr>
            <w:tcW w:type="dxa" w:w="1170"/>
          </w:tcPr>
          <w:p>
            <w:pPr>
              <w:spacing w:line="276" w:lineRule="auto" w:before="40" w:after="40"/>
              <w:jc w:val="center"/>
            </w:pPr>
            <w:r>
              <w:rPr>
                <w:rFonts w:ascii="Times New Roman" w:hAnsi="Times New Roman"/>
                <w:color w:val="000000"/>
                <w:sz w:val="18"/>
              </w:rPr>
              <w:t>1.50</w:t>
            </w:r>
          </w:p>
        </w:tc>
        <w:tc>
          <w:tcPr>
            <w:tcW w:type="dxa" w:w="1170"/>
          </w:tcPr>
          <w:p>
            <w:pPr>
              <w:spacing w:line="276" w:lineRule="auto" w:before="40" w:after="40"/>
              <w:jc w:val="center"/>
            </w:pPr>
            <w:r>
              <w:rPr>
                <w:rFonts w:ascii="Times New Roman" w:hAnsi="Times New Roman"/>
                <w:color w:val="000000"/>
                <w:sz w:val="18"/>
              </w:rPr>
              <w:t>3.04</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56.97%</w:t>
            </w:r>
          </w:p>
        </w:tc>
        <w:tc>
          <w:tcPr>
            <w:tcW w:type="dxa" w:w="1170"/>
          </w:tcPr>
          <w:p>
            <w:pPr>
              <w:spacing w:line="276" w:lineRule="auto" w:before="40" w:after="40"/>
              <w:jc w:val="center"/>
            </w:pPr>
            <w:r>
              <w:rPr>
                <w:rFonts w:ascii="Times New Roman" w:hAnsi="Times New Roman"/>
                <w:color w:val="000000"/>
                <w:sz w:val="18"/>
              </w:rPr>
              <w:t>54.18%</w:t>
            </w:r>
          </w:p>
        </w:tc>
        <w:tc>
          <w:tcPr>
            <w:tcW w:type="dxa" w:w="1170"/>
          </w:tcPr>
          <w:p>
            <w:pPr>
              <w:spacing w:line="276" w:lineRule="auto" w:before="40" w:after="40"/>
              <w:jc w:val="center"/>
            </w:pPr>
            <w:r>
              <w:rPr>
                <w:rFonts w:ascii="Times New Roman" w:hAnsi="Times New Roman"/>
                <w:color w:val="000000"/>
                <w:sz w:val="18"/>
              </w:rPr>
              <w:t>0.72</w:t>
            </w:r>
          </w:p>
        </w:tc>
        <w:tc>
          <w:tcPr>
            <w:tcW w:type="dxa" w:w="1170"/>
          </w:tcPr>
          <w:p>
            <w:pPr>
              <w:spacing w:line="276" w:lineRule="auto" w:before="40" w:after="40"/>
              <w:jc w:val="center"/>
            </w:pPr>
            <w:r>
              <w:rPr>
                <w:rFonts w:ascii="Times New Roman" w:hAnsi="Times New Roman"/>
                <w:color w:val="000000"/>
                <w:sz w:val="18"/>
              </w:rPr>
              <w:t>1.25</w:t>
            </w:r>
          </w:p>
        </w:tc>
        <w:tc>
          <w:tcPr>
            <w:tcW w:type="dxa" w:w="1170"/>
          </w:tcPr>
          <w:p>
            <w:pPr>
              <w:spacing w:line="276" w:lineRule="auto" w:before="40" w:after="40"/>
              <w:jc w:val="center"/>
            </w:pPr>
            <w:r>
              <w:rPr>
                <w:rFonts w:ascii="Times New Roman" w:hAnsi="Times New Roman"/>
                <w:color w:val="000000"/>
                <w:sz w:val="18"/>
              </w:rPr>
              <w:t>-8.83%</w:t>
            </w:r>
          </w:p>
        </w:tc>
        <w:tc>
          <w:tcPr>
            <w:tcW w:type="dxa" w:w="1170"/>
          </w:tcPr>
          <w:p>
            <w:pPr>
              <w:spacing w:line="276" w:lineRule="auto" w:before="40" w:after="40"/>
              <w:jc w:val="center"/>
            </w:pPr>
            <w:r>
              <w:rPr>
                <w:rFonts w:ascii="Times New Roman" w:hAnsi="Times New Roman"/>
                <w:color w:val="000000"/>
                <w:sz w:val="18"/>
              </w:rPr>
              <w:t>-15.38%</w:t>
            </w:r>
          </w:p>
        </w:tc>
        <w:tc>
          <w:tcPr>
            <w:tcW w:type="dxa" w:w="1170"/>
          </w:tcPr>
          <w:p>
            <w:pPr>
              <w:spacing w:line="276" w:lineRule="auto" w:before="40" w:after="40"/>
              <w:jc w:val="center"/>
            </w:pPr>
            <w:r>
              <w:rPr>
                <w:rFonts w:ascii="Times New Roman" w:hAnsi="Times New Roman"/>
                <w:color w:val="000000"/>
                <w:sz w:val="18"/>
              </w:rPr>
              <w:t>-53.51%</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37.57%</w:t>
            </w:r>
          </w:p>
        </w:tc>
        <w:tc>
          <w:tcPr>
            <w:tcW w:type="dxa" w:w="1170"/>
          </w:tcPr>
          <w:p>
            <w:pPr>
              <w:spacing w:line="276" w:lineRule="auto" w:before="40" w:after="40"/>
              <w:jc w:val="center"/>
            </w:pPr>
            <w:r>
              <w:rPr>
                <w:rFonts w:ascii="Times New Roman" w:hAnsi="Times New Roman"/>
                <w:color w:val="000000"/>
                <w:sz w:val="18"/>
              </w:rPr>
              <w:t>18.31%</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1.84</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36.03%</w:t>
            </w:r>
          </w:p>
        </w:tc>
        <w:tc>
          <w:tcPr>
            <w:tcW w:type="dxa" w:w="1170"/>
          </w:tcPr>
          <w:p>
            <w:pPr>
              <w:spacing w:line="276" w:lineRule="auto" w:before="40" w:after="40"/>
              <w:jc w:val="center"/>
            </w:pPr>
            <w:r>
              <w:rPr>
                <w:rFonts w:ascii="Times New Roman" w:hAnsi="Times New Roman"/>
                <w:color w:val="000000"/>
                <w:sz w:val="18"/>
              </w:rPr>
              <w:t>19.79%</w:t>
            </w:r>
          </w:p>
        </w:tc>
        <w:tc>
          <w:tcPr>
            <w:tcW w:type="dxa" w:w="1170"/>
          </w:tcPr>
          <w:p>
            <w:pPr>
              <w:spacing w:line="276" w:lineRule="auto" w:before="40" w:after="40"/>
              <w:jc w:val="center"/>
            </w:pPr>
            <w:r>
              <w:rPr>
                <w:rFonts w:ascii="Times New Roman" w:hAnsi="Times New Roman"/>
                <w:color w:val="000000"/>
                <w:sz w:val="18"/>
              </w:rPr>
              <w:t>0.91</w:t>
            </w:r>
          </w:p>
        </w:tc>
        <w:tc>
          <w:tcPr>
            <w:tcW w:type="dxa" w:w="1170"/>
          </w:tcPr>
          <w:p>
            <w:pPr>
              <w:spacing w:line="276" w:lineRule="auto" w:before="40" w:after="40"/>
              <w:jc w:val="center"/>
            </w:pPr>
            <w:r>
              <w:rPr>
                <w:rFonts w:ascii="Times New Roman" w:hAnsi="Times New Roman"/>
                <w:color w:val="000000"/>
                <w:sz w:val="18"/>
              </w:rPr>
              <w:t>1.55</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Gross performance under zero transaction fee friction.</w:t>
      </w:r>
    </w:p>
    <w:p>
      <w:pPr>
        <w:spacing w:line="480" w:lineRule="auto" w:before="0" w:after="0"/>
        <w:jc w:val="left"/>
      </w:pPr>
      <w:r>
        <w:rPr>
          <w:rFonts w:ascii="Times New Roman" w:hAnsi="Times New Roman"/>
          <w:b/>
          <w:color w:val="000000"/>
          <w:sz w:val="24"/>
        </w:rPr>
        <w:t>Table 4.5b: Out-of-Sample Portfolio Performance under 0.75% Institutional PFA Transaction Fees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F2F2F2"/>
          </w:tcPr>
          <w:p>
            <w:pPr>
              <w:spacing w:line="276" w:lineRule="auto" w:before="40" w:after="40"/>
              <w:jc w:val="center"/>
            </w:pPr>
            <w:r>
              <w:rPr>
                <w:rFonts w:ascii="Times New Roman" w:hAnsi="Times New Roman"/>
                <w:b/>
                <w:color w:val="000000"/>
                <w:sz w:val="19"/>
              </w:rPr>
              <w:t>Strategy</w:t>
            </w:r>
          </w:p>
        </w:tc>
        <w:tc>
          <w:tcPr>
            <w:tcW w:type="dxa" w:w="1040"/>
            <w:shd w:val="clear" w:color="auto" w:fill="F2F2F2"/>
          </w:tcPr>
          <w:p>
            <w:pPr>
              <w:spacing w:line="276" w:lineRule="auto" w:before="40" w:after="40"/>
              <w:jc w:val="center"/>
            </w:pPr>
            <w:r>
              <w:rPr>
                <w:rFonts w:ascii="Times New Roman" w:hAnsi="Times New Roman"/>
                <w:b/>
                <w:color w:val="000000"/>
                <w:sz w:val="19"/>
              </w:rPr>
              <w:t>Ann. Return (%)</w:t>
            </w:r>
          </w:p>
        </w:tc>
        <w:tc>
          <w:tcPr>
            <w:tcW w:type="dxa" w:w="1040"/>
            <w:shd w:val="clear" w:color="auto" w:fill="F2F2F2"/>
          </w:tcPr>
          <w:p>
            <w:pPr>
              <w:spacing w:line="276" w:lineRule="auto" w:before="40" w:after="40"/>
              <w:jc w:val="center"/>
            </w:pPr>
            <w:r>
              <w:rPr>
                <w:rFonts w:ascii="Times New Roman" w:hAnsi="Times New Roman"/>
                <w:b/>
                <w:color w:val="000000"/>
                <w:sz w:val="19"/>
              </w:rPr>
              <w:t>Ann. Vol (%)</w:t>
            </w:r>
          </w:p>
        </w:tc>
        <w:tc>
          <w:tcPr>
            <w:tcW w:type="dxa" w:w="1040"/>
            <w:shd w:val="clear" w:color="auto" w:fill="F2F2F2"/>
          </w:tcPr>
          <w:p>
            <w:pPr>
              <w:spacing w:line="276" w:lineRule="auto" w:before="40" w:after="40"/>
              <w:jc w:val="center"/>
            </w:pPr>
            <w:r>
              <w:rPr>
                <w:rFonts w:ascii="Times New Roman" w:hAnsi="Times New Roman"/>
                <w:b/>
                <w:color w:val="000000"/>
                <w:sz w:val="19"/>
              </w:rPr>
              <w:t>Sharpe</w:t>
            </w:r>
          </w:p>
        </w:tc>
        <w:tc>
          <w:tcPr>
            <w:tcW w:type="dxa" w:w="1040"/>
            <w:shd w:val="clear" w:color="auto" w:fill="F2F2F2"/>
          </w:tcPr>
          <w:p>
            <w:pPr>
              <w:spacing w:line="276" w:lineRule="auto" w:before="40" w:after="40"/>
              <w:jc w:val="center"/>
            </w:pPr>
            <w:r>
              <w:rPr>
                <w:rFonts w:ascii="Times New Roman" w:hAnsi="Times New Roman"/>
                <w:b/>
                <w:color w:val="000000"/>
                <w:sz w:val="19"/>
              </w:rPr>
              <w:t>Sortino</w:t>
            </w:r>
          </w:p>
        </w:tc>
        <w:tc>
          <w:tcPr>
            <w:tcW w:type="dxa" w:w="1040"/>
            <w:shd w:val="clear" w:color="auto" w:fill="F2F2F2"/>
          </w:tcPr>
          <w:p>
            <w:pPr>
              <w:spacing w:line="276" w:lineRule="auto" w:before="40" w:after="40"/>
              <w:jc w:val="center"/>
            </w:pPr>
            <w:r>
              <w:rPr>
                <w:rFonts w:ascii="Times New Roman" w:hAnsi="Times New Roman"/>
                <w:b/>
                <w:color w:val="000000"/>
                <w:sz w:val="19"/>
              </w:rPr>
              <w:t>VaR 95%</w:t>
            </w:r>
          </w:p>
        </w:tc>
        <w:tc>
          <w:tcPr>
            <w:tcW w:type="dxa" w:w="1040"/>
            <w:shd w:val="clear" w:color="auto" w:fill="F2F2F2"/>
          </w:tcPr>
          <w:p>
            <w:pPr>
              <w:spacing w:line="276" w:lineRule="auto" w:before="40" w:after="40"/>
              <w:jc w:val="center"/>
            </w:pPr>
            <w:r>
              <w:rPr>
                <w:rFonts w:ascii="Times New Roman" w:hAnsi="Times New Roman"/>
                <w:b/>
                <w:color w:val="000000"/>
                <w:sz w:val="19"/>
              </w:rPr>
              <w:t>CVaR 95%</w:t>
            </w:r>
          </w:p>
        </w:tc>
        <w:tc>
          <w:tcPr>
            <w:tcW w:type="dxa" w:w="1040"/>
            <w:shd w:val="clear" w:color="auto" w:fill="F2F2F2"/>
          </w:tcPr>
          <w:p>
            <w:pPr>
              <w:spacing w:line="276" w:lineRule="auto" w:before="40" w:after="40"/>
              <w:jc w:val="center"/>
            </w:pPr>
            <w:r>
              <w:rPr>
                <w:rFonts w:ascii="Times New Roman" w:hAnsi="Times New Roman"/>
                <w:b/>
                <w:color w:val="000000"/>
                <w:sz w:val="19"/>
              </w:rPr>
              <w:t>Max DD (%)</w:t>
            </w:r>
          </w:p>
        </w:tc>
        <w:tc>
          <w:tcPr>
            <w:tcW w:type="dxa" w:w="1040"/>
            <w:shd w:val="clear" w:color="auto" w:fill="F2F2F2"/>
          </w:tcPr>
          <w:p>
            <w:pPr>
              <w:spacing w:line="276" w:lineRule="auto" w:before="40" w:after="40"/>
              <w:jc w:val="center"/>
            </w:pPr>
            <w:r>
              <w:rPr>
                <w:rFonts w:ascii="Times New Roman" w:hAnsi="Times New Roman"/>
                <w:b/>
                <w:color w:val="000000"/>
                <w:sz w:val="19"/>
              </w:rPr>
              <w:t>Wk Turnover (%)</w:t>
            </w:r>
          </w:p>
        </w:tc>
      </w:tr>
      <w:tr>
        <w:tc>
          <w:tcPr>
            <w:tcW w:type="dxa" w:w="1040"/>
          </w:tcPr>
          <w:p>
            <w:pPr>
              <w:spacing w:line="276" w:lineRule="auto" w:before="40" w:after="40"/>
              <w:jc w:val="center"/>
            </w:pPr>
            <w:r>
              <w:rPr>
                <w:rFonts w:ascii="Times New Roman" w:hAnsi="Times New Roman"/>
                <w:color w:val="000000"/>
                <w:sz w:val="18"/>
              </w:rPr>
              <w:t>RF-CVaR</w:t>
            </w:r>
          </w:p>
        </w:tc>
        <w:tc>
          <w:tcPr>
            <w:tcW w:type="dxa" w:w="1040"/>
          </w:tcPr>
          <w:p>
            <w:pPr>
              <w:spacing w:line="276" w:lineRule="auto" w:before="40" w:after="40"/>
              <w:jc w:val="center"/>
            </w:pPr>
            <w:r>
              <w:rPr>
                <w:rFonts w:ascii="Times New Roman" w:hAnsi="Times New Roman"/>
                <w:color w:val="000000"/>
                <w:sz w:val="18"/>
              </w:rPr>
              <w:t>38.33%</w:t>
            </w:r>
          </w:p>
        </w:tc>
        <w:tc>
          <w:tcPr>
            <w:tcW w:type="dxa" w:w="1040"/>
          </w:tcPr>
          <w:p>
            <w:pPr>
              <w:spacing w:line="276" w:lineRule="auto" w:before="40" w:after="40"/>
              <w:jc w:val="center"/>
            </w:pPr>
            <w:r>
              <w:rPr>
                <w:rFonts w:ascii="Times New Roman" w:hAnsi="Times New Roman"/>
                <w:color w:val="000000"/>
                <w:sz w:val="18"/>
              </w:rPr>
              <w:t>16.09%</w:t>
            </w:r>
          </w:p>
        </w:tc>
        <w:tc>
          <w:tcPr>
            <w:tcW w:type="dxa" w:w="1040"/>
          </w:tcPr>
          <w:p>
            <w:pPr>
              <w:spacing w:line="276" w:lineRule="auto" w:before="40" w:after="40"/>
              <w:jc w:val="center"/>
            </w:pPr>
            <w:r>
              <w:rPr>
                <w:rFonts w:ascii="Times New Roman" w:hAnsi="Times New Roman"/>
                <w:color w:val="000000"/>
                <w:sz w:val="18"/>
              </w:rPr>
              <w:t>1.26</w:t>
            </w:r>
          </w:p>
        </w:tc>
        <w:tc>
          <w:tcPr>
            <w:tcW w:type="dxa" w:w="1040"/>
          </w:tcPr>
          <w:p>
            <w:pPr>
              <w:spacing w:line="276" w:lineRule="auto" w:before="40" w:after="40"/>
              <w:jc w:val="center"/>
            </w:pPr>
            <w:r>
              <w:rPr>
                <w:rFonts w:ascii="Times New Roman" w:hAnsi="Times New Roman"/>
                <w:color w:val="000000"/>
                <w:sz w:val="18"/>
              </w:rPr>
              <w:t>2.42</w:t>
            </w:r>
          </w:p>
        </w:tc>
        <w:tc>
          <w:tcPr>
            <w:tcW w:type="dxa" w:w="1040"/>
          </w:tcPr>
          <w:p>
            <w:pPr>
              <w:spacing w:line="276" w:lineRule="auto" w:before="40" w:after="40"/>
              <w:jc w:val="center"/>
            </w:pPr>
            <w:r>
              <w:rPr>
                <w:rFonts w:ascii="Times New Roman" w:hAnsi="Times New Roman"/>
                <w:color w:val="000000"/>
                <w:sz w:val="18"/>
              </w:rPr>
              <w:t>-2.20%</w:t>
            </w:r>
          </w:p>
        </w:tc>
        <w:tc>
          <w:tcPr>
            <w:tcW w:type="dxa" w:w="1040"/>
          </w:tcPr>
          <w:p>
            <w:pPr>
              <w:spacing w:line="276" w:lineRule="auto" w:before="40" w:after="40"/>
              <w:jc w:val="center"/>
            </w:pPr>
            <w:r>
              <w:rPr>
                <w:rFonts w:ascii="Times New Roman" w:hAnsi="Times New Roman"/>
                <w:color w:val="000000"/>
                <w:sz w:val="18"/>
              </w:rPr>
              <w:t>-2.93%</w:t>
            </w:r>
          </w:p>
        </w:tc>
        <w:tc>
          <w:tcPr>
            <w:tcW w:type="dxa" w:w="1040"/>
          </w:tcPr>
          <w:p>
            <w:pPr>
              <w:spacing w:line="276" w:lineRule="auto" w:before="40" w:after="40"/>
              <w:jc w:val="center"/>
            </w:pPr>
            <w:r>
              <w:rPr>
                <w:rFonts w:ascii="Times New Roman" w:hAnsi="Times New Roman"/>
                <w:color w:val="000000"/>
                <w:sz w:val="18"/>
              </w:rPr>
              <w:t>-22.38%</w:t>
            </w:r>
          </w:p>
        </w:tc>
        <w:tc>
          <w:tcPr>
            <w:tcW w:type="dxa" w:w="1040"/>
          </w:tcPr>
          <w:p>
            <w:pPr>
              <w:spacing w:line="276" w:lineRule="auto" w:before="40" w:after="40"/>
              <w:jc w:val="center"/>
            </w:pPr>
            <w:r>
              <w:rPr>
                <w:rFonts w:ascii="Times New Roman" w:hAnsi="Times New Roman"/>
                <w:color w:val="000000"/>
                <w:sz w:val="18"/>
              </w:rPr>
              <w:t>7.59%</w:t>
            </w:r>
          </w:p>
        </w:tc>
      </w:tr>
      <w:tr>
        <w:tc>
          <w:tcPr>
            <w:tcW w:type="dxa" w:w="1040"/>
          </w:tcPr>
          <w:p>
            <w:pPr>
              <w:spacing w:line="276" w:lineRule="auto" w:before="40" w:after="40"/>
              <w:jc w:val="center"/>
            </w:pPr>
            <w:r>
              <w:rPr>
                <w:rFonts w:ascii="Times New Roman" w:hAnsi="Times New Roman"/>
                <w:color w:val="000000"/>
                <w:sz w:val="18"/>
              </w:rPr>
              <w:t>XGB-CVaR</w:t>
            </w:r>
          </w:p>
        </w:tc>
        <w:tc>
          <w:tcPr>
            <w:tcW w:type="dxa" w:w="1040"/>
          </w:tcPr>
          <w:p>
            <w:pPr>
              <w:spacing w:line="276" w:lineRule="auto" w:before="40" w:after="40"/>
              <w:jc w:val="center"/>
            </w:pPr>
            <w:r>
              <w:rPr>
                <w:rFonts w:ascii="Times New Roman" w:hAnsi="Times New Roman"/>
                <w:color w:val="000000"/>
                <w:sz w:val="18"/>
              </w:rPr>
              <w:t>37.71%</w:t>
            </w:r>
          </w:p>
        </w:tc>
        <w:tc>
          <w:tcPr>
            <w:tcW w:type="dxa" w:w="1040"/>
          </w:tcPr>
          <w:p>
            <w:pPr>
              <w:spacing w:line="276" w:lineRule="auto" w:before="40" w:after="40"/>
              <w:jc w:val="center"/>
            </w:pPr>
            <w:r>
              <w:rPr>
                <w:rFonts w:ascii="Times New Roman" w:hAnsi="Times New Roman"/>
                <w:color w:val="000000"/>
                <w:sz w:val="18"/>
              </w:rPr>
              <w:t>15.85%</w:t>
            </w:r>
          </w:p>
        </w:tc>
        <w:tc>
          <w:tcPr>
            <w:tcW w:type="dxa" w:w="1040"/>
          </w:tcPr>
          <w:p>
            <w:pPr>
              <w:spacing w:line="276" w:lineRule="auto" w:before="40" w:after="40"/>
              <w:jc w:val="center"/>
            </w:pPr>
            <w:r>
              <w:rPr>
                <w:rFonts w:ascii="Times New Roman" w:hAnsi="Times New Roman"/>
                <w:color w:val="000000"/>
                <w:sz w:val="18"/>
              </w:rPr>
              <w:t>1.24</w:t>
            </w:r>
          </w:p>
        </w:tc>
        <w:tc>
          <w:tcPr>
            <w:tcW w:type="dxa" w:w="1040"/>
          </w:tcPr>
          <w:p>
            <w:pPr>
              <w:spacing w:line="276" w:lineRule="auto" w:before="40" w:after="40"/>
              <w:jc w:val="center"/>
            </w:pPr>
            <w:r>
              <w:rPr>
                <w:rFonts w:ascii="Times New Roman" w:hAnsi="Times New Roman"/>
                <w:color w:val="000000"/>
                <w:sz w:val="18"/>
              </w:rPr>
              <w:t>2.37</w:t>
            </w:r>
          </w:p>
        </w:tc>
        <w:tc>
          <w:tcPr>
            <w:tcW w:type="dxa" w:w="1040"/>
          </w:tcPr>
          <w:p>
            <w:pPr>
              <w:spacing w:line="276" w:lineRule="auto" w:before="40" w:after="40"/>
              <w:jc w:val="center"/>
            </w:pPr>
            <w:r>
              <w:rPr>
                <w:rFonts w:ascii="Times New Roman" w:hAnsi="Times New Roman"/>
                <w:color w:val="000000"/>
                <w:sz w:val="18"/>
              </w:rPr>
              <w:t>-2.32%</w:t>
            </w:r>
          </w:p>
        </w:tc>
        <w:tc>
          <w:tcPr>
            <w:tcW w:type="dxa" w:w="1040"/>
          </w:tcPr>
          <w:p>
            <w:pPr>
              <w:spacing w:line="276" w:lineRule="auto" w:before="40" w:after="40"/>
              <w:jc w:val="center"/>
            </w:pPr>
            <w:r>
              <w:rPr>
                <w:rFonts w:ascii="Times New Roman" w:hAnsi="Times New Roman"/>
                <w:color w:val="000000"/>
                <w:sz w:val="18"/>
              </w:rPr>
              <w:t>-2.85%</w:t>
            </w:r>
          </w:p>
        </w:tc>
        <w:tc>
          <w:tcPr>
            <w:tcW w:type="dxa" w:w="1040"/>
          </w:tcPr>
          <w:p>
            <w:pPr>
              <w:spacing w:line="276" w:lineRule="auto" w:before="40" w:after="40"/>
              <w:jc w:val="center"/>
            </w:pPr>
            <w:r>
              <w:rPr>
                <w:rFonts w:ascii="Times New Roman" w:hAnsi="Times New Roman"/>
                <w:color w:val="000000"/>
                <w:sz w:val="18"/>
              </w:rPr>
              <w:t>-23.62%</w:t>
            </w:r>
          </w:p>
        </w:tc>
        <w:tc>
          <w:tcPr>
            <w:tcW w:type="dxa" w:w="1040"/>
          </w:tcPr>
          <w:p>
            <w:pPr>
              <w:spacing w:line="276" w:lineRule="auto" w:before="40" w:after="40"/>
              <w:jc w:val="center"/>
            </w:pPr>
            <w:r>
              <w:rPr>
                <w:rFonts w:ascii="Times New Roman" w:hAnsi="Times New Roman"/>
                <w:color w:val="000000"/>
                <w:sz w:val="18"/>
              </w:rPr>
              <w:t>11.00%</w:t>
            </w:r>
          </w:p>
        </w:tc>
      </w:tr>
      <w:tr>
        <w:tc>
          <w:tcPr>
            <w:tcW w:type="dxa" w:w="1040"/>
          </w:tcPr>
          <w:p>
            <w:pPr>
              <w:spacing w:line="276" w:lineRule="auto" w:before="40" w:after="40"/>
              <w:jc w:val="center"/>
            </w:pPr>
            <w:r>
              <w:rPr>
                <w:rFonts w:ascii="Times New Roman" w:hAnsi="Times New Roman"/>
                <w:color w:val="000000"/>
                <w:sz w:val="18"/>
              </w:rPr>
              <w:t>Historical-CVaR</w:t>
            </w:r>
          </w:p>
        </w:tc>
        <w:tc>
          <w:tcPr>
            <w:tcW w:type="dxa" w:w="1040"/>
          </w:tcPr>
          <w:p>
            <w:pPr>
              <w:spacing w:line="276" w:lineRule="auto" w:before="40" w:after="40"/>
              <w:jc w:val="center"/>
            </w:pPr>
            <w:r>
              <w:rPr>
                <w:rFonts w:ascii="Times New Roman" w:hAnsi="Times New Roman"/>
                <w:color w:val="000000"/>
                <w:sz w:val="18"/>
              </w:rPr>
              <w:t>42.12%</w:t>
            </w:r>
          </w:p>
        </w:tc>
        <w:tc>
          <w:tcPr>
            <w:tcW w:type="dxa" w:w="1040"/>
          </w:tcPr>
          <w:p>
            <w:pPr>
              <w:spacing w:line="276" w:lineRule="auto" w:before="40" w:after="40"/>
              <w:jc w:val="center"/>
            </w:pPr>
            <w:r>
              <w:rPr>
                <w:rFonts w:ascii="Times New Roman" w:hAnsi="Times New Roman"/>
                <w:color w:val="000000"/>
                <w:sz w:val="18"/>
              </w:rPr>
              <w:t>16.15%</w:t>
            </w:r>
          </w:p>
        </w:tc>
        <w:tc>
          <w:tcPr>
            <w:tcW w:type="dxa" w:w="1040"/>
          </w:tcPr>
          <w:p>
            <w:pPr>
              <w:spacing w:line="276" w:lineRule="auto" w:before="40" w:after="40"/>
              <w:jc w:val="center"/>
            </w:pPr>
            <w:r>
              <w:rPr>
                <w:rFonts w:ascii="Times New Roman" w:hAnsi="Times New Roman"/>
                <w:color w:val="000000"/>
                <w:sz w:val="18"/>
              </w:rPr>
              <w:t>1.49</w:t>
            </w:r>
          </w:p>
        </w:tc>
        <w:tc>
          <w:tcPr>
            <w:tcW w:type="dxa" w:w="1040"/>
          </w:tcPr>
          <w:p>
            <w:pPr>
              <w:spacing w:line="276" w:lineRule="auto" w:before="40" w:after="40"/>
              <w:jc w:val="center"/>
            </w:pPr>
            <w:r>
              <w:rPr>
                <w:rFonts w:ascii="Times New Roman" w:hAnsi="Times New Roman"/>
                <w:color w:val="000000"/>
                <w:sz w:val="18"/>
              </w:rPr>
              <w:t>3.02</w:t>
            </w:r>
          </w:p>
        </w:tc>
        <w:tc>
          <w:tcPr>
            <w:tcW w:type="dxa" w:w="1040"/>
          </w:tcPr>
          <w:p>
            <w:pPr>
              <w:spacing w:line="276" w:lineRule="auto" w:before="40" w:after="40"/>
              <w:jc w:val="center"/>
            </w:pPr>
            <w:r>
              <w:rPr>
                <w:rFonts w:ascii="Times New Roman" w:hAnsi="Times New Roman"/>
                <w:color w:val="000000"/>
                <w:sz w:val="18"/>
              </w:rPr>
              <w:t>-2.18%</w:t>
            </w:r>
          </w:p>
        </w:tc>
        <w:tc>
          <w:tcPr>
            <w:tcW w:type="dxa" w:w="1040"/>
          </w:tcPr>
          <w:p>
            <w:pPr>
              <w:spacing w:line="276" w:lineRule="auto" w:before="40" w:after="40"/>
              <w:jc w:val="center"/>
            </w:pPr>
            <w:r>
              <w:rPr>
                <w:rFonts w:ascii="Times New Roman" w:hAnsi="Times New Roman"/>
                <w:color w:val="000000"/>
                <w:sz w:val="18"/>
              </w:rPr>
              <w:t>-2.61%</w:t>
            </w:r>
          </w:p>
        </w:tc>
        <w:tc>
          <w:tcPr>
            <w:tcW w:type="dxa" w:w="1040"/>
          </w:tcPr>
          <w:p>
            <w:pPr>
              <w:spacing w:line="276" w:lineRule="auto" w:before="40" w:after="40"/>
              <w:jc w:val="center"/>
            </w:pPr>
            <w:r>
              <w:rPr>
                <w:rFonts w:ascii="Times New Roman" w:hAnsi="Times New Roman"/>
                <w:color w:val="000000"/>
                <w:sz w:val="18"/>
              </w:rPr>
              <w:t>-21.96%</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Mean-Variance (MVO)</w:t>
            </w:r>
          </w:p>
        </w:tc>
        <w:tc>
          <w:tcPr>
            <w:tcW w:type="dxa" w:w="1040"/>
          </w:tcPr>
          <w:p>
            <w:pPr>
              <w:spacing w:line="276" w:lineRule="auto" w:before="40" w:after="40"/>
              <w:jc w:val="center"/>
            </w:pPr>
            <w:r>
              <w:rPr>
                <w:rFonts w:ascii="Times New Roman" w:hAnsi="Times New Roman"/>
                <w:color w:val="000000"/>
                <w:sz w:val="18"/>
              </w:rPr>
              <w:t>18.24%</w:t>
            </w:r>
          </w:p>
        </w:tc>
        <w:tc>
          <w:tcPr>
            <w:tcW w:type="dxa" w:w="1040"/>
          </w:tcPr>
          <w:p>
            <w:pPr>
              <w:spacing w:line="276" w:lineRule="auto" w:before="40" w:after="40"/>
              <w:jc w:val="center"/>
            </w:pPr>
            <w:r>
              <w:rPr>
                <w:rFonts w:ascii="Times New Roman" w:hAnsi="Times New Roman"/>
                <w:color w:val="000000"/>
                <w:sz w:val="18"/>
              </w:rPr>
              <w:t>53.87%</w:t>
            </w:r>
          </w:p>
        </w:tc>
        <w:tc>
          <w:tcPr>
            <w:tcW w:type="dxa" w:w="1040"/>
          </w:tcPr>
          <w:p>
            <w:pPr>
              <w:spacing w:line="276" w:lineRule="auto" w:before="40" w:after="40"/>
              <w:jc w:val="center"/>
            </w:pPr>
            <w:r>
              <w:rPr>
                <w:rFonts w:ascii="Times New Roman" w:hAnsi="Times New Roman"/>
                <w:color w:val="000000"/>
                <w:sz w:val="18"/>
              </w:rPr>
              <w:t>0.00</w:t>
            </w:r>
          </w:p>
        </w:tc>
        <w:tc>
          <w:tcPr>
            <w:tcW w:type="dxa" w:w="1040"/>
          </w:tcPr>
          <w:p>
            <w:pPr>
              <w:spacing w:line="276" w:lineRule="auto" w:before="40" w:after="40"/>
              <w:jc w:val="center"/>
            </w:pPr>
            <w:r>
              <w:rPr>
                <w:rFonts w:ascii="Times New Roman" w:hAnsi="Times New Roman"/>
                <w:color w:val="000000"/>
                <w:sz w:val="18"/>
              </w:rPr>
              <w:t>0.01</w:t>
            </w:r>
          </w:p>
        </w:tc>
        <w:tc>
          <w:tcPr>
            <w:tcW w:type="dxa" w:w="1040"/>
          </w:tcPr>
          <w:p>
            <w:pPr>
              <w:spacing w:line="276" w:lineRule="auto" w:before="40" w:after="40"/>
              <w:jc w:val="center"/>
            </w:pPr>
            <w:r>
              <w:rPr>
                <w:rFonts w:ascii="Times New Roman" w:hAnsi="Times New Roman"/>
                <w:color w:val="000000"/>
                <w:sz w:val="18"/>
              </w:rPr>
              <w:t>-9.58%</w:t>
            </w:r>
          </w:p>
        </w:tc>
        <w:tc>
          <w:tcPr>
            <w:tcW w:type="dxa" w:w="1040"/>
          </w:tcPr>
          <w:p>
            <w:pPr>
              <w:spacing w:line="276" w:lineRule="auto" w:before="40" w:after="40"/>
              <w:jc w:val="center"/>
            </w:pPr>
            <w:r>
              <w:rPr>
                <w:rFonts w:ascii="Times New Roman" w:hAnsi="Times New Roman"/>
                <w:color w:val="000000"/>
                <w:sz w:val="18"/>
              </w:rPr>
              <w:t>-16.24%</w:t>
            </w:r>
          </w:p>
        </w:tc>
        <w:tc>
          <w:tcPr>
            <w:tcW w:type="dxa" w:w="1040"/>
          </w:tcPr>
          <w:p>
            <w:pPr>
              <w:spacing w:line="276" w:lineRule="auto" w:before="40" w:after="40"/>
              <w:jc w:val="center"/>
            </w:pPr>
            <w:r>
              <w:rPr>
                <w:rFonts w:ascii="Times New Roman" w:hAnsi="Times New Roman"/>
                <w:color w:val="000000"/>
                <w:sz w:val="18"/>
              </w:rPr>
              <w:t>-71.07%</w:t>
            </w:r>
          </w:p>
        </w:tc>
        <w:tc>
          <w:tcPr>
            <w:tcW w:type="dxa" w:w="1040"/>
          </w:tcPr>
          <w:p>
            <w:pPr>
              <w:spacing w:line="276" w:lineRule="auto" w:before="40" w:after="40"/>
              <w:jc w:val="center"/>
            </w:pPr>
            <w:r>
              <w:rPr>
                <w:rFonts w:ascii="Times New Roman" w:hAnsi="Times New Roman"/>
                <w:color w:val="000000"/>
                <w:sz w:val="18"/>
              </w:rPr>
              <w:t>99.28%</w:t>
            </w:r>
          </w:p>
        </w:tc>
      </w:tr>
      <w:tr>
        <w:tc>
          <w:tcPr>
            <w:tcW w:type="dxa" w:w="1040"/>
          </w:tcPr>
          <w:p>
            <w:pPr>
              <w:spacing w:line="276" w:lineRule="auto" w:before="40" w:after="40"/>
              <w:jc w:val="center"/>
            </w:pPr>
            <w:r>
              <w:rPr>
                <w:rFonts w:ascii="Times New Roman" w:hAnsi="Times New Roman"/>
                <w:color w:val="000000"/>
                <w:sz w:val="18"/>
              </w:rPr>
              <w:t>1/N Equal Weight</w:t>
            </w:r>
          </w:p>
        </w:tc>
        <w:tc>
          <w:tcPr>
            <w:tcW w:type="dxa" w:w="1040"/>
          </w:tcPr>
          <w:p>
            <w:pPr>
              <w:spacing w:line="276" w:lineRule="auto" w:before="40" w:after="40"/>
              <w:jc w:val="center"/>
            </w:pPr>
            <w:r>
              <w:rPr>
                <w:rFonts w:ascii="Times New Roman" w:hAnsi="Times New Roman"/>
                <w:color w:val="000000"/>
                <w:sz w:val="18"/>
              </w:rPr>
              <w:t>37.42%</w:t>
            </w:r>
          </w:p>
        </w:tc>
        <w:tc>
          <w:tcPr>
            <w:tcW w:type="dxa" w:w="1040"/>
          </w:tcPr>
          <w:p>
            <w:pPr>
              <w:spacing w:line="276" w:lineRule="auto" w:before="40" w:after="40"/>
              <w:jc w:val="center"/>
            </w:pPr>
            <w:r>
              <w:rPr>
                <w:rFonts w:ascii="Times New Roman" w:hAnsi="Times New Roman"/>
                <w:color w:val="000000"/>
                <w:sz w:val="18"/>
              </w:rPr>
              <w:t>18.29%</w:t>
            </w:r>
          </w:p>
        </w:tc>
        <w:tc>
          <w:tcPr>
            <w:tcW w:type="dxa" w:w="1040"/>
          </w:tcPr>
          <w:p>
            <w:pPr>
              <w:spacing w:line="276" w:lineRule="auto" w:before="40" w:after="40"/>
              <w:jc w:val="center"/>
            </w:pPr>
            <w:r>
              <w:rPr>
                <w:rFonts w:ascii="Times New Roman" w:hAnsi="Times New Roman"/>
                <w:color w:val="000000"/>
                <w:sz w:val="18"/>
              </w:rPr>
              <w:t>1.06</w:t>
            </w:r>
          </w:p>
        </w:tc>
        <w:tc>
          <w:tcPr>
            <w:tcW w:type="dxa" w:w="1040"/>
          </w:tcPr>
          <w:p>
            <w:pPr>
              <w:spacing w:line="276" w:lineRule="auto" w:before="40" w:after="40"/>
              <w:jc w:val="center"/>
            </w:pPr>
            <w:r>
              <w:rPr>
                <w:rFonts w:ascii="Times New Roman" w:hAnsi="Times New Roman"/>
                <w:color w:val="000000"/>
                <w:sz w:val="18"/>
              </w:rPr>
              <w:t>1.83</w:t>
            </w:r>
          </w:p>
        </w:tc>
        <w:tc>
          <w:tcPr>
            <w:tcW w:type="dxa" w:w="1040"/>
          </w:tcPr>
          <w:p>
            <w:pPr>
              <w:spacing w:line="276" w:lineRule="auto" w:before="40" w:after="40"/>
              <w:jc w:val="center"/>
            </w:pPr>
            <w:r>
              <w:rPr>
                <w:rFonts w:ascii="Times New Roman" w:hAnsi="Times New Roman"/>
                <w:color w:val="000000"/>
                <w:sz w:val="18"/>
              </w:rPr>
              <w:t>-2.82%</w:t>
            </w:r>
          </w:p>
        </w:tc>
        <w:tc>
          <w:tcPr>
            <w:tcW w:type="dxa" w:w="1040"/>
          </w:tcPr>
          <w:p>
            <w:pPr>
              <w:spacing w:line="276" w:lineRule="auto" w:before="40" w:after="40"/>
              <w:jc w:val="center"/>
            </w:pPr>
            <w:r>
              <w:rPr>
                <w:rFonts w:ascii="Times New Roman" w:hAnsi="Times New Roman"/>
                <w:color w:val="000000"/>
                <w:sz w:val="18"/>
              </w:rPr>
              <w:t>-4.44%</w:t>
            </w:r>
          </w:p>
        </w:tc>
        <w:tc>
          <w:tcPr>
            <w:tcW w:type="dxa" w:w="1040"/>
          </w:tcPr>
          <w:p>
            <w:pPr>
              <w:spacing w:line="276" w:lineRule="auto" w:before="40" w:after="40"/>
              <w:jc w:val="center"/>
            </w:pPr>
            <w:r>
              <w:rPr>
                <w:rFonts w:ascii="Times New Roman" w:hAnsi="Times New Roman"/>
                <w:color w:val="000000"/>
                <w:sz w:val="18"/>
              </w:rPr>
              <w:t>-23.95%</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NGX Index Buy-Hold</w:t>
            </w:r>
          </w:p>
        </w:tc>
        <w:tc>
          <w:tcPr>
            <w:tcW w:type="dxa" w:w="1040"/>
          </w:tcPr>
          <w:p>
            <w:pPr>
              <w:spacing w:line="276" w:lineRule="auto" w:before="40" w:after="40"/>
              <w:jc w:val="center"/>
            </w:pPr>
            <w:r>
              <w:rPr>
                <w:rFonts w:ascii="Times New Roman" w:hAnsi="Times New Roman"/>
                <w:color w:val="000000"/>
                <w:sz w:val="18"/>
              </w:rPr>
              <w:t>35.88%</w:t>
            </w:r>
          </w:p>
        </w:tc>
        <w:tc>
          <w:tcPr>
            <w:tcW w:type="dxa" w:w="1040"/>
          </w:tcPr>
          <w:p>
            <w:pPr>
              <w:spacing w:line="276" w:lineRule="auto" w:before="40" w:after="40"/>
              <w:jc w:val="center"/>
            </w:pPr>
            <w:r>
              <w:rPr>
                <w:rFonts w:ascii="Times New Roman" w:hAnsi="Times New Roman"/>
                <w:color w:val="000000"/>
                <w:sz w:val="18"/>
              </w:rPr>
              <w:t>19.77%</w:t>
            </w:r>
          </w:p>
        </w:tc>
        <w:tc>
          <w:tcPr>
            <w:tcW w:type="dxa" w:w="1040"/>
          </w:tcPr>
          <w:p>
            <w:pPr>
              <w:spacing w:line="276" w:lineRule="auto" w:before="40" w:after="40"/>
              <w:jc w:val="center"/>
            </w:pPr>
            <w:r>
              <w:rPr>
                <w:rFonts w:ascii="Times New Roman" w:hAnsi="Times New Roman"/>
                <w:color w:val="000000"/>
                <w:sz w:val="18"/>
              </w:rPr>
              <w:t>0.90</w:t>
            </w:r>
          </w:p>
        </w:tc>
        <w:tc>
          <w:tcPr>
            <w:tcW w:type="dxa" w:w="1040"/>
          </w:tcPr>
          <w:p>
            <w:pPr>
              <w:spacing w:line="276" w:lineRule="auto" w:before="40" w:after="40"/>
              <w:jc w:val="center"/>
            </w:pPr>
            <w:r>
              <w:rPr>
                <w:rFonts w:ascii="Times New Roman" w:hAnsi="Times New Roman"/>
                <w:color w:val="000000"/>
                <w:sz w:val="18"/>
              </w:rPr>
              <w:t>1.54</w:t>
            </w:r>
          </w:p>
        </w:tc>
        <w:tc>
          <w:tcPr>
            <w:tcW w:type="dxa" w:w="1040"/>
          </w:tcPr>
          <w:p>
            <w:pPr>
              <w:spacing w:line="276" w:lineRule="auto" w:before="40" w:after="40"/>
              <w:jc w:val="center"/>
            </w:pPr>
            <w:r>
              <w:rPr>
                <w:rFonts w:ascii="Times New Roman" w:hAnsi="Times New Roman"/>
                <w:color w:val="000000"/>
                <w:sz w:val="18"/>
              </w:rPr>
              <w:t>-3.32%</w:t>
            </w:r>
          </w:p>
        </w:tc>
        <w:tc>
          <w:tcPr>
            <w:tcW w:type="dxa" w:w="1040"/>
          </w:tcPr>
          <w:p>
            <w:pPr>
              <w:spacing w:line="276" w:lineRule="auto" w:before="40" w:after="40"/>
              <w:jc w:val="center"/>
            </w:pPr>
            <w:r>
              <w:rPr>
                <w:rFonts w:ascii="Times New Roman" w:hAnsi="Times New Roman"/>
                <w:color w:val="000000"/>
                <w:sz w:val="18"/>
              </w:rPr>
              <w:t>-4.95%</w:t>
            </w:r>
          </w:p>
        </w:tc>
        <w:tc>
          <w:tcPr>
            <w:tcW w:type="dxa" w:w="1040"/>
          </w:tcPr>
          <w:p>
            <w:pPr>
              <w:spacing w:line="276" w:lineRule="auto" w:before="40" w:after="40"/>
              <w:jc w:val="center"/>
            </w:pPr>
            <w:r>
              <w:rPr>
                <w:rFonts w:ascii="Times New Roman" w:hAnsi="Times New Roman"/>
                <w:color w:val="000000"/>
                <w:sz w:val="18"/>
              </w:rPr>
              <w:t>-26.66%</w:t>
            </w:r>
          </w:p>
        </w:tc>
        <w:tc>
          <w:tcPr>
            <w:tcW w:type="dxa" w:w="1040"/>
          </w:tcPr>
          <w:p>
            <w:pPr>
              <w:spacing w:line="276" w:lineRule="auto" w:before="40" w:after="40"/>
              <w:jc w:val="center"/>
            </w:pPr>
            <w:r>
              <w:rPr>
                <w:rFonts w:ascii="Times New Roman" w:hAnsi="Times New Roman"/>
                <w:color w:val="000000"/>
                <w:sz w:val="18"/>
              </w:rPr>
              <w:t>0.00%</w:t>
            </w:r>
          </w:p>
        </w:tc>
      </w:tr>
    </w:tbl>
    <w:p>
      <w:pPr>
        <w:spacing w:after="120"/>
      </w:pPr>
    </w:p>
    <w:p>
      <w:pPr>
        <w:spacing w:line="480" w:lineRule="auto" w:before="0" w:after="0"/>
        <w:jc w:val="left"/>
      </w:pPr>
      <w:r>
        <w:rPr>
          <w:rFonts w:ascii="Times New Roman" w:hAnsi="Times New Roman"/>
          <w:i/>
          <w:color w:val="000000"/>
          <w:sz w:val="20"/>
        </w:rPr>
        <w:t>Source: Author's computation (2026). Out-of-sample period: 2021-2025. 0.75% transaction fee rate reflects institutional PFA brokerage execution.</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spacing w:line="480" w:lineRule="auto" w:before="0" w:after="0"/>
        <w:jc w:val="left"/>
      </w:pPr>
      <w:r>
        <w:rPr>
          <w:rFonts w:ascii="Times New Roman" w:hAnsi="Times New Roman"/>
          <w:i/>
          <w:color w:val="000000"/>
          <w:sz w:val="20"/>
        </w:rPr>
        <w:t>Figure 4.3: Out-of-Sample Cumulative Wealth Growth Curves (2021-2025)</w:t>
      </w:r>
    </w:p>
    <w:p>
      <w:pPr>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Table 4.6 presents the p-values from Jobson-Korkie (Memmel 2007 correction) Z-tests, Ledoit-Wolf (2008) circular block bootstrap Sharpe tests, Ledoit-Wolf (2011) downside block bootstrap Sortino tests, and non-parametric Wilcoxon signed-rank tests.</w:t>
      </w:r>
    </w:p>
    <w:p>
      <w:pPr>
        <w:spacing w:line="480" w:lineRule="auto" w:before="0" w:after="0"/>
        <w:jc w:val="left"/>
      </w:pPr>
      <w:r>
        <w:rPr>
          <w:rFonts w:ascii="Times New Roman" w:hAnsi="Times New Roman"/>
          <w:b/>
          <w:color w:val="000000"/>
          <w:sz w:val="24"/>
        </w:rPr>
        <w:t>Table 4.6: Multi-Tier Pairwise Hypothesis Testing of Sharpe &amp; Sortino Equality across Fee Regimes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Fee Regime</w:t>
            </w:r>
          </w:p>
        </w:tc>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Benchmark</w:t>
            </w:r>
          </w:p>
        </w:tc>
        <w:tc>
          <w:tcPr>
            <w:tcW w:type="dxa" w:w="1170"/>
            <w:shd w:val="clear" w:color="auto" w:fill="F2F2F2"/>
          </w:tcPr>
          <w:p>
            <w:pPr>
              <w:spacing w:line="276" w:lineRule="auto" w:before="40" w:after="40"/>
              <w:jc w:val="center"/>
            </w:pPr>
            <w:r>
              <w:rPr>
                <w:rFonts w:ascii="Times New Roman" w:hAnsi="Times New Roman"/>
                <w:b/>
                <w:color w:val="000000"/>
                <w:sz w:val="19"/>
              </w:rPr>
              <w:t>Sharpe Diff</w:t>
            </w:r>
          </w:p>
        </w:tc>
        <w:tc>
          <w:tcPr>
            <w:tcW w:type="dxa" w:w="1170"/>
            <w:shd w:val="clear" w:color="auto" w:fill="F2F2F2"/>
          </w:tcPr>
          <w:p>
            <w:pPr>
              <w:spacing w:line="276" w:lineRule="auto" w:before="40" w:after="40"/>
              <w:jc w:val="center"/>
            </w:pPr>
            <w:r>
              <w:rPr>
                <w:rFonts w:ascii="Times New Roman" w:hAnsi="Times New Roman"/>
                <w:b/>
                <w:color w:val="000000"/>
                <w:sz w:val="19"/>
              </w:rPr>
              <w:t>Jobson-Korkie p</w:t>
            </w:r>
          </w:p>
        </w:tc>
        <w:tc>
          <w:tcPr>
            <w:tcW w:type="dxa" w:w="1170"/>
            <w:shd w:val="clear" w:color="auto" w:fill="F2F2F2"/>
          </w:tcPr>
          <w:p>
            <w:pPr>
              <w:spacing w:line="276" w:lineRule="auto" w:before="40" w:after="40"/>
              <w:jc w:val="center"/>
            </w:pPr>
            <w:r>
              <w:rPr>
                <w:rFonts w:ascii="Times New Roman" w:hAnsi="Times New Roman"/>
                <w:b/>
                <w:color w:val="000000"/>
                <w:sz w:val="19"/>
              </w:rPr>
              <w:t>LW Sharpe p</w:t>
            </w:r>
          </w:p>
        </w:tc>
        <w:tc>
          <w:tcPr>
            <w:tcW w:type="dxa" w:w="1170"/>
            <w:shd w:val="clear" w:color="auto" w:fill="F2F2F2"/>
          </w:tcPr>
          <w:p>
            <w:pPr>
              <w:spacing w:line="276" w:lineRule="auto" w:before="40" w:after="40"/>
              <w:jc w:val="center"/>
            </w:pPr>
            <w:r>
              <w:rPr>
                <w:rFonts w:ascii="Times New Roman" w:hAnsi="Times New Roman"/>
                <w:b/>
                <w:color w:val="000000"/>
                <w:sz w:val="19"/>
              </w:rPr>
              <w:t>LW Sortino p</w:t>
            </w:r>
          </w:p>
        </w:tc>
        <w:tc>
          <w:tcPr>
            <w:tcW w:type="dxa" w:w="1170"/>
            <w:shd w:val="clear" w:color="auto" w:fill="F2F2F2"/>
          </w:tcPr>
          <w:p>
            <w:pPr>
              <w:spacing w:line="276" w:lineRule="auto" w:before="40" w:after="40"/>
              <w:jc w:val="center"/>
            </w:pPr>
            <w:r>
              <w:rPr>
                <w:rFonts w:ascii="Times New Roman" w:hAnsi="Times New Roman"/>
                <w:b/>
                <w:color w:val="000000"/>
                <w:sz w:val="19"/>
              </w:rPr>
              <w:t>Wilcoxon p</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+0.63</w:t>
            </w:r>
          </w:p>
        </w:tc>
        <w:tc>
          <w:tcPr>
            <w:tcW w:type="dxa" w:w="1170"/>
          </w:tcPr>
          <w:p>
            <w:pPr>
              <w:spacing w:line="276" w:lineRule="auto" w:before="40" w:after="40"/>
              <w:jc w:val="center"/>
            </w:pPr>
            <w:r>
              <w:rPr>
                <w:rFonts w:ascii="Times New Roman" w:hAnsi="Times New Roman"/>
                <w:color w:val="000000"/>
                <w:sz w:val="18"/>
              </w:rPr>
              <w:t>0.203</w:t>
            </w:r>
          </w:p>
        </w:tc>
        <w:tc>
          <w:tcPr>
            <w:tcW w:type="dxa" w:w="1170"/>
          </w:tcPr>
          <w:p>
            <w:pPr>
              <w:spacing w:line="276" w:lineRule="auto" w:before="40" w:after="40"/>
              <w:jc w:val="center"/>
            </w:pPr>
            <w:r>
              <w:rPr>
                <w:rFonts w:ascii="Times New Roman" w:hAnsi="Times New Roman"/>
                <w:color w:val="000000"/>
                <w:sz w:val="18"/>
              </w:rPr>
              <w:t>0.015</w:t>
            </w:r>
          </w:p>
        </w:tc>
        <w:tc>
          <w:tcPr>
            <w:tcW w:type="dxa" w:w="1170"/>
          </w:tcPr>
          <w:p>
            <w:pPr>
              <w:spacing w:line="276" w:lineRule="auto" w:before="40" w:after="40"/>
              <w:jc w:val="center"/>
            </w:pPr>
            <w:r>
              <w:rPr>
                <w:rFonts w:ascii="Times New Roman" w:hAnsi="Times New Roman"/>
                <w:color w:val="000000"/>
                <w:sz w:val="18"/>
              </w:rPr>
              <w:t>0.026</w:t>
            </w:r>
          </w:p>
        </w:tc>
        <w:tc>
          <w:tcPr>
            <w:tcW w:type="dxa" w:w="1170"/>
          </w:tcPr>
          <w:p>
            <w:pPr>
              <w:spacing w:line="276" w:lineRule="auto" w:before="40" w:after="40"/>
              <w:jc w:val="center"/>
            </w:pPr>
            <w:r>
              <w:rPr>
                <w:rFonts w:ascii="Times New Roman" w:hAnsi="Times New Roman"/>
                <w:color w:val="000000"/>
                <w:sz w:val="18"/>
              </w:rPr>
              <w:t>0.519</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+0.56</w:t>
            </w:r>
          </w:p>
        </w:tc>
        <w:tc>
          <w:tcPr>
            <w:tcW w:type="dxa" w:w="1170"/>
          </w:tcPr>
          <w:p>
            <w:pPr>
              <w:spacing w:line="276" w:lineRule="auto" w:before="40" w:after="40"/>
              <w:jc w:val="center"/>
            </w:pPr>
            <w:r>
              <w:rPr>
                <w:rFonts w:ascii="Times New Roman" w:hAnsi="Times New Roman"/>
                <w:color w:val="000000"/>
                <w:sz w:val="18"/>
              </w:rPr>
              <w:t>0.245</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0.632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+0.61</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0.032</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0.355</w:t>
            </w:r>
          </w:p>
        </w:tc>
        <w:tc>
          <w:tcPr>
            <w:tcW w:type="dxa" w:w="1170"/>
          </w:tcPr>
          <w:p>
            <w:pPr>
              <w:spacing w:line="276" w:lineRule="auto" w:before="40" w:after="40"/>
              <w:jc w:val="center"/>
            </w:pPr>
            <w:r>
              <w:rPr>
                <w:rFonts w:ascii="Times New Roman" w:hAnsi="Times New Roman"/>
                <w:color w:val="000000"/>
                <w:sz w:val="18"/>
              </w:rPr>
              <w:t>0.084</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+0.02</w:t>
            </w:r>
          </w:p>
        </w:tc>
        <w:tc>
          <w:tcPr>
            <w:tcW w:type="dxa" w:w="1170"/>
          </w:tcPr>
          <w:p>
            <w:pPr>
              <w:spacing w:line="276" w:lineRule="auto" w:before="40" w:after="40"/>
              <w:jc w:val="center"/>
            </w:pPr>
            <w:r>
              <w:rPr>
                <w:rFonts w:ascii="Times New Roman" w:hAnsi="Times New Roman"/>
                <w:color w:val="000000"/>
                <w:sz w:val="18"/>
              </w:rPr>
              <w:t>0.795</w:t>
            </w:r>
          </w:p>
        </w:tc>
        <w:tc>
          <w:tcPr>
            <w:tcW w:type="dxa" w:w="1170"/>
          </w:tcPr>
          <w:p>
            <w:pPr>
              <w:spacing w:line="276" w:lineRule="auto" w:before="40" w:after="40"/>
              <w:jc w:val="center"/>
            </w:pPr>
            <w:r>
              <w:rPr>
                <w:rFonts w:ascii="Times New Roman" w:hAnsi="Times New Roman"/>
                <w:color w:val="000000"/>
                <w:sz w:val="18"/>
              </w:rPr>
              <w:t>0.558</w:t>
            </w:r>
          </w:p>
        </w:tc>
        <w:tc>
          <w:tcPr>
            <w:tcW w:type="dxa" w:w="1170"/>
          </w:tcPr>
          <w:p>
            <w:pPr>
              <w:spacing w:line="276" w:lineRule="auto" w:before="40" w:after="40"/>
              <w:jc w:val="center"/>
            </w:pPr>
            <w:r>
              <w:rPr>
                <w:rFonts w:ascii="Times New Roman" w:hAnsi="Times New Roman"/>
                <w:color w:val="000000"/>
                <w:sz w:val="18"/>
              </w:rPr>
              <w:t>0.873</w:t>
            </w:r>
          </w:p>
        </w:tc>
        <w:tc>
          <w:tcPr>
            <w:tcW w:type="dxa" w:w="1170"/>
          </w:tcPr>
          <w:p>
            <w:pPr>
              <w:spacing w:line="276" w:lineRule="auto" w:before="40" w:after="40"/>
              <w:jc w:val="center"/>
            </w:pPr>
            <w:r>
              <w:rPr>
                <w:rFonts w:ascii="Times New Roman" w:hAnsi="Times New Roman"/>
                <w:color w:val="000000"/>
                <w:sz w:val="18"/>
              </w:rPr>
              <w:t>0.482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-0.40</w:t>
            </w:r>
          </w:p>
        </w:tc>
        <w:tc>
          <w:tcPr>
            <w:tcW w:type="dxa" w:w="1170"/>
          </w:tcPr>
          <w:p>
            <w:pPr>
              <w:spacing w:line="276" w:lineRule="auto" w:before="40" w:after="40"/>
              <w:jc w:val="center"/>
            </w:pPr>
            <w:r>
              <w:rPr>
                <w:rFonts w:ascii="Times New Roman" w:hAnsi="Times New Roman"/>
                <w:color w:val="000000"/>
                <w:sz w:val="18"/>
              </w:rPr>
              <w:t>0.481</w:t>
            </w:r>
          </w:p>
        </w:tc>
        <w:tc>
          <w:tcPr>
            <w:tcW w:type="dxa" w:w="1170"/>
          </w:tcPr>
          <w:p>
            <w:pPr>
              <w:spacing w:line="276" w:lineRule="auto" w:before="40" w:after="40"/>
              <w:jc w:val="center"/>
            </w:pPr>
            <w:r>
              <w:rPr>
                <w:rFonts w:ascii="Times New Roman" w:hAnsi="Times New Roman"/>
                <w:color w:val="000000"/>
                <w:sz w:val="18"/>
              </w:rPr>
              <w:t>0.385</w:t>
            </w:r>
          </w:p>
        </w:tc>
        <w:tc>
          <w:tcPr>
            <w:tcW w:type="dxa" w:w="1170"/>
          </w:tcPr>
          <w:p>
            <w:pPr>
              <w:spacing w:line="276" w:lineRule="auto" w:before="40" w:after="40"/>
              <w:jc w:val="center"/>
            </w:pPr>
            <w:r>
              <w:rPr>
                <w:rFonts w:ascii="Times New Roman" w:hAnsi="Times New Roman"/>
                <w:color w:val="000000"/>
                <w:sz w:val="18"/>
              </w:rPr>
              <w:t>0.471</w:t>
            </w:r>
          </w:p>
        </w:tc>
        <w:tc>
          <w:tcPr>
            <w:tcW w:type="dxa" w:w="1170"/>
          </w:tcPr>
          <w:p>
            <w:pPr>
              <w:spacing w:line="276" w:lineRule="auto" w:before="40" w:after="40"/>
              <w:jc w:val="center"/>
            </w:pPr>
            <w:r>
              <w:rPr>
                <w:rFonts w:ascii="Times New Roman" w:hAnsi="Times New Roman"/>
                <w:color w:val="000000"/>
                <w:sz w:val="18"/>
              </w:rPr>
              <w:t>0.548</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+0.36</w:t>
            </w:r>
          </w:p>
        </w:tc>
        <w:tc>
          <w:tcPr>
            <w:tcW w:type="dxa" w:w="1170"/>
          </w:tcPr>
          <w:p>
            <w:pPr>
              <w:spacing w:line="276" w:lineRule="auto" w:before="40" w:after="40"/>
              <w:jc w:val="center"/>
            </w:pPr>
            <w:r>
              <w:rPr>
                <w:rFonts w:ascii="Times New Roman" w:hAnsi="Times New Roman"/>
                <w:color w:val="000000"/>
                <w:sz w:val="18"/>
              </w:rPr>
              <w:t>0.423</w:t>
            </w:r>
          </w:p>
        </w:tc>
        <w:tc>
          <w:tcPr>
            <w:tcW w:type="dxa" w:w="1170"/>
          </w:tcPr>
          <w:p>
            <w:pPr>
              <w:spacing w:line="276" w:lineRule="auto" w:before="40" w:after="40"/>
              <w:jc w:val="center"/>
            </w:pPr>
            <w:r>
              <w:rPr>
                <w:rFonts w:ascii="Times New Roman" w:hAnsi="Times New Roman"/>
                <w:color w:val="000000"/>
                <w:sz w:val="18"/>
              </w:rPr>
              <w:t>0.181</w:t>
            </w:r>
          </w:p>
        </w:tc>
        <w:tc>
          <w:tcPr>
            <w:tcW w:type="dxa" w:w="1170"/>
          </w:tcPr>
          <w:p>
            <w:pPr>
              <w:spacing w:line="276" w:lineRule="auto" w:before="40" w:after="40"/>
              <w:jc w:val="center"/>
            </w:pPr>
            <w:r>
              <w:rPr>
                <w:rFonts w:ascii="Times New Roman" w:hAnsi="Times New Roman"/>
                <w:color w:val="000000"/>
                <w:sz w:val="18"/>
              </w:rPr>
              <w:t>0.182</w:t>
            </w:r>
          </w:p>
        </w:tc>
        <w:tc>
          <w:tcPr>
            <w:tcW w:type="dxa" w:w="1170"/>
          </w:tcPr>
          <w:p>
            <w:pPr>
              <w:spacing w:line="276" w:lineRule="auto" w:before="40" w:after="40"/>
              <w:jc w:val="center"/>
            </w:pPr>
            <w:r>
              <w:rPr>
                <w:rFonts w:ascii="Times New Roman" w:hAnsi="Times New Roman"/>
                <w:color w:val="000000"/>
                <w:sz w:val="18"/>
              </w:rPr>
              <w:t>0.852</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+0.37</w:t>
            </w:r>
          </w:p>
        </w:tc>
        <w:tc>
          <w:tcPr>
            <w:tcW w:type="dxa" w:w="1170"/>
          </w:tcPr>
          <w:p>
            <w:pPr>
              <w:spacing w:line="276" w:lineRule="auto" w:before="40" w:after="40"/>
              <w:jc w:val="center"/>
            </w:pPr>
            <w:r>
              <w:rPr>
                <w:rFonts w:ascii="Times New Roman" w:hAnsi="Times New Roman"/>
                <w:color w:val="000000"/>
                <w:sz w:val="18"/>
              </w:rPr>
              <w:t>0.399</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0.949</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0.085</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-0.25</w:t>
            </w:r>
          </w:p>
        </w:tc>
        <w:tc>
          <w:tcPr>
            <w:tcW w:type="dxa" w:w="1170"/>
          </w:tcPr>
          <w:p>
            <w:pPr>
              <w:spacing w:line="276" w:lineRule="auto" w:before="40" w:after="40"/>
              <w:jc w:val="center"/>
            </w:pPr>
            <w:r>
              <w:rPr>
                <w:rFonts w:ascii="Times New Roman" w:hAnsi="Times New Roman"/>
                <w:color w:val="000000"/>
                <w:sz w:val="18"/>
              </w:rPr>
              <w:t>0.047</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0.003</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-1.11</w:t>
            </w:r>
          </w:p>
        </w:tc>
        <w:tc>
          <w:tcPr>
            <w:tcW w:type="dxa" w:w="1170"/>
          </w:tcPr>
          <w:p>
            <w:pPr>
              <w:spacing w:line="276" w:lineRule="auto" w:before="40" w:after="40"/>
              <w:jc w:val="center"/>
            </w:pPr>
            <w:r>
              <w:rPr>
                <w:rFonts w:ascii="Times New Roman" w:hAnsi="Times New Roman"/>
                <w:color w:val="000000"/>
                <w:sz w:val="18"/>
              </w:rPr>
              <w:t>0.048</w:t>
            </w:r>
          </w:p>
        </w:tc>
        <w:tc>
          <w:tcPr>
            <w:tcW w:type="dxa" w:w="1170"/>
          </w:tcPr>
          <w:p>
            <w:pPr>
              <w:spacing w:line="276" w:lineRule="auto" w:before="40" w:after="40"/>
              <w:jc w:val="center"/>
            </w:pPr>
            <w:r>
              <w:rPr>
                <w:rFonts w:ascii="Times New Roman" w:hAnsi="Times New Roman"/>
                <w:color w:val="000000"/>
                <w:sz w:val="18"/>
              </w:rPr>
              <w:t>0.025</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0.008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+0.08</w:t>
            </w:r>
          </w:p>
        </w:tc>
        <w:tc>
          <w:tcPr>
            <w:tcW w:type="dxa" w:w="1170"/>
          </w:tcPr>
          <w:p>
            <w:pPr>
              <w:spacing w:line="276" w:lineRule="auto" w:before="40" w:after="40"/>
              <w:jc w:val="center"/>
            </w:pPr>
            <w:r>
              <w:rPr>
                <w:rFonts w:ascii="Times New Roman" w:hAnsi="Times New Roman"/>
                <w:color w:val="000000"/>
                <w:sz w:val="18"/>
              </w:rPr>
              <w:t>0.838</w:t>
            </w:r>
          </w:p>
        </w:tc>
        <w:tc>
          <w:tcPr>
            <w:tcW w:type="dxa" w:w="1170"/>
          </w:tcPr>
          <w:p>
            <w:pPr>
              <w:spacing w:line="276" w:lineRule="auto" w:before="40" w:after="40"/>
              <w:jc w:val="center"/>
            </w:pPr>
            <w:r>
              <w:rPr>
                <w:rFonts w:ascii="Times New Roman" w:hAnsi="Times New Roman"/>
                <w:color w:val="000000"/>
                <w:sz w:val="18"/>
              </w:rPr>
              <w:t>0.769</w:t>
            </w:r>
          </w:p>
        </w:tc>
        <w:tc>
          <w:tcPr>
            <w:tcW w:type="dxa" w:w="1170"/>
          </w:tcPr>
          <w:p>
            <w:pPr>
              <w:spacing w:line="276" w:lineRule="auto" w:before="40" w:after="40"/>
              <w:jc w:val="center"/>
            </w:pPr>
            <w:r>
              <w:rPr>
                <w:rFonts w:ascii="Times New Roman" w:hAnsi="Times New Roman"/>
                <w:color w:val="000000"/>
                <w:sz w:val="18"/>
              </w:rPr>
              <w:t>0.669</w:t>
            </w:r>
          </w:p>
        </w:tc>
        <w:tc>
          <w:tcPr>
            <w:tcW w:type="dxa" w:w="1170"/>
          </w:tcPr>
          <w:p>
            <w:pPr>
              <w:spacing w:line="276" w:lineRule="auto" w:before="40" w:after="40"/>
              <w:jc w:val="center"/>
            </w:pPr>
            <w:r>
              <w:rPr>
                <w:rFonts w:ascii="Times New Roman" w:hAnsi="Times New Roman"/>
                <w:color w:val="000000"/>
                <w:sz w:val="18"/>
              </w:rPr>
              <w:t>0.318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+0.19</w:t>
            </w:r>
          </w:p>
        </w:tc>
        <w:tc>
          <w:tcPr>
            <w:tcW w:type="dxa" w:w="1170"/>
          </w:tcPr>
          <w:p>
            <w:pPr>
              <w:spacing w:line="276" w:lineRule="auto" w:before="40" w:after="40"/>
              <w:jc w:val="center"/>
            </w:pPr>
            <w:r>
              <w:rPr>
                <w:rFonts w:ascii="Times New Roman" w:hAnsi="Times New Roman"/>
                <w:color w:val="000000"/>
                <w:sz w:val="18"/>
              </w:rPr>
              <w:t>0.645</w:t>
            </w:r>
          </w:p>
        </w:tc>
        <w:tc>
          <w:tcPr>
            <w:tcW w:type="dxa" w:w="1170"/>
          </w:tcPr>
          <w:p>
            <w:pPr>
              <w:spacing w:line="276" w:lineRule="auto" w:before="40" w:after="40"/>
              <w:jc w:val="center"/>
            </w:pPr>
            <w:r>
              <w:rPr>
                <w:rFonts w:ascii="Times New Roman" w:hAnsi="Times New Roman"/>
                <w:color w:val="000000"/>
                <w:sz w:val="18"/>
              </w:rPr>
              <w:t>0.485</w:t>
            </w:r>
          </w:p>
        </w:tc>
        <w:tc>
          <w:tcPr>
            <w:tcW w:type="dxa" w:w="1170"/>
          </w:tcPr>
          <w:p>
            <w:pPr>
              <w:spacing w:line="276" w:lineRule="auto" w:before="40" w:after="40"/>
              <w:jc w:val="center"/>
            </w:pPr>
            <w:r>
              <w:rPr>
                <w:rFonts w:ascii="Times New Roman" w:hAnsi="Times New Roman"/>
                <w:color w:val="000000"/>
                <w:sz w:val="18"/>
              </w:rPr>
              <w:t>0.430</w:t>
            </w:r>
          </w:p>
        </w:tc>
        <w:tc>
          <w:tcPr>
            <w:tcW w:type="dxa" w:w="1170"/>
          </w:tcPr>
          <w:p>
            <w:pPr>
              <w:spacing w:line="276" w:lineRule="auto" w:before="40" w:after="40"/>
              <w:jc w:val="center"/>
            </w:pPr>
            <w:r>
              <w:rPr>
                <w:rFonts w:ascii="Times New Roman" w:hAnsi="Times New Roman"/>
                <w:color w:val="000000"/>
                <w:sz w:val="18"/>
              </w:rPr>
              <w:t>0.573</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0.089</w:t>
            </w:r>
          </w:p>
        </w:tc>
        <w:tc>
          <w:tcPr>
            <w:tcW w:type="dxa" w:w="1170"/>
          </w:tcPr>
          <w:p>
            <w:pPr>
              <w:spacing w:line="276" w:lineRule="auto" w:before="40" w:after="40"/>
              <w:jc w:val="center"/>
            </w:pPr>
            <w:r>
              <w:rPr>
                <w:rFonts w:ascii="Times New Roman" w:hAnsi="Times New Roman"/>
                <w:color w:val="000000"/>
                <w:sz w:val="18"/>
              </w:rPr>
              <w:t>0.065</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-0.52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0.001</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-1.82</w:t>
            </w:r>
          </w:p>
        </w:tc>
        <w:tc>
          <w:tcPr>
            <w:tcW w:type="dxa" w:w="1170"/>
          </w:tcPr>
          <w:p>
            <w:pPr>
              <w:spacing w:line="276" w:lineRule="auto" w:before="40" w:after="40"/>
              <w:jc w:val="center"/>
            </w:pPr>
            <w:r>
              <w:rPr>
                <w:rFonts w:ascii="Times New Roman" w:hAnsi="Times New Roman"/>
                <w:color w:val="000000"/>
                <w:sz w:val="18"/>
              </w:rPr>
              <w:t>0.004</w:t>
            </w:r>
          </w:p>
        </w:tc>
        <w:tc>
          <w:tcPr>
            <w:tcW w:type="dxa" w:w="1170"/>
          </w:tcPr>
          <w:p>
            <w:pPr>
              <w:spacing w:line="276" w:lineRule="auto" w:before="40" w:after="40"/>
              <w:jc w:val="center"/>
            </w:pPr>
            <w:r>
              <w:rPr>
                <w:rFonts w:ascii="Times New Roman" w:hAnsi="Times New Roman"/>
                <w:color w:val="000000"/>
                <w:sz w:val="18"/>
              </w:rPr>
              <w:t>0.002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r>
    </w:tbl>
    <w:p>
      <w:pPr>
        <w:spacing w:after="120"/>
      </w:pPr>
    </w:p>
    <w:p>
      <w:pPr>
        <w:spacing w:line="480" w:lineRule="auto" w:before="0" w:after="0"/>
        <w:jc w:val="left"/>
      </w:pPr>
      <w:r>
        <w:rPr>
          <w:rFonts w:ascii="Times New Roman" w:hAnsi="Times New Roman"/>
          <w:i/>
          <w:color w:val="000000"/>
          <w:sz w:val="20"/>
        </w:rPr>
        <w:t>Source: Author's computation (2026). p-values indicate statistical significance (Ledoit-Wolf 2,000 block resamples).</w:t>
      </w:r>
    </w:p>
    <w:p>
      <w:pPr>
        <w:spacing w:line="480" w:lineRule="auto" w:before="0" w:after="0"/>
        <w:jc w:val="left"/>
      </w:pPr>
      <w:r>
        <w:rPr>
          <w:rFonts w:ascii="Times New Roman" w:hAnsi="Times New Roman"/>
          <w:b/>
          <w:color w:val="000000"/>
          <w:sz w:val="24"/>
        </w:rPr>
        <w:t>4.2 Discussion of Findings</w:t>
      </w:r>
    </w:p>
    <w:p>
      <w:pPr>
        <w:spacing w:line="480" w:lineRule="auto" w:before="0" w:after="0"/>
        <w:jc w:val="both"/>
      </w:pPr>
      <w:r>
        <w:rPr>
          <w:rFonts w:ascii="Times New Roman" w:hAnsi="Times New Roman"/>
          <w:color w:val="000000"/>
          <w:sz w:val="24"/>
        </w:rPr>
        <w:t>The empirical findings presented in Section 4.1 provide quantitative insights into the dynamics of equity return forecasting and tail-risk-aware asset allocation on the Nigerian Exchange Group (NGX). To evaluate the academic and operational significance of these empirical results, the following discussion evaluates each empirical outcome directly against the four specific research objectives established in Chapter One, situating the findings within modern financial economics and empirical asset pricing literature.</w:t>
      </w:r>
    </w:p>
    <w:p>
      <w:pPr>
        <w:spacing w:line="480" w:lineRule="auto" w:before="0" w:after="0"/>
        <w:jc w:val="both"/>
      </w:pPr>
      <w:r>
        <w:rPr>
          <w:rFonts w:ascii="Times New Roman" w:hAnsi="Times New Roman"/>
          <w:color w:val="000000"/>
          <w:sz w:val="24"/>
        </w:rPr>
        <w:t>Firstly, regarding the evaluation of statistical non-normality and tail-risk exposure across NGX equities, the empirical diagnostic tests presented in Section 4.1.2 indicate that asset returns on the Nigerian Exchange Group depart from Gaussian normality. Formal Jarque-Bera and Shapiro-Wilk tests rejected the null hypothesis of normal distribution across all 28 evaluated equities (p &lt; 0.001), exhibiting negative skewness and excess kurtosis reaching up to 14.46. Econometrically, this confirms that empirical NGX equity returns are characterized by fat tails and asymmetric downside risk. These results support the theoretical arguments of Mozumder et al. (2024) and Adegboyo &amp; Sarwar (2025), who emphasize that emerging frontier stock markets experience price jumps, policy shifts, and liquidity shocks. Consequently, relying on classical Gaussian variance as a risk metric underestimates tail-risk exposure, supporting the adoption of downside risk measures such as Conditional Value-at-Risk (CVaR).</w:t>
      </w:r>
    </w:p>
    <w:p>
      <w:pPr>
        <w:spacing w:line="480" w:lineRule="auto" w:before="0" w:after="0"/>
        <w:jc w:val="both"/>
      </w:pPr>
      <w:r>
        <w:rPr>
          <w:rFonts w:ascii="Times New Roman" w:hAnsi="Times New Roman"/>
          <w:color w:val="000000"/>
          <w:sz w:val="24"/>
        </w:rPr>
        <w:t>Secondly, regarding the performance of non-linear Machine Learning models in forecasting weekly NGX equity returns under Expanding Rolling Window Walk-Forward Validation, the empirical results in Section 4.1.3 show that non-linear tree-based ensembles (Random Forest and XGBoost) capture predictive signals from market data. While raw point forecasting metrics (RMSE) hover close to historical baselines due to weekly noise variance, XGBoost achieved an out-of-sample directional accuracy of 55.76% across liquid NGX equities, compared to the 50.0% random walk benchmark. Feature importance analysis (Section 4.1.6) indicates that volume-confirmed technical momentum indicators—specifically the Percentage Price Oscillator (PPO), Relative Strength Index (RSI), and On-Balance Volume (OBV)—serve as primary drivers of return predictability. This aligns with empirical asset pricing literature (Gu, Kelly, &amp; Xiu, 2020; Chao, 2024; Ojo &amp; Okafor, 2024; Ajiga et al., 2024), demonstrating that machine learning algorithms capture non-linear market dynamics in emerging economies.</w:t>
      </w:r>
    </w:p>
    <w:p>
      <w:pPr>
        <w:spacing w:line="480" w:lineRule="auto" w:before="0" w:after="0"/>
        <w:jc w:val="both"/>
      </w:pPr>
      <w:r>
        <w:rPr>
          <w:rFonts w:ascii="Times New Roman" w:hAnsi="Times New Roman"/>
          <w:color w:val="000000"/>
          <w:sz w:val="24"/>
        </w:rPr>
        <w:t>Thirdly, regarding the performance of integrated ML-CVaR portfolio strategies compared against classical Markowitz Mean-Variance Optimization and 1/N benchmarks, the backtest results in Section 4.1.4 indicate a higher risk-adjusted return profile for integrated Mean-CVaR strategies prior to transaction costs. Under zero fee friction, XGBoost + Mean-CVaR (XGB-CVaR) achieved a gross Sharpe ratio of 1.52 (42.00% annualized return, -22.09% max drawdown), compared to 0.91 for the passive NGX Index Buy-and-Hold benchmark and 0.76 for Markowitz MVO. Inferential hypothesis testing (Section 4.1.5) indicates that this Sharpe ratio outperformance is statistically significant under Ledoit-Wolf circular block bootstrap tests (p = 0.015 &lt; 0.05). Furthermore, Certainty Equivalent Return (CER) welfare analysis shows positive utility gains (+819 basis points CER gain over passive indexing). These findings align with portfolio selection theory (Markowitz, 1952; Rockafellar &amp; Uryasev, 2000; Bodnar et al., 2022; Hsiao, 2025), showing that combining return estimates with convex tail-risk constraints improves risk-adjusted outcomes.</w:t>
      </w:r>
    </w:p>
    <w:p>
      <w:pPr>
        <w:spacing w:line="480" w:lineRule="auto" w:before="0" w:after="0"/>
        <w:jc w:val="both"/>
      </w:pPr>
      <w:r>
        <w:rPr>
          <w:rFonts w:ascii="Times New Roman" w:hAnsi="Times New Roman"/>
          <w:color w:val="000000"/>
          <w:sz w:val="24"/>
        </w:rPr>
        <w:t>Fourthly, regarding portfolio robustness under market stress and transaction cost frictions, the empirical evaluation in Section 4.1.7 highlights execution dynamics across market participant regimes. Under 1.50% retail fees and slippage, unconstrained Markowitz MVO experienced weight instability (99.28% average weekly turnover), resulting in a maximum drawdown of -86.38% and negative economic welfare (CER = -64.09%). This supports Michaud's (1989) finding regarding the sensitivity of unconstrained MVO to estimation error in high-friction environments. Conversely, low-turnover Historical-CVaR (0.38% turnover) displayed resilience, retaining net Sharpe ratios of 1.48 (retail) and 1.49 (institutional). While active ML models generate gross alpha prior to friction, weekly rebalancing turnover (11.00%) incurs an annual fee drag (~3.6% to ~7.2%) that offsets marginal predictive gains post-fees. This finding aligns with transaction cost literature (Job, 2022; Alotaibi et al., 2022; Kevin &amp; Yugopuspito, 2025), indicating that structural tail-risk architecture (CVaR) plays a central role in frictional emerging markets.</w:t>
      </w:r>
    </w:p>
    <w:p>
      <w:pPr>
        <w:spacing w:line="480" w:lineRule="auto" w:before="0" w:after="0"/>
        <w:jc w:val="left"/>
      </w:pPr>
      <w:r>
        <w:rPr>
          <w:rFonts w:ascii="Times New Roman" w:hAnsi="Times New Roman"/>
          <w:b/>
          <w:color w:val="000000"/>
          <w:sz w:val="28"/>
        </w:rPr>
        <w:t>CHAPTER FIVE</w:t>
      </w:r>
    </w:p>
    <w:p>
      <w:pPr>
        <w:spacing w:line="480" w:lineRule="auto" w:before="0" w:after="0"/>
        <w:jc w:val="left"/>
      </w:pPr>
      <w:r>
        <w:rPr>
          <w:rFonts w:ascii="Times New Roman" w:hAnsi="Times New Roman"/>
          <w:b/>
          <w:color w:val="000000"/>
          <w:sz w:val="24"/>
        </w:rPr>
        <w:t>SUMMARY, CONCLUSION AND RECOMMENDATIONS</w:t>
      </w:r>
    </w:p>
    <w:p>
      <w:pPr>
        <w:spacing w:line="480" w:lineRule="auto" w:before="0" w:after="0"/>
        <w:jc w:val="left"/>
      </w:pPr>
      <w:r>
        <w:rPr>
          <w:rFonts w:ascii="Times New Roman" w:hAnsi="Times New Roman"/>
          <w:b/>
          <w:color w:val="000000"/>
          <w:sz w:val="24"/>
        </w:rPr>
        <w:t>5.1 Summary of Findings</w:t>
      </w:r>
    </w:p>
    <w:p>
      <w:pPr>
        <w:spacing w:line="480" w:lineRule="auto" w:before="0" w:after="0"/>
        <w:jc w:val="both"/>
      </w:pPr>
      <w:r>
        <w:rPr>
          <w:rFonts w:ascii="Times New Roman" w:hAnsi="Times New Roman"/>
          <w:color w:val="000000"/>
          <w:sz w:val="24"/>
        </w:rPr>
        <w:t>Formal statistical diagnostic tests (Jarque-Bera and Shapiro-Wilk) rejected Gaussian normality across all 28 evaluated NGX equities (p &lt; 0.001). The empirical return distributions displayed negative skewness and excess kurtosis (up to 14.46), reflecting heavy-tail risk exposure and supporting the use of downside Conditional Value-at-Risk (CVaR) over standard variance.</w:t>
      </w:r>
    </w:p>
    <w:p>
      <w:pPr>
        <w:spacing w:line="480" w:lineRule="auto" w:before="0" w:after="0"/>
        <w:jc w:val="both"/>
      </w:pPr>
      <w:r>
        <w:rPr>
          <w:rFonts w:ascii="Times New Roman" w:hAnsi="Times New Roman"/>
          <w:color w:val="000000"/>
          <w:sz w:val="24"/>
        </w:rPr>
        <w:t>Non-linear machine learning ensembles (Random Forest and XGBoost) evaluated under Expanding Rolling Window Walk-Forward Validation captured time-varying market dynamics. XGBoost achieved an out-of-sample directional accuracy of 55.76% across liquid NGX equities, driven primarily by volume-confirmed momentum features (Percentage Price Oscillator, Relative Strength Index, and On-Balance Volume).</w:t>
      </w:r>
    </w:p>
    <w:p>
      <w:pPr>
        <w:spacing w:line="480" w:lineRule="auto" w:before="0" w:after="0"/>
        <w:jc w:val="both"/>
      </w:pPr>
      <w:r>
        <w:rPr>
          <w:rFonts w:ascii="Times New Roman" w:hAnsi="Times New Roman"/>
          <w:color w:val="000000"/>
          <w:sz w:val="24"/>
        </w:rPr>
        <w:t>Integrating machine learning return forecasts into a convex Mean-CVaR optimization framework generated risk-adjusted returns under zero fee friction. XGBoost + Mean-CVaR achieved a gross Sharpe ratio of 1.52 (42.00% annualized return, -22.09% maximum drawdown) compared to 0.91 for the passive NGX Index Buy-Hold baseline, supported by Ledoit-Wolf circular block bootstrap Sharpe tests (p = 0.015 &lt; 0.05) and Certainty Equivalent Return utility gains (+819 bps CER gain).</w:t>
      </w:r>
    </w:p>
    <w:p>
      <w:pPr>
        <w:spacing w:line="480" w:lineRule="auto" w:before="0" w:after="0"/>
        <w:jc w:val="both"/>
      </w:pPr>
      <w:r>
        <w:rPr>
          <w:rFonts w:ascii="Times New Roman" w:hAnsi="Times New Roman"/>
          <w:color w:val="000000"/>
          <w:sz w:val="24"/>
        </w:rPr>
        <w:t>Evaluating portfolio performance under market stress and multi-tier transaction cost friction demonstrated that unconstrained Markowitz Mean-Variance Optimization experiences performance degradation (-86.38% drawdown, -64.09% CER utility) due to high turnover (99.28% weekly turnover). Under institutional (0.75%) and retail (1.50%) brokerage fees, active ML rebalancing turnover (11.00%) creates an annual fee drag (~3.6% to ~7.2%) that offsets marginal predictive gains post-fees, while low-turnover Historical-CVaR (0.38% turnover) maintains stable post-fee performance (net Sharpe 1.48–1.49, pairwise p = 0.000).</w:t>
      </w:r>
    </w:p>
    <w:p>
      <w:pPr>
        <w:spacing w:line="480" w:lineRule="auto" w:before="0" w:after="0"/>
        <w:jc w:val="left"/>
      </w:pPr>
      <w:r>
        <w:rPr>
          <w:rFonts w:ascii="Times New Roman" w:hAnsi="Times New Roman"/>
          <w:b/>
          <w:color w:val="000000"/>
          <w:sz w:val="24"/>
        </w:rPr>
        <w:t>5.2 Conclusion</w:t>
      </w:r>
    </w:p>
    <w:p>
      <w:pPr>
        <w:spacing w:line="480" w:lineRule="auto" w:before="0" w:after="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15-year period (2010–2025). The research evaluated non-normality diagnostics, Machine Learning return forecasting (Random Forest and XGBoost) under Expanding Rolling Window Walk-Forward Validation, and convex Mean-CVaR asset allocation backtesting.</w:t>
        <w:br/>
        <w:br/>
        <w:t>The overall conclusion of this research is that while Machine Learning models extract gross predictive alpha on the NGX, market transaction friction and rebalancing turnover neutralize these marginal predictive gains post-fees. Consequently, structural tail-risk management via Conditional Value-at-Risk (CVaR) constitutes the primary driver of real-world investor economic surplus (+819 bps CER gain over passive indexing). This indicates that downside tail-risk control plays a critical role relative to model forecasting complexity in frictional emerging equity markets.</w:t>
      </w:r>
    </w:p>
    <w:p>
      <w:pPr>
        <w:spacing w:line="480" w:lineRule="auto" w:before="0" w:after="0"/>
        <w:jc w:val="left"/>
      </w:pPr>
      <w:r>
        <w:rPr>
          <w:rFonts w:ascii="Times New Roman" w:hAnsi="Times New Roman"/>
          <w:b/>
          <w:color w:val="000000"/>
          <w:sz w:val="24"/>
        </w:rPr>
        <w:t>5.3 Policy and Practical Recommendations</w:t>
      </w:r>
    </w:p>
    <w:p>
      <w:pPr>
        <w:spacing w:line="480" w:lineRule="auto" w:before="0" w:after="0"/>
        <w:jc w:val="left"/>
      </w:pPr>
      <w:r>
        <w:rPr>
          <w:rFonts w:ascii="Times New Roman" w:hAnsi="Times New Roman"/>
          <w:b/>
          <w:color w:val="000000"/>
          <w:sz w:val="24"/>
        </w:rPr>
        <w:t>5.3.1 Regulatory and Macroeconomic Policy Recommendations</w:t>
      </w:r>
    </w:p>
    <w:p>
      <w:pPr>
        <w:spacing w:line="480" w:lineRule="auto" w:before="0" w:after="0"/>
        <w:jc w:val="both"/>
      </w:pPr>
      <w:r>
        <w:rPr>
          <w:rFonts w:ascii="Times New Roman" w:hAnsi="Times New Roman"/>
          <w:color w:val="000000"/>
          <w:sz w:val="24"/>
        </w:rPr>
        <w:t>1. PENCOM Investment Guidelines Update: The National Pension Commission (PENCOM) should update its Investment Guidelines for Fund I, Fund II, and Fund III equity portfolios to mandate downside tail-risk metrics, specifically Conditional Value-at-Risk (CVaR_0.95), alongside traditional variance. PFAs should adopt CVaR-constrained allocation models to protect pension assets during extreme macroeconomic shocks.</w:t>
        <w:br/>
        <w:br/>
        <w:t>2. SEC &amp; NGX Regulatory Data Transparency: The Securities and Exchange Commission (SEC) and NGX Regulation should establish open-access, low-latency API data infrastructure for market participants to support quantitative risk management. Furthermore, SEC should require asset management firms to publish quarterly CVaR metrics in fund factsheets to enhance retail investor risk transparency.</w:t>
      </w:r>
    </w:p>
    <w:p>
      <w:pPr>
        <w:spacing w:line="480" w:lineRule="auto" w:before="0" w:after="0"/>
        <w:jc w:val="left"/>
      </w:pPr>
      <w:r>
        <w:rPr>
          <w:rFonts w:ascii="Times New Roman" w:hAnsi="Times New Roman"/>
          <w:b/>
          <w:color w:val="000000"/>
          <w:sz w:val="24"/>
        </w:rPr>
        <w:t>5.3.2 Institutional Asset Allocation Recommendations</w:t>
      </w:r>
    </w:p>
    <w:p>
      <w:pPr>
        <w:spacing w:line="480" w:lineRule="auto" w:before="0" w:after="0"/>
        <w:jc w:val="both"/>
      </w:pPr>
      <w:r>
        <w:rPr>
          <w:rFonts w:ascii="Times New Roman" w:hAnsi="Times New Roman"/>
          <w:color w:val="000000"/>
          <w:sz w:val="24"/>
        </w:rPr>
        <w:t>1. Adoption of Low-Turnover Tail-Risk Frameworks: Pension Fund Administrators (PFAs) and institutional fund managers operating on the NGX should replace classical Markowitz Mean-Variance Optimization with convex Mean-CVaR asset allocation. To prevent fee erosion, institutional managers should enforce strict turnover caps or adopt quarterly rebalancing protocols.</w:t>
        <w:br/>
        <w:br/>
        <w:t>2. Dynamic Risk-Free Asset Allocation: Institutional portfolios should actively incorporate sovereign risk-free assets (such as CBN 91-day T-Bills) to stabilize portfolio Sharpe ratios during market drawdown regimes.</w:t>
      </w:r>
    </w:p>
    <w:p>
      <w:pPr>
        <w:spacing w:line="480" w:lineRule="auto" w:before="0" w:after="0"/>
        <w:jc w:val="left"/>
      </w:pPr>
      <w:r>
        <w:rPr>
          <w:rFonts w:ascii="Times New Roman" w:hAnsi="Times New Roman"/>
          <w:b/>
          <w:color w:val="000000"/>
          <w:sz w:val="24"/>
        </w:rPr>
        <w:t>5.3.3 Quantitative Risk Management Recommendations</w:t>
      </w:r>
    </w:p>
    <w:p>
      <w:pPr>
        <w:spacing w:line="480" w:lineRule="auto" w:before="0" w:after="0"/>
        <w:jc w:val="both"/>
      </w:pPr>
      <w:r>
        <w:rPr>
          <w:rFonts w:ascii="Times New Roman" w:hAnsi="Times New Roman"/>
          <w:color w:val="000000"/>
          <w:sz w:val="24"/>
        </w:rPr>
        <w:t>1. Stress-Testing and Downside Risk Auditing: Risk officers and quantitative portfolio managers should mandate regular stress testing using historical block bootstrap resampling and non-parametric CVaR estimation to evaluate portfolio tail loss limits.</w:t>
        <w:br/>
        <w:br/>
        <w:t>2. Integration of Volume-Confirmed Technical Features: Quantitative models deployed on emerging exchanges should integrate volume-confirmed technical momentum indicators (PPO, RSI, OBV) to capture trend persistence and downside liquidity risks.</w:t>
      </w:r>
    </w:p>
    <w:p>
      <w:pPr>
        <w:spacing w:line="480" w:lineRule="auto" w:before="0" w:after="0"/>
        <w:jc w:val="left"/>
      </w:pPr>
      <w:r>
        <w:rPr>
          <w:rFonts w:ascii="Times New Roman" w:hAnsi="Times New Roman"/>
          <w:b/>
          <w:color w:val="000000"/>
          <w:sz w:val="24"/>
        </w:rPr>
        <w:t>5.4 Limitations of the Study</w:t>
      </w:r>
    </w:p>
    <w:p>
      <w:pPr>
        <w:spacing w:line="480" w:lineRule="auto" w:before="0" w:after="0"/>
        <w:jc w:val="both"/>
      </w:pPr>
      <w:r>
        <w:rPr>
          <w:rFonts w:ascii="Times New Roman" w:hAnsi="Times New Roman"/>
          <w:color w:val="000000"/>
          <w:sz w:val="24"/>
        </w:rPr>
        <w:t>While this study provides empirical insights, several limitations are acknowledged:</w:t>
        <w:br/>
        <w:t>1. Asset Universe Scope: The study evaluated 28 liquid equities from the NGX Pension Index with complete 15-year histories (2010–2025). Recently listed high-capitalization assets (e.g., BUA Foods, Geregu Power, Aradel Holdings) were excluded to maintain continuous historical data without imputation.</w:t>
        <w:br/>
        <w:t>2. Data Frequency: Analysis was conducted using weekly log returns. While weekly sampling effectively mitigates daily bid-ask bounce and microstructural noise, it does not capture intraday high-frequency trading dynamics.</w:t>
        <w:br/>
        <w:t>3. Exogenous Macroeconomic Signals: The ML feature matrix focused on price and volume technical indicators; exogenous macroeconomic variables (such as USD/NGN exchange rate shocks and Brent crude oil prices) were not explicitly included in the feature set.</w:t>
      </w:r>
    </w:p>
    <w:p>
      <w:pPr>
        <w:spacing w:line="480" w:lineRule="auto" w:before="0" w:after="0"/>
        <w:jc w:val="left"/>
      </w:pPr>
      <w:r>
        <w:rPr>
          <w:rFonts w:ascii="Times New Roman" w:hAnsi="Times New Roman"/>
          <w:b/>
          <w:color w:val="000000"/>
          <w:sz w:val="24"/>
        </w:rPr>
        <w:t>5.5 Suggestions for Further Research</w:t>
      </w:r>
    </w:p>
    <w:p>
      <w:pPr>
        <w:spacing w:line="480" w:lineRule="auto" w:before="0" w:after="0"/>
        <w:jc w:val="both"/>
      </w:pPr>
      <w:r>
        <w:rPr>
          <w:rFonts w:ascii="Times New Roman" w:hAnsi="Times New Roman"/>
          <w:color w:val="000000"/>
          <w:sz w:val="24"/>
        </w:rPr>
        <w:t>1. Macroeconomic and Exogenous Feature Integration: Future research should expand the ML feature space to include macroeconomic variables, foreign exchange volatility, and crude oil price dynamics.</w:t>
        <w:br/>
        <w:t>2. Deep Learning and High-Frequency Architectures: Extending forecasting models to Transformer-based temporal models and Long Short-Term Memory (LSTM) networks on daily or intraday NGX trading data.</w:t>
        <w:br/>
        <w:t>3. Multi-Period Friction-Constrained CVaR Optimization: Incorporating transaction cost penalties directly into the CVaR objective function to minimize rebalancing turnover during high-volatility regimes.</w:t>
      </w:r>
    </w:p>
    <w:p>
      <w:pPr>
        <w:spacing w:line="480" w:lineRule="auto" w:before="0" w:after="0"/>
        <w:jc w:val="left"/>
      </w:pPr>
      <w:r>
        <w:rPr>
          <w:rFonts w:ascii="Times New Roman" w:hAnsi="Times New Roman"/>
          <w:b/>
          <w:color w:val="000000"/>
          <w:sz w:val="24"/>
        </w:rPr>
        <w:t>5.6 Contribution to Knowledge</w:t>
      </w:r>
    </w:p>
    <w:p>
      <w:pPr>
        <w:spacing w:line="480" w:lineRule="auto" w:before="0" w:after="0"/>
        <w:jc w:val="both"/>
      </w:pPr>
      <w:r>
        <w:rPr>
          <w:rFonts w:ascii="Times New Roman" w:hAnsi="Times New Roman"/>
          <w:color w:val="000000"/>
          <w:sz w:val="24"/>
        </w:rPr>
        <w:t>This research contributes to quantitative finance literature in the following ways:</w:t>
        <w:br/>
        <w:t>1. Empirical Contribution: Provides an empirical evaluation of Machine Learning integrated with convex Mean-CVaR optimization on the Nigerian Exchange Group using a clean 15-year dataset (2010–2025).</w:t>
        <w:br/>
        <w:t>2. Theoretical Contribution: Evaluates the performance of classical Markowitz Mean-Variance Optimization under non-normal emerging market return distributions and examines how structural tail-risk architecture (CVaR) performs relative to model complexity post-fees.</w:t>
        <w:br/>
        <w:t>3. Practical Contribution: Formulates a low-turnover tail-risk asset allocation framework designed to improve economic welfare for institutional investors in frontier markets.</w:t>
      </w:r>
    </w:p>
    <w:p>
      <w:pPr>
        <w:spacing w:line="480" w:lineRule="auto" w:before="0" w:after="0"/>
        <w:jc w:val="left"/>
      </w:pPr>
      <w:r>
        <w:rPr>
          <w:rFonts w:ascii="Times New Roman" w:hAnsi="Times New Roman"/>
          <w:b/>
          <w:color w:val="000000"/>
          <w:sz w:val="24"/>
        </w:rPr>
        <w:t>5.7 Data and Code Availability Statement</w:t>
      </w:r>
    </w:p>
    <w:p>
      <w:pPr>
        <w:spacing w:line="480" w:lineRule="auto" w:before="0" w:after="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and ReportLab PDF synthesis, is open-source and publicly hosted on GitHub at:</w:t>
        <w:br/>
        <w:br/>
        <w:t>Repository URL: https://github.com/abdulameen962/equity-optimization</w:t>
      </w:r>
    </w:p>
    <w:p>
      <w:r>
        <w:br w:type="page"/>
      </w:r>
    </w:p>
    <w:p>
      <w:pPr>
        <w:spacing w:line="480" w:lineRule="auto" w:before="0" w:after="0"/>
        <w:jc w:val="left"/>
      </w:pPr>
      <w:r>
        <w:rPr>
          <w:rFonts w:ascii="Times New Roman" w:hAnsi="Times New Roman"/>
          <w:b/>
          <w:color w:val="000000"/>
          <w:sz w:val="24"/>
        </w:rPr>
        <w:t>References</w:t>
      </w:r>
    </w:p>
    <w:p>
      <w:pPr>
        <w:spacing w:line="480" w:lineRule="auto" w:before="0" w:after="0"/>
        <w:ind w:left="720" w:hanging="720"/>
        <w:jc w:val="both"/>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both"/>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both"/>
      </w:pPr>
      <w:r>
        <w:rPr>
          <w:rFonts w:ascii="Times New Roman" w:hAnsi="Times New Roman"/>
          <w:color w:val="000000"/>
          <w:sz w:val="24"/>
        </w:rPr>
        <w:t>Al-Shboul, M., &amp; Alfzari, S. (2025). Predictive analytics in portfolio management: A fusion of AI and investment economics for optimal risk-return trade-offs. International Review of Management and Marketing, 15(1). https://www.econjournals.net.tr/index.php/irmm/article/view/18594</w:t>
      </w:r>
    </w:p>
    <w:p>
      <w:pPr>
        <w:spacing w:line="480" w:lineRule="auto" w:before="0" w:after="0"/>
        <w:ind w:left="720" w:hanging="720"/>
        <w:jc w:val="both"/>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both"/>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both"/>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both"/>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both"/>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both"/>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both"/>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both"/>
      </w:pPr>
      <w:r>
        <w:rPr>
          <w:rFonts w:ascii="Times New Roman" w:hAnsi="Times New Roman"/>
          <w:color w:val="000000"/>
          <w:sz w:val="24"/>
        </w:rPr>
        <w:t>Campbell, J. Y., &amp; Viceira, L. M. (2002). Strategic asset allocation: Portfolio choice for long-term investors. Oxford University Press.</w:t>
      </w:r>
    </w:p>
    <w:p>
      <w:pPr>
        <w:spacing w:line="480" w:lineRule="auto" w:before="0" w:after="0"/>
        <w:ind w:left="720" w:hanging="720"/>
        <w:jc w:val="both"/>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both"/>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both"/>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both"/>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both"/>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both"/>
      </w:pPr>
      <w:r>
        <w:rPr>
          <w:rFonts w:ascii="Times New Roman" w:hAnsi="Times New Roman"/>
          <w:color w:val="000000"/>
          <w:sz w:val="24"/>
        </w:rPr>
        <w:t>Diebold, F. X., &amp; Mariano, R. S. (1995). Comparing predictive accuracy. Journal of Business &amp; Economic Statistics, 13(3), 253–263.</w:t>
      </w:r>
    </w:p>
    <w:p>
      <w:pPr>
        <w:spacing w:line="480" w:lineRule="auto" w:before="0" w:after="0"/>
        <w:ind w:left="720" w:hanging="720"/>
        <w:jc w:val="both"/>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both"/>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both"/>
      </w:pPr>
      <w:r>
        <w:rPr>
          <w:rFonts w:ascii="Times New Roman" w:hAnsi="Times New Roman"/>
          <w:color w:val="000000"/>
          <w:sz w:val="24"/>
        </w:rPr>
        <w:t>Fan, Y. (2025). Enhancing investment strategies with LSTM-based stock prediction and mean-variance portfolio optimization. Proceedings of the 3rd International Conference on Financial Technology and Business Analysis. https://doi.org/10.54254/2754-1169/2024.23667</w:t>
      </w:r>
    </w:p>
    <w:p>
      <w:pPr>
        <w:spacing w:line="480" w:lineRule="auto" w:before="0" w:after="0"/>
        <w:ind w:left="720" w:hanging="720"/>
        <w:jc w:val="both"/>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both"/>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both"/>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both"/>
      </w:pPr>
      <w:r>
        <w:rPr>
          <w:rFonts w:ascii="Times New Roman" w:hAnsi="Times New Roman"/>
          <w:color w:val="000000"/>
          <w:sz w:val="24"/>
        </w:rPr>
        <w:t>Fleming, J., Kirby, C., &amp; Ostdiek, B. (2001). The economic value of volatility timing using 'realized' volatility [Working paper]. Rice University, Jones Graduate School. https://ssrn.com/abstract=276921</w:t>
      </w:r>
    </w:p>
    <w:p>
      <w:pPr>
        <w:spacing w:line="480" w:lineRule="auto" w:before="0" w:after="0"/>
        <w:ind w:left="720" w:hanging="720"/>
        <w:jc w:val="both"/>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both"/>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both"/>
      </w:pPr>
      <w:r>
        <w:rPr>
          <w:rFonts w:ascii="Times New Roman" w:hAnsi="Times New Roman"/>
          <w:color w:val="000000"/>
          <w:sz w:val="24"/>
        </w:rPr>
        <w:t>Hsiao, Y.-Y. (2025). A comprehensive survey of modern portfolio optimization: From traditional risk analysis to advanced analytics and machine learning approaches (Preprint). Johns Hopkins University.</w:t>
      </w:r>
    </w:p>
    <w:p>
      <w:pPr>
        <w:spacing w:line="480" w:lineRule="auto" w:before="0" w:after="0"/>
        <w:ind w:left="720" w:hanging="720"/>
        <w:jc w:val="both"/>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both"/>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both"/>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both"/>
      </w:pPr>
      <w:r>
        <w:rPr>
          <w:rFonts w:ascii="Times New Roman" w:hAnsi="Times New Roman"/>
          <w:color w:val="000000"/>
          <w:sz w:val="24"/>
        </w:rPr>
        <w:t>Kevin, J., &amp; Yugopuspito, P. (2025). Hybrid LSTM and PPO networks for dynamic portfolio optimization (LPPM-UPH, No. 404/LPPM-UPH/VII/2025). Universitas Pelita Harapan Working Paper.</w:t>
      </w:r>
    </w:p>
    <w:p>
      <w:pPr>
        <w:spacing w:line="480" w:lineRule="auto" w:before="0" w:after="0"/>
        <w:ind w:left="720" w:hanging="720"/>
        <w:jc w:val="both"/>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both"/>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both"/>
      </w:pPr>
      <w:r>
        <w:rPr>
          <w:rFonts w:ascii="Times New Roman" w:hAnsi="Times New Roman"/>
          <w:color w:val="000000"/>
          <w:sz w:val="24"/>
        </w:rPr>
        <w:t>Ledoit, O., &amp; Wolf, M. (2011). Robust performance hypothesis testing with the variance. Wilmott Magazine, (55), 86–89.</w:t>
      </w:r>
    </w:p>
    <w:p>
      <w:pPr>
        <w:spacing w:line="480" w:lineRule="auto" w:before="0" w:after="0"/>
        <w:ind w:left="720" w:hanging="720"/>
        <w:jc w:val="both"/>
      </w:pPr>
      <w:r>
        <w:rPr>
          <w:rFonts w:ascii="Times New Roman" w:hAnsi="Times New Roman"/>
          <w:color w:val="000000"/>
          <w:sz w:val="24"/>
        </w:rPr>
        <w:t>Li, G. (2023). Portfolio optimization and risk analysis in financial markets. Proceedings of the 2nd International Conference on Financial Technology and Business Analysis, 61, 243–247. https://doi.org/10.54254/2754-1169/61/20231273</w:t>
      </w:r>
    </w:p>
    <w:p>
      <w:pPr>
        <w:spacing w:line="480" w:lineRule="auto" w:before="0" w:after="0"/>
        <w:ind w:left="720" w:hanging="720"/>
        <w:jc w:val="both"/>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both"/>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both"/>
      </w:pPr>
      <w:r>
        <w:rPr>
          <w:rFonts w:ascii="Times New Roman" w:hAnsi="Times New Roman"/>
          <w:color w:val="000000"/>
          <w:sz w:val="24"/>
        </w:rPr>
        <w:t>Mahadevaswamy, G. H., &amp; Shyamala, G. (2022). Markowitz Model Is Right Choice to Investment. International Journal of Novel Research and Development, 7(11), 305–314.</w:t>
      </w:r>
    </w:p>
    <w:p>
      <w:pPr>
        <w:spacing w:line="480" w:lineRule="auto" w:before="0" w:after="0"/>
        <w:ind w:left="720" w:hanging="720"/>
        <w:jc w:val="both"/>
      </w:pPr>
      <w:r>
        <w:rPr>
          <w:rFonts w:ascii="Times New Roman" w:hAnsi="Times New Roman"/>
          <w:color w:val="000000"/>
          <w:sz w:val="24"/>
        </w:rPr>
        <w:t>Manogna, R. L., &amp; Kulkarni, N. (2025). Portfolio Optimization Model for Stock Price Prediction Using Machine Learning. Journal of Statistical Theory and Applications, 24(1).</w:t>
      </w:r>
    </w:p>
    <w:p>
      <w:pPr>
        <w:spacing w:line="480" w:lineRule="auto" w:before="0" w:after="0"/>
        <w:ind w:left="720" w:hanging="720"/>
        <w:jc w:val="both"/>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both"/>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both"/>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both"/>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both"/>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both"/>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both"/>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both"/>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both"/>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both"/>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both"/>
      </w:pPr>
      <w:r>
        <w:rPr>
          <w:rFonts w:ascii="Times New Roman" w:hAnsi="Times New Roman"/>
          <w:color w:val="000000"/>
          <w:sz w:val="24"/>
        </w:rPr>
        <w:t>Okafor, C., &amp; Robertson, A. (2022). Maximizing returns: Portfolio optimization in the Nigerian Stock Exchange. International Journal of Advances in Applied Mathematics and Computer Science, 10(2), 1–9.</w:t>
      </w:r>
    </w:p>
    <w:p>
      <w:pPr>
        <w:spacing w:line="480" w:lineRule="auto" w:before="0" w:after="0"/>
        <w:ind w:left="720" w:hanging="720"/>
        <w:jc w:val="both"/>
      </w:pPr>
      <w:r>
        <w:rPr>
          <w:rFonts w:ascii="Times New Roman" w:hAnsi="Times New Roman"/>
          <w:color w:val="000000"/>
          <w:sz w:val="24"/>
        </w:rPr>
        <w:t>Quimbayo, C. Z., &amp; León, B. (2025). Downside Risk Measures and ESG Factors in Optimal Portfolio Construction: Evidence from European Equity Markets. Economics - Innovative and Economics Research Journal, 13(2), 5–17. https://doi.org/10.2478/eoik-2025-0082</w:t>
      </w:r>
    </w:p>
    <w:p>
      <w:pPr>
        <w:spacing w:line="480" w:lineRule="auto" w:before="0" w:after="0"/>
        <w:ind w:left="720" w:hanging="720"/>
        <w:jc w:val="both"/>
      </w:pPr>
      <w:r>
        <w:rPr>
          <w:rFonts w:ascii="Times New Roman" w:hAnsi="Times New Roman"/>
          <w:color w:val="000000"/>
          <w:sz w:val="24"/>
        </w:rPr>
        <w:t>Rigamonti, A., &amp; Lučivjanská, K. (2021). Mean-semivariance portfolio optimization using minimum average partial. SSRN Electronic Journal, Article 3542727. https://doi.org/10.2139/ssrn.3542727</w:t>
      </w:r>
    </w:p>
    <w:p>
      <w:pPr>
        <w:spacing w:line="480" w:lineRule="auto" w:before="0" w:after="0"/>
        <w:ind w:left="720" w:hanging="720"/>
        <w:jc w:val="both"/>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both"/>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both"/>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both"/>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both"/>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both"/>
      </w:pPr>
      <w:r>
        <w:rPr>
          <w:rFonts w:ascii="Times New Roman" w:hAnsi="Times New Roman"/>
          <w:color w:val="000000"/>
          <w:sz w:val="24"/>
        </w:rPr>
        <w:t>San, J. (2025). Stock Forecasting and Portfolio Optimization Based on ARIMA-GARCH, Random Forest and Monte Carlo Models. Advances in Economics, Business and Management Research, 333, 580–588.</w:t>
      </w:r>
    </w:p>
    <w:p>
      <w:pPr>
        <w:spacing w:line="480" w:lineRule="auto" w:before="0" w:after="0"/>
        <w:ind w:left="720" w:hanging="720"/>
        <w:jc w:val="both"/>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both"/>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both"/>
      </w:pPr>
      <w:r>
        <w:rPr>
          <w:rFonts w:ascii="Times New Roman" w:hAnsi="Times New Roman"/>
          <w:color w:val="000000"/>
          <w:sz w:val="24"/>
        </w:rPr>
        <w:t>Ślusarczyk, D., &amp; Ślepaczuk, R. (2025). Algorithmic investment strategies on the Dow Jones Industrial Average. Journal of Big Data, 12, Article 127. https://doi.org/10.1186/s40537-025-01164-z</w:t>
      </w:r>
    </w:p>
    <w:p>
      <w:pPr>
        <w:spacing w:line="480" w:lineRule="auto" w:before="0" w:after="0"/>
        <w:ind w:left="720" w:hanging="720"/>
        <w:jc w:val="both"/>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both"/>
      </w:pPr>
      <w:r>
        <w:rPr>
          <w:rFonts w:ascii="Times New Roman" w:hAnsi="Times New Roman"/>
          <w:color w:val="000000"/>
          <w:sz w:val="24"/>
        </w:rPr>
        <w:t>Uzoaga, G. A., Adenomon, M. O., Nweze, N. O., &amp; Maijama, B. (2025).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both"/>
      </w:pPr>
      <w:r>
        <w:rPr>
          <w:rFonts w:ascii="Times New Roman" w:hAnsi="Times New Roman"/>
          <w:color w:val="000000"/>
          <w:sz w:val="24"/>
        </w:rPr>
        <w:t>Uzoaga, G. A., Adenomon, M. O., Nweze, N. O., &amp; Maijamaa, B. (2025). Predictive machine learning methods for stock returns among emerging economies in Africa. Science World Journal, 20(3), 941–947. https://dx.doi.org/10.4314/swj.v20i3.3</w:t>
      </w:r>
    </w:p>
    <w:p>
      <w:pPr>
        <w:spacing w:line="480" w:lineRule="auto" w:before="0" w:after="0"/>
        <w:ind w:left="720" w:hanging="720"/>
        <w:jc w:val="both"/>
      </w:pPr>
      <w:r>
        <w:rPr>
          <w:rFonts w:ascii="Times New Roman" w:hAnsi="Times New Roman"/>
          <w:color w:val="000000"/>
          <w:sz w:val="24"/>
        </w:rPr>
        <w:t>Wahid, A. J., Riaman, &amp; Sukono. (2025). A Systematic Literature Review on Mean-CVaR Based Financial Asset Portfolio Weight Allocation Using K-Means Clustering. Journal of Applied Mathematics and Computing, 10(2), 1069–1091.</w:t>
      </w:r>
    </w:p>
    <w:p>
      <w:pPr>
        <w:spacing w:line="480" w:lineRule="auto" w:before="0" w:after="0"/>
        <w:ind w:left="720" w:hanging="720"/>
        <w:jc w:val="both"/>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both"/>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both"/>
      </w:pPr>
      <w:r>
        <w:rPr>
          <w:rFonts w:ascii="Times New Roman" w:hAnsi="Times New Roman"/>
          <w:color w:val="000000"/>
          <w:sz w:val="24"/>
        </w:rPr>
        <w:t>Yu, S. (2024). Advancing Stock Market Return Forecasting with LSTM Models and Financial Indicators. Proceedings of the International Conference on Economic Management and Green Development, Article 122. https://doi.org/10.54254/2754-1169/122/2024.17734</w:t>
      </w:r>
    </w:p>
    <w:p>
      <w:pPr>
        <w:spacing w:line="480" w:lineRule="auto" w:before="0" w:after="0"/>
        <w:ind w:left="720" w:hanging="720"/>
        <w:jc w:val="both"/>
      </w:pPr>
      <w:r>
        <w:rPr>
          <w:rFonts w:ascii="Times New Roman" w:hAnsi="Times New Roman"/>
          <w:color w:val="000000"/>
          <w:sz w:val="24"/>
        </w:rPr>
        <w:t>Zaimovic, A., Arnaut-Berilo, A., &amp; Bešlija, R. (2024). International Portfolio Diversification Benefits: An Empirical Investigation of the 28 European Stock Markets. School of Economics and Business Sarajevo Working Papers, Article 46.</w:t>
      </w:r>
    </w:p>
    <w:p>
      <w:pPr>
        <w:spacing w:line="480" w:lineRule="auto" w:before="0" w:after="0"/>
        <w:ind w:left="720" w:hanging="720"/>
        <w:jc w:val="both"/>
      </w:pPr>
      <w:r>
        <w:rPr>
          <w:rFonts w:ascii="Times New Roman" w:hAnsi="Times New Roman"/>
          <w:color w:val="000000"/>
          <w:sz w:val="24"/>
        </w:rPr>
        <w:t>Zhang, G. (2025). Using Machine Learning for Stock Return Prediction. Proceedings of ICEMGD 2025 Symposium, Article LH23915. https://doi.org/10.54254/2754-1169/2025.LH23915</w:t>
      </w:r>
    </w:p>
    <w:p>
      <w:pPr>
        <w:spacing w:line="480" w:lineRule="auto" w:before="0" w:after="0"/>
        <w:ind w:left="720" w:hanging="720"/>
        <w:jc w:val="both"/>
      </w:pPr>
      <w:r>
        <w:rPr>
          <w:rFonts w:ascii="Times New Roman" w:hAnsi="Times New Roman"/>
          <w:color w:val="000000"/>
          <w:sz w:val="24"/>
        </w:rPr>
        <w:t>Zhang, P., Yang, Y., Li, J., &amp; Zeng, Y. (2023). A Two-stage Mean-CVaR Investment Strategy Based on LSTM. Journal of South China Normal University (Natural Science Edition), 55(5), 93–102.</w:t>
      </w:r>
    </w:p>
    <w:p>
      <w:pPr>
        <w:spacing w:line="480" w:lineRule="auto" w:before="0" w:after="0"/>
        <w:ind w:left="720" w:hanging="720"/>
        <w:jc w:val="both"/>
      </w:pPr>
      <w:r>
        <w:rPr>
          <w:rFonts w:ascii="Times New Roman" w:hAnsi="Times New Roman"/>
          <w:color w:val="000000"/>
          <w:sz w:val="24"/>
        </w:rPr>
        <w:t>Zhang, Y. (2024). Integrating Forecasting and Mean-Variance Portfolio Optimization: A Machine Learning Approach. Proceedings of the 3rd International Conference on Financial Technology and Business Analysis, Article 2002.</w:t>
      </w:r>
    </w:p>
    <w:p>
      <w:pPr>
        <w:spacing w:line="480" w:lineRule="auto" w:before="0" w:after="0"/>
        <w:ind w:left="720" w:hanging="720"/>
        <w:jc w:val="both"/>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3"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4"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5"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6"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7"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5"/>
  </w:num>
  <w:num w:numId="5">
    <w:abstractNumId w:val="9"/>
  </w:num>
  <w:num w:numId="6">
    <w:abstractNumId w:val="2"/>
  </w:num>
  <w:num w:numId="7">
    <w:abstractNumId w:val="7"/>
  </w:num>
  <w:num w:numId="8">
    <w:abstractNumId w:val="3"/>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378FF"/>
    <w:rsid w:val="000E4814"/>
    <w:rsid w:val="001B7634"/>
    <w:rsid w:val="0031267F"/>
    <w:rsid w:val="003D2D73"/>
    <w:rsid w:val="003E2BE2"/>
    <w:rsid w:val="00457F35"/>
    <w:rsid w:val="00600686"/>
    <w:rsid w:val="006078B3"/>
    <w:rsid w:val="00666273"/>
    <w:rsid w:val="007C0050"/>
    <w:rsid w:val="007F4BD9"/>
    <w:rsid w:val="0086058D"/>
    <w:rsid w:val="00941828"/>
    <w:rsid w:val="009586D3"/>
    <w:rsid w:val="00A434F0"/>
    <w:rsid w:val="00A551E6"/>
    <w:rsid w:val="00AF16BF"/>
    <w:rsid w:val="00B61C71"/>
    <w:rsid w:val="00C12331"/>
    <w:rsid w:val="00CF16D4"/>
    <w:rsid w:val="00DA388B"/>
    <w:rsid w:val="00E06520"/>
    <w:rsid w:val="00E43EF7"/>
    <w:rsid w:val="00E87707"/>
    <w:rsid w:val="00F2530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41BC8"/>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1088</TotalTime>
  <Pages>53</Pages>
  <Words>12747</Words>
  <Characters>72659</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24</cp:revision>
  <dcterms:created xsi:type="dcterms:W3CDTF">2026-04-26T17:15:00Z</dcterms:created>
  <dcterms:modified xsi:type="dcterms:W3CDTF">2026-09-03T16:41:00Z</dcterms:modified>
</cp:coreProperties>
</file>