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SANNI ABDUL</w:t>
      </w:r>
      <w:r w:rsidR="3CB00BA7" w:rsidRPr="00244161">
        <w:rPr>
          <w:rFonts w:eastAsia="Times New Roman"/>
          <w:b/>
          <w:bCs/>
          <w:color w:val="000000" w:themeColor="text1"/>
          <w:sz w:val="28"/>
          <w:szCs w:val="28"/>
        </w:rPr>
        <w:t>-</w:t>
      </w:r>
      <w:r w:rsidRPr="00244161">
        <w:rPr>
          <w:rFonts w:eastAsia="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b/>
          <w:bCs/>
          <w:color w:val="000000" w:themeColor="text1"/>
          <w:sz w:val="28"/>
          <w:szCs w:val="28"/>
        </w:rPr>
        <w:t>OSUN</w:t>
      </w:r>
      <w:proofErr w:type="gramEnd"/>
      <w:r w:rsidRPr="00244161">
        <w:rPr>
          <w:rFonts w:eastAsia="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jc w:val="both"/>
        <w:rPr>
          <w:rFonts w:eastAsia="Times New Roman"/>
          <w:bCs/>
          <w:color w:val="000000" w:themeColor="text1"/>
        </w:rPr>
      </w:pPr>
      <w:r w:rsidRPr="00244161">
        <w:rPr>
          <w:rFonts w:eastAsia="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bCs/>
          <w:color w:val="000000" w:themeColor="text1"/>
        </w:rPr>
        <w:t>achelor of Science (</w:t>
      </w:r>
      <w:proofErr w:type="spellStart"/>
      <w:r w:rsidR="00D21EAF" w:rsidRPr="00244161">
        <w:rPr>
          <w:rFonts w:eastAsia="Times New Roman"/>
          <w:bCs/>
          <w:color w:val="000000" w:themeColor="text1"/>
        </w:rPr>
        <w:t>B.Sc</w:t>
      </w:r>
      <w:proofErr w:type="spellEnd"/>
      <w:r w:rsidR="00D21EAF" w:rsidRPr="00244161">
        <w:rPr>
          <w:rFonts w:eastAsia="Times New Roman"/>
          <w:bCs/>
          <w:color w:val="000000" w:themeColor="text1"/>
        </w:rPr>
        <w:t xml:space="preserve">) Department of Economics, Obafemi </w:t>
      </w:r>
      <w:proofErr w:type="spellStart"/>
      <w:r w:rsidR="00D21EAF" w:rsidRPr="00244161">
        <w:rPr>
          <w:rFonts w:eastAsia="Times New Roman"/>
          <w:bCs/>
          <w:color w:val="000000" w:themeColor="text1"/>
        </w:rPr>
        <w:t>Awolowo</w:t>
      </w:r>
      <w:proofErr w:type="spellEnd"/>
      <w:r w:rsidR="00D21EAF" w:rsidRPr="00244161">
        <w:rPr>
          <w:rFonts w:eastAsia="Times New Roman"/>
          <w:bCs/>
          <w:color w:val="000000" w:themeColor="text1"/>
        </w:rPr>
        <w:t xml:space="preserve"> University, </w:t>
      </w:r>
      <w:proofErr w:type="gramStart"/>
      <w:r w:rsidR="00D21EAF" w:rsidRPr="00244161">
        <w:rPr>
          <w:rFonts w:eastAsia="Times New Roman"/>
          <w:bCs/>
          <w:color w:val="000000" w:themeColor="text1"/>
        </w:rPr>
        <w:t>Ile</w:t>
      </w:r>
      <w:proofErr w:type="gramEnd"/>
      <w:r w:rsidR="00D21EAF" w:rsidRPr="00244161">
        <w:rPr>
          <w:rFonts w:eastAsia="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jc w:val="both"/>
        <w:rPr>
          <w:rFonts w:eastAsia="Times New Roman"/>
          <w:bCs/>
          <w:color w:val="000000" w:themeColor="text1"/>
        </w:rPr>
      </w:pPr>
      <w:r w:rsidRPr="00244161">
        <w:rPr>
          <w:rFonts w:eastAsia="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Yetunde</w:t>
      </w:r>
      <w:proofErr w:type="spellEnd"/>
      <w:r w:rsidRPr="00244161">
        <w:rPr>
          <w:rFonts w:eastAsia="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bCs/>
          <w:color w:val="000000" w:themeColor="text1"/>
        </w:rPr>
        <w:t>programme</w:t>
      </w:r>
      <w:proofErr w:type="spellEnd"/>
      <w:r w:rsidRPr="00244161">
        <w:rPr>
          <w:rFonts w:eastAsia="Times New Roman"/>
          <w:bCs/>
          <w:color w:val="000000" w:themeColor="text1"/>
        </w:rPr>
        <w:t xml:space="preserve"> in Obafemi </w:t>
      </w:r>
      <w:proofErr w:type="spellStart"/>
      <w:r w:rsidRPr="00244161">
        <w:rPr>
          <w:rFonts w:eastAsia="Times New Roman"/>
          <w:bCs/>
          <w:color w:val="000000" w:themeColor="text1"/>
        </w:rPr>
        <w:t>Awolowo</w:t>
      </w:r>
      <w:proofErr w:type="spellEnd"/>
      <w:r w:rsidRPr="00244161">
        <w:rPr>
          <w:rFonts w:eastAsia="Times New Roman"/>
          <w:bCs/>
          <w:color w:val="000000" w:themeColor="text1"/>
        </w:rPr>
        <w:t xml:space="preserve"> University, Ile-Ife.</w:t>
      </w:r>
      <w:r w:rsidR="00010979" w:rsidRPr="00244161">
        <w:rPr>
          <w:rFonts w:eastAsia="Times New Roman"/>
          <w:bCs/>
          <w:color w:val="000000" w:themeColor="text1"/>
        </w:rPr>
        <w:t xml:space="preserve"> </w:t>
      </w:r>
      <w:r w:rsidRPr="00244161">
        <w:rPr>
          <w:rFonts w:eastAsia="Times New Roman"/>
          <w:bCs/>
          <w:color w:val="000000" w:themeColor="text1"/>
        </w:rPr>
        <w:t xml:space="preserve">My sincere appreciation goes to my supervisor, Prof. O.R </w:t>
      </w:r>
      <w:proofErr w:type="spellStart"/>
      <w:r w:rsidRPr="00244161">
        <w:rPr>
          <w:rFonts w:eastAsia="Times New Roman"/>
          <w:bCs/>
          <w:color w:val="000000" w:themeColor="text1"/>
        </w:rPr>
        <w:t>Olayeni</w:t>
      </w:r>
      <w:proofErr w:type="spellEnd"/>
      <w:r w:rsidRPr="00244161">
        <w:rPr>
          <w:rFonts w:eastAsia="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bCs/>
          <w:color w:val="000000" w:themeColor="text1"/>
        </w:rPr>
        <w:t xml:space="preserve">lly guide and elevate you, sir. </w:t>
      </w:r>
      <w:r w:rsidRPr="00244161">
        <w:rPr>
          <w:rFonts w:eastAsia="Times New Roman"/>
          <w:bCs/>
          <w:color w:val="000000" w:themeColor="text1"/>
        </w:rPr>
        <w:t xml:space="preserve">I am also deeply thankful to Prof. D.O </w:t>
      </w:r>
      <w:proofErr w:type="spellStart"/>
      <w:r w:rsidRPr="00244161">
        <w:rPr>
          <w:rFonts w:eastAsia="Times New Roman"/>
          <w:bCs/>
          <w:color w:val="000000" w:themeColor="text1"/>
        </w:rPr>
        <w:t>Olayungbo</w:t>
      </w:r>
      <w:proofErr w:type="spellEnd"/>
      <w:r w:rsidRPr="00244161">
        <w:rPr>
          <w:rFonts w:eastAsia="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rPr>
          <w:rFonts w:eastAsia="Times New Roman"/>
          <w:bCs/>
          <w:color w:val="000000" w:themeColor="text1"/>
        </w:rPr>
      </w:pPr>
      <w:r w:rsidRPr="00244161">
        <w:rPr>
          <w:rFonts w:eastAsia="Times New Roman"/>
          <w:bCs/>
          <w:color w:val="000000" w:themeColor="text1"/>
        </w:rPr>
        <w:t xml:space="preserve">Special thanks go to my mum, </w:t>
      </w:r>
      <w:proofErr w:type="spellStart"/>
      <w:r w:rsidRPr="00244161">
        <w:rPr>
          <w:rFonts w:eastAsia="Times New Roman"/>
          <w:bCs/>
          <w:color w:val="000000" w:themeColor="text1"/>
        </w:rPr>
        <w:t>Mrs</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Sanni</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Musilimot</w:t>
      </w:r>
      <w:proofErr w:type="spellEnd"/>
      <w:r w:rsidRPr="00244161">
        <w:rPr>
          <w:rFonts w:eastAsia="Times New Roman"/>
          <w:bCs/>
          <w:color w:val="000000" w:themeColor="text1"/>
        </w:rPr>
        <w:t xml:space="preserve"> </w:t>
      </w:r>
      <w:proofErr w:type="spellStart"/>
      <w:r w:rsidRPr="00244161">
        <w:rPr>
          <w:rFonts w:eastAsia="Times New Roman"/>
          <w:bCs/>
          <w:color w:val="000000" w:themeColor="text1"/>
        </w:rPr>
        <w:t>Ye</w:t>
      </w:r>
      <w:r w:rsidR="000B583E" w:rsidRPr="00244161">
        <w:rPr>
          <w:rFonts w:eastAsia="Times New Roman"/>
          <w:bCs/>
          <w:color w:val="000000" w:themeColor="text1"/>
        </w:rPr>
        <w:t>tunde</w:t>
      </w:r>
      <w:proofErr w:type="spellEnd"/>
      <w:r w:rsidR="000B583E" w:rsidRPr="00244161">
        <w:rPr>
          <w:rFonts w:eastAsia="Times New Roman"/>
          <w:bCs/>
          <w:color w:val="000000" w:themeColor="text1"/>
        </w:rPr>
        <w:t xml:space="preserve"> and my sister, Miss </w:t>
      </w:r>
      <w:proofErr w:type="spellStart"/>
      <w:r w:rsidR="000B583E" w:rsidRPr="00244161">
        <w:rPr>
          <w:rFonts w:eastAsia="Times New Roman"/>
          <w:bCs/>
          <w:color w:val="000000" w:themeColor="text1"/>
        </w:rPr>
        <w:t>Sanni</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Nofisat</w:t>
      </w:r>
      <w:proofErr w:type="spellEnd"/>
      <w:r w:rsidR="000B583E" w:rsidRPr="00244161">
        <w:rPr>
          <w:rFonts w:eastAsia="Times New Roman"/>
          <w:bCs/>
          <w:color w:val="000000" w:themeColor="text1"/>
        </w:rPr>
        <w:t xml:space="preserve"> </w:t>
      </w:r>
      <w:proofErr w:type="spellStart"/>
      <w:r w:rsidR="000B583E" w:rsidRPr="00244161">
        <w:rPr>
          <w:rFonts w:eastAsia="Times New Roman"/>
          <w:bCs/>
          <w:color w:val="000000" w:themeColor="text1"/>
        </w:rPr>
        <w:t>Opeyemi</w:t>
      </w:r>
      <w:proofErr w:type="spellEnd"/>
      <w:r w:rsidR="000B583E" w:rsidRPr="00244161">
        <w:rPr>
          <w:rFonts w:eastAsia="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My appreciation also goes out to </w:t>
      </w:r>
      <w:proofErr w:type="spellStart"/>
      <w:r w:rsidR="004B354E" w:rsidRPr="00244161">
        <w:rPr>
          <w:rFonts w:eastAsia="Times New Roman"/>
          <w:bCs/>
          <w:color w:val="000000" w:themeColor="text1"/>
        </w:rPr>
        <w:t>Mr</w:t>
      </w:r>
      <w:proofErr w:type="spellEnd"/>
      <w:r w:rsidR="004B354E" w:rsidRPr="00244161">
        <w:rPr>
          <w:rFonts w:eastAsia="Times New Roman"/>
          <w:bCs/>
          <w:color w:val="000000" w:themeColor="text1"/>
        </w:rPr>
        <w:t xml:space="preserve"> Samuel for his work which acted as a guidance and standard for how a good undergraduate thesis should be.</w:t>
      </w:r>
      <w:r w:rsidR="00010979" w:rsidRPr="00244161">
        <w:rPr>
          <w:rFonts w:eastAsia="Times New Roman"/>
          <w:bCs/>
          <w:color w:val="000000" w:themeColor="text1"/>
        </w:rPr>
        <w:t xml:space="preserve"> </w:t>
      </w:r>
      <w:r w:rsidR="004B354E" w:rsidRPr="00244161">
        <w:rPr>
          <w:rFonts w:eastAsia="Times New Roman"/>
          <w:bCs/>
          <w:color w:val="000000" w:themeColor="text1"/>
        </w:rPr>
        <w:t xml:space="preserve">To my wonderful friends, </w:t>
      </w:r>
      <w:proofErr w:type="spellStart"/>
      <w:r w:rsidR="004B354E" w:rsidRPr="00244161">
        <w:rPr>
          <w:rFonts w:eastAsia="Times New Roman"/>
          <w:bCs/>
          <w:color w:val="000000" w:themeColor="text1"/>
        </w:rPr>
        <w:t>Iyowun</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Aishat</w:t>
      </w:r>
      <w:proofErr w:type="spellEnd"/>
      <w:r w:rsidR="00F100DD" w:rsidRPr="00244161">
        <w:rPr>
          <w:rFonts w:eastAsia="Times New Roman"/>
          <w:bCs/>
          <w:color w:val="000000" w:themeColor="text1"/>
        </w:rPr>
        <w:t xml:space="preserve"> </w:t>
      </w:r>
      <w:proofErr w:type="spellStart"/>
      <w:r w:rsidR="00F100DD" w:rsidRPr="00244161">
        <w:rPr>
          <w:rFonts w:eastAsia="Times New Roman"/>
          <w:bCs/>
          <w:color w:val="000000" w:themeColor="text1"/>
        </w:rPr>
        <w:t>Iteoluwakiisi</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Ojuade</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Saidat</w:t>
      </w:r>
      <w:proofErr w:type="spellEnd"/>
      <w:r w:rsidR="004B354E" w:rsidRPr="00244161">
        <w:rPr>
          <w:rFonts w:eastAsia="Times New Roman"/>
          <w:bCs/>
          <w:color w:val="000000" w:themeColor="text1"/>
        </w:rPr>
        <w:t xml:space="preserve"> </w:t>
      </w:r>
      <w:proofErr w:type="spellStart"/>
      <w:r w:rsidR="004B354E" w:rsidRPr="00244161">
        <w:rPr>
          <w:rFonts w:eastAsia="Times New Roman"/>
          <w:bCs/>
          <w:color w:val="000000" w:themeColor="text1"/>
        </w:rPr>
        <w:t>Oluwabukunmi</w:t>
      </w:r>
      <w:proofErr w:type="spellEnd"/>
      <w:r w:rsidR="004B354E" w:rsidRPr="00244161">
        <w:rPr>
          <w:rFonts w:eastAsia="Times New Roman"/>
          <w:bCs/>
          <w:color w:val="000000" w:themeColor="text1"/>
        </w:rPr>
        <w:t>,</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Olaseyinde</w:t>
      </w:r>
      <w:proofErr w:type="spellEnd"/>
      <w:r w:rsidR="006A73D9" w:rsidRPr="00244161">
        <w:rPr>
          <w:rFonts w:eastAsia="Times New Roman"/>
          <w:bCs/>
          <w:color w:val="000000" w:themeColor="text1"/>
        </w:rPr>
        <w:t xml:space="preserve"> John</w:t>
      </w:r>
      <w:r w:rsidR="004B354E" w:rsidRPr="00244161">
        <w:rPr>
          <w:rFonts w:eastAsia="Times New Roman"/>
          <w:bCs/>
          <w:color w:val="000000" w:themeColor="text1"/>
        </w:rPr>
        <w:t xml:space="preserve">, </w:t>
      </w:r>
      <w:r w:rsidR="00335CD6" w:rsidRPr="00244161">
        <w:rPr>
          <w:rFonts w:eastAsia="Times New Roman"/>
          <w:bCs/>
          <w:color w:val="000000" w:themeColor="text1"/>
        </w:rPr>
        <w:t>Possible,</w:t>
      </w:r>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Oluwagbemileke</w:t>
      </w:r>
      <w:proofErr w:type="spellEnd"/>
      <w:r w:rsidR="006A73D9" w:rsidRPr="00244161">
        <w:rPr>
          <w:rFonts w:eastAsia="Times New Roman"/>
          <w:bCs/>
          <w:color w:val="000000" w:themeColor="text1"/>
        </w:rPr>
        <w:t xml:space="preserve">, </w:t>
      </w:r>
      <w:proofErr w:type="spellStart"/>
      <w:r w:rsidR="006A73D9" w:rsidRPr="00244161">
        <w:rPr>
          <w:rFonts w:eastAsia="Times New Roman"/>
          <w:bCs/>
          <w:color w:val="000000" w:themeColor="text1"/>
        </w:rPr>
        <w:t>Oluwadara</w:t>
      </w:r>
      <w:proofErr w:type="spellEnd"/>
      <w:r w:rsidR="000D2BF6">
        <w:rPr>
          <w:rFonts w:eastAsia="Times New Roman"/>
          <w:bCs/>
          <w:color w:val="000000" w:themeColor="text1"/>
        </w:rPr>
        <w:t>,</w:t>
      </w:r>
      <w:r w:rsidR="00335CD6" w:rsidRPr="00244161">
        <w:rPr>
          <w:rFonts w:eastAsia="Times New Roman"/>
          <w:bCs/>
          <w:color w:val="000000" w:themeColor="text1"/>
        </w:rPr>
        <w:t xml:space="preserve"> </w:t>
      </w:r>
      <w:proofErr w:type="spellStart"/>
      <w:r w:rsidR="00335CD6" w:rsidRPr="00244161">
        <w:rPr>
          <w:rFonts w:eastAsia="Times New Roman"/>
          <w:bCs/>
          <w:color w:val="000000" w:themeColor="text1"/>
        </w:rPr>
        <w:t>Taiwo</w:t>
      </w:r>
      <w:proofErr w:type="spellEnd"/>
      <w:r w:rsidR="00335CD6" w:rsidRPr="00244161">
        <w:rPr>
          <w:rFonts w:eastAsia="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ind w:firstLine="720"/>
        <w:jc w:val="both"/>
        <w:rPr>
          <w:rFonts w:eastAsia="Times New Roman"/>
          <w:color w:val="000000" w:themeColor="text1"/>
        </w:rPr>
      </w:pPr>
      <w:r>
        <w:t xml:space="preserve">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w:t>
      </w:r>
      <w:r>
        <w:t>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244161" w:rsidRDefault="006163AF" w:rsidP="000A6C98">
      <w:pPr>
        <w:spacing w:after="0" w:line="480" w:lineRule="auto"/>
        <w:jc w:val="both"/>
        <w:rPr>
          <w:rFonts w:eastAsia="Times New Roman"/>
          <w:color w:val="000000" w:themeColor="text1"/>
        </w:rPr>
      </w:pPr>
      <w:r w:rsidRPr="00244161">
        <w:rPr>
          <w:rFonts w:eastAsia="Times New Roman"/>
          <w:b/>
          <w:color w:val="000000" w:themeColor="text1"/>
        </w:rPr>
        <w:t xml:space="preserve">Keywords: </w:t>
      </w:r>
      <w:r w:rsidRPr="00244161">
        <w:rPr>
          <w:rFonts w:eastAsia="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after="40" w:line="276" w:lineRule="auto"/>
        <w:rPr>
          <w:rFonts w:eastAsia="Times New Roman"/>
          <w:b/>
        </w:rPr>
      </w:pPr>
      <w:r>
        <w:rPr>
          <w:b/>
        </w:rPr>
        <w:t>CHAPTER ONE: INTRODUCTION</w:t>
      </w:r>
      <w:r>
        <w:rPr>
          <w:b/>
        </w:rPr>
        <w:tab/>
        <w:t>1</w:t>
      </w:r>
    </w:p>
    <w:p w:rsidR="005F2A74" w:rsidRPr="00244161" w:rsidRDefault="00E20654">
      <w:pPr>
        <w:tabs>
          <w:tab w:val="right" w:leader="dot" w:pos="9360"/>
        </w:tabs>
        <w:spacing w:after="40" w:line="276" w:lineRule="auto"/>
        <w:ind w:left="280"/>
        <w:rPr>
          <w:rFonts w:eastAsia="Times New Roman"/>
        </w:rPr>
      </w:pPr>
      <w:r>
        <w:t>1.1 Background to the Study</w:t>
      </w:r>
      <w:r>
        <w:tab/>
        <w:t>1</w:t>
      </w:r>
    </w:p>
    <w:p w:rsidR="005F2A74" w:rsidRPr="00244161" w:rsidRDefault="00E20654">
      <w:pPr>
        <w:tabs>
          <w:tab w:val="right" w:leader="dot" w:pos="9360"/>
        </w:tabs>
        <w:spacing w:after="40" w:line="276" w:lineRule="auto"/>
        <w:ind w:left="280"/>
        <w:rPr>
          <w:rFonts w:eastAsia="Times New Roman"/>
        </w:rPr>
      </w:pPr>
      <w:r>
        <w:t>1.2 Statement of the Research Problem</w:t>
      </w:r>
      <w:r>
        <w:tab/>
        <w:t>7</w:t>
      </w:r>
    </w:p>
    <w:p w:rsidR="005F2A74" w:rsidRPr="00244161" w:rsidRDefault="00E20654">
      <w:pPr>
        <w:tabs>
          <w:tab w:val="right" w:leader="dot" w:pos="9360"/>
        </w:tabs>
        <w:spacing w:after="40" w:line="276" w:lineRule="auto"/>
        <w:ind w:left="280"/>
        <w:rPr>
          <w:rFonts w:eastAsia="Times New Roman"/>
        </w:rPr>
      </w:pPr>
      <w:r>
        <w:t>1.3 Research Questions</w:t>
      </w:r>
      <w:r>
        <w:tab/>
        <w:t>10</w:t>
      </w:r>
    </w:p>
    <w:p w:rsidR="005F2A74" w:rsidRPr="00244161" w:rsidRDefault="00E20654">
      <w:pPr>
        <w:tabs>
          <w:tab w:val="right" w:leader="dot" w:pos="9360"/>
        </w:tabs>
        <w:spacing w:after="40" w:line="276" w:lineRule="auto"/>
        <w:ind w:left="280"/>
        <w:rPr>
          <w:rFonts w:eastAsia="Times New Roman"/>
        </w:rPr>
      </w:pPr>
      <w:r>
        <w:t>1.4 Objectives of the Study</w:t>
      </w:r>
      <w:r>
        <w:tab/>
        <w:t>11</w:t>
      </w:r>
    </w:p>
    <w:p w:rsidR="005F2A74" w:rsidRPr="00244161" w:rsidRDefault="00E20654">
      <w:pPr>
        <w:tabs>
          <w:tab w:val="right" w:leader="dot" w:pos="9360"/>
        </w:tabs>
        <w:spacing w:after="40" w:line="276" w:lineRule="auto"/>
        <w:ind w:left="280"/>
        <w:rPr>
          <w:rFonts w:eastAsia="Times New Roman"/>
        </w:rPr>
      </w:pPr>
      <w:r>
        <w:t>1.5 Justification of the Study</w:t>
      </w:r>
      <w:r>
        <w:tab/>
        <w:t>11</w:t>
      </w:r>
    </w:p>
    <w:p w:rsidR="005F2A74" w:rsidRPr="00244161" w:rsidRDefault="00E20654">
      <w:pPr>
        <w:tabs>
          <w:tab w:val="right" w:leader="dot" w:pos="9360"/>
        </w:tabs>
        <w:spacing w:after="40" w:line="276" w:lineRule="auto"/>
        <w:ind w:left="280"/>
        <w:rPr>
          <w:rFonts w:eastAsia="Times New Roman"/>
        </w:rPr>
      </w:pPr>
      <w:r>
        <w:t>1.6 Scope of the Study</w:t>
      </w:r>
      <w:r>
        <w:tab/>
        <w:t>14</w:t>
      </w:r>
    </w:p>
    <w:p w:rsidR="005F2A74" w:rsidRPr="00244161" w:rsidRDefault="00E20654">
      <w:pPr>
        <w:tabs>
          <w:tab w:val="right" w:leader="dot" w:pos="9360"/>
        </w:tabs>
        <w:spacing w:after="40" w:line="276" w:lineRule="auto"/>
        <w:rPr>
          <w:rFonts w:eastAsia="Times New Roman"/>
          <w:b/>
        </w:rPr>
      </w:pPr>
      <w:r>
        <w:rPr>
          <w:b/>
        </w:rPr>
        <w:t>CHAPTER TWO: LITERATURE REVIEW</w:t>
      </w:r>
      <w:r>
        <w:rPr>
          <w:b/>
        </w:rPr>
        <w:tab/>
        <w:t>15</w:t>
      </w:r>
    </w:p>
    <w:p w:rsidR="005F2A74" w:rsidRPr="00244161" w:rsidRDefault="00E20654">
      <w:pPr>
        <w:tabs>
          <w:tab w:val="right" w:leader="dot" w:pos="9360"/>
        </w:tabs>
        <w:spacing w:after="40" w:line="276" w:lineRule="auto"/>
        <w:ind w:left="280"/>
        <w:rPr>
          <w:rFonts w:eastAsia="Times New Roman"/>
        </w:rPr>
      </w:pPr>
      <w:r>
        <w:t>2.1 Conceptual Framework</w:t>
      </w:r>
      <w:r>
        <w:tab/>
        <w:t>15</w:t>
      </w:r>
    </w:p>
    <w:p w:rsidR="005F2A74" w:rsidRPr="00244161" w:rsidRDefault="00E20654">
      <w:pPr>
        <w:tabs>
          <w:tab w:val="right" w:leader="dot" w:pos="9360"/>
        </w:tabs>
        <w:spacing w:after="40" w:line="276" w:lineRule="auto"/>
        <w:ind w:left="500"/>
        <w:rPr>
          <w:rFonts w:eastAsia="Times New Roman"/>
        </w:rPr>
      </w:pPr>
      <w:r>
        <w:t>2.1.1 Portfolio Optimization</w:t>
      </w:r>
      <w:r>
        <w:tab/>
        <w:t>15</w:t>
      </w:r>
    </w:p>
    <w:p w:rsidR="005F2A74" w:rsidRPr="00244161" w:rsidRDefault="00E20654">
      <w:pPr>
        <w:tabs>
          <w:tab w:val="right" w:leader="dot" w:pos="9360"/>
        </w:tabs>
        <w:spacing w:after="40" w:line="276" w:lineRule="auto"/>
        <w:ind w:left="500"/>
        <w:rPr>
          <w:rFonts w:eastAsia="Times New Roman"/>
        </w:rPr>
      </w:pPr>
      <w:r>
        <w:t>2.1.2 Tail-Risk-Aware Portfolio Optimization</w:t>
      </w:r>
      <w:r>
        <w:tab/>
        <w:t>16</w:t>
      </w:r>
    </w:p>
    <w:p w:rsidR="005F2A74" w:rsidRPr="00244161" w:rsidRDefault="00E20654">
      <w:pPr>
        <w:tabs>
          <w:tab w:val="right" w:leader="dot" w:pos="9360"/>
        </w:tabs>
        <w:spacing w:after="40" w:line="276" w:lineRule="auto"/>
        <w:ind w:left="500"/>
        <w:rPr>
          <w:rFonts w:eastAsia="Times New Roman"/>
        </w:rPr>
      </w:pPr>
      <w:r>
        <w:t>2.1.3 Equity Return Forecasting</w:t>
      </w:r>
      <w:r>
        <w:tab/>
        <w:t>18</w:t>
      </w:r>
    </w:p>
    <w:p w:rsidR="005F2A74" w:rsidRPr="00244161" w:rsidRDefault="00E20654">
      <w:pPr>
        <w:tabs>
          <w:tab w:val="right" w:leader="dot" w:pos="9360"/>
        </w:tabs>
        <w:spacing w:after="40" w:line="276" w:lineRule="auto"/>
        <w:ind w:left="500"/>
        <w:rPr>
          <w:rFonts w:eastAsia="Times New Roman"/>
        </w:rPr>
      </w:pPr>
      <w:r>
        <w:t>2.1.4 Machine Learning in Financial Forecasting</w:t>
      </w:r>
      <w:r>
        <w:tab/>
        <w:t>18</w:t>
      </w:r>
    </w:p>
    <w:p w:rsidR="005F2A74" w:rsidRPr="00244161" w:rsidRDefault="00E20654">
      <w:pPr>
        <w:tabs>
          <w:tab w:val="right" w:leader="dot" w:pos="9360"/>
        </w:tabs>
        <w:spacing w:after="40" w:line="276" w:lineRule="auto"/>
        <w:ind w:left="500"/>
        <w:rPr>
          <w:rFonts w:eastAsia="Times New Roman"/>
        </w:rPr>
      </w:pPr>
      <w:r>
        <w:t>2.1.5 Nigerian Exchange Group (NGX) Market Characteristics</w:t>
      </w:r>
      <w:r>
        <w:tab/>
        <w:t>19</w:t>
      </w:r>
    </w:p>
    <w:p w:rsidR="005F2A74" w:rsidRPr="00244161" w:rsidRDefault="00E20654">
      <w:pPr>
        <w:tabs>
          <w:tab w:val="right" w:leader="dot" w:pos="9360"/>
        </w:tabs>
        <w:spacing w:after="40" w:line="276" w:lineRule="auto"/>
        <w:ind w:left="280"/>
        <w:rPr>
          <w:rFonts w:eastAsia="Times New Roman"/>
        </w:rPr>
      </w:pPr>
      <w:r>
        <w:t>2.2 Theoretical Framework</w:t>
      </w:r>
      <w:r>
        <w:tab/>
        <w:t>21</w:t>
      </w:r>
    </w:p>
    <w:p w:rsidR="005F2A74" w:rsidRPr="00244161" w:rsidRDefault="00E20654">
      <w:pPr>
        <w:tabs>
          <w:tab w:val="right" w:leader="dot" w:pos="9360"/>
        </w:tabs>
        <w:spacing w:after="40" w:line="276" w:lineRule="auto"/>
        <w:ind w:left="500"/>
        <w:rPr>
          <w:rFonts w:eastAsia="Times New Roman"/>
        </w:rPr>
      </w:pPr>
      <w:r>
        <w:t>2.2.1 Modern Portfolio Theory (MPT)</w:t>
      </w:r>
      <w:r>
        <w:tab/>
        <w:t>22</w:t>
      </w:r>
    </w:p>
    <w:p w:rsidR="005F2A74" w:rsidRPr="00244161" w:rsidRDefault="00E20654">
      <w:pPr>
        <w:tabs>
          <w:tab w:val="right" w:leader="dot" w:pos="9360"/>
        </w:tabs>
        <w:spacing w:after="40" w:line="276" w:lineRule="auto"/>
        <w:ind w:left="500"/>
        <w:rPr>
          <w:rFonts w:eastAsia="Times New Roman"/>
        </w:rPr>
      </w:pPr>
      <w:r>
        <w:t>2.2.2 Post Modern Portfolio Theory (PMPT)</w:t>
      </w:r>
      <w:r>
        <w:tab/>
        <w:t>23</w:t>
      </w:r>
    </w:p>
    <w:p w:rsidR="005F2A74" w:rsidRPr="00244161" w:rsidRDefault="00E20654">
      <w:pPr>
        <w:tabs>
          <w:tab w:val="right" w:leader="dot" w:pos="9360"/>
        </w:tabs>
        <w:spacing w:after="40" w:line="276" w:lineRule="auto"/>
        <w:ind w:left="500"/>
        <w:rPr>
          <w:rFonts w:eastAsia="Times New Roman"/>
        </w:rPr>
      </w:pPr>
      <w:r>
        <w:t>2.2.3 Statistical Learning Theory</w:t>
      </w:r>
      <w:r>
        <w:tab/>
        <w:t>24</w:t>
      </w:r>
    </w:p>
    <w:p w:rsidR="005F2A74" w:rsidRPr="00244161" w:rsidRDefault="00E20654">
      <w:pPr>
        <w:tabs>
          <w:tab w:val="right" w:leader="dot" w:pos="9360"/>
        </w:tabs>
        <w:spacing w:after="40" w:line="276" w:lineRule="auto"/>
        <w:ind w:left="280"/>
        <w:rPr>
          <w:rFonts w:eastAsia="Times New Roman"/>
        </w:rPr>
      </w:pPr>
      <w:r>
        <w:t>2.3 Empirical Framework</w:t>
      </w:r>
      <w:r>
        <w:tab/>
        <w:t>27</w:t>
      </w:r>
    </w:p>
    <w:p w:rsidR="005F2A74" w:rsidRPr="00244161" w:rsidRDefault="00E20654">
      <w:pPr>
        <w:tabs>
          <w:tab w:val="right" w:leader="dot" w:pos="9360"/>
        </w:tabs>
        <w:spacing w:after="40" w:line="276" w:lineRule="auto"/>
        <w:ind w:left="500"/>
        <w:rPr>
          <w:rFonts w:eastAsia="Times New Roman"/>
        </w:rPr>
      </w:pPr>
      <w:r>
        <w:lastRenderedPageBreak/>
        <w:t>2.3.1 Mean-Variance Portfolio Optimization</w:t>
      </w:r>
      <w:r>
        <w:tab/>
        <w:t>27</w:t>
      </w:r>
    </w:p>
    <w:p w:rsidR="005F2A74" w:rsidRPr="00244161" w:rsidRDefault="00E20654">
      <w:pPr>
        <w:tabs>
          <w:tab w:val="right" w:leader="dot" w:pos="9360"/>
        </w:tabs>
        <w:spacing w:after="40" w:line="276" w:lineRule="auto"/>
        <w:ind w:left="500"/>
        <w:rPr>
          <w:rFonts w:eastAsia="Times New Roman"/>
        </w:rPr>
      </w:pPr>
      <w:r>
        <w:t>2.3.2 VaR and CVaR Based Portfolio Models</w:t>
      </w:r>
      <w:r>
        <w:tab/>
        <w:t>28</w:t>
      </w:r>
    </w:p>
    <w:p w:rsidR="005F2A74" w:rsidRPr="00244161" w:rsidRDefault="00E20654">
      <w:pPr>
        <w:tabs>
          <w:tab w:val="right" w:leader="dot" w:pos="9360"/>
        </w:tabs>
        <w:spacing w:after="40" w:line="276" w:lineRule="auto"/>
        <w:ind w:left="500"/>
        <w:rPr>
          <w:rFonts w:eastAsia="Times New Roman"/>
        </w:rPr>
      </w:pPr>
      <w:r>
        <w:t>2.3.3 Integrated Forecasting and Optimization Models</w:t>
      </w:r>
      <w:r>
        <w:tab/>
        <w:t>28</w:t>
      </w:r>
    </w:p>
    <w:p w:rsidR="005F2A74" w:rsidRPr="00244161" w:rsidRDefault="00E20654">
      <w:pPr>
        <w:tabs>
          <w:tab w:val="right" w:leader="dot" w:pos="9360"/>
        </w:tabs>
        <w:spacing w:after="40" w:line="276" w:lineRule="auto"/>
        <w:ind w:left="280"/>
        <w:rPr>
          <w:rFonts w:eastAsia="Times New Roman"/>
        </w:rPr>
      </w:pPr>
      <w:r>
        <w:t>2.4 Research Gap</w:t>
      </w:r>
      <w:r>
        <w:tab/>
        <w:t>31</w:t>
      </w:r>
    </w:p>
    <w:p w:rsidR="005F2A74" w:rsidRPr="00244161" w:rsidRDefault="00E20654">
      <w:pPr>
        <w:tabs>
          <w:tab w:val="right" w:leader="dot" w:pos="9360"/>
        </w:tabs>
        <w:spacing w:after="40" w:line="276" w:lineRule="auto"/>
        <w:ind w:left="280"/>
        <w:rPr>
          <w:rFonts w:eastAsia="Times New Roman"/>
        </w:rPr>
      </w:pPr>
      <w:r>
        <w:t>2.5 Summary of Gaps in Literature</w:t>
      </w:r>
      <w:r>
        <w:tab/>
        <w:t>32</w:t>
      </w:r>
    </w:p>
    <w:p w:rsidR="005F2A74" w:rsidRPr="00244161" w:rsidRDefault="00E20654">
      <w:pPr>
        <w:tabs>
          <w:tab w:val="right" w:leader="dot" w:pos="9360"/>
        </w:tabs>
        <w:spacing w:after="40" w:line="276" w:lineRule="auto"/>
        <w:rPr>
          <w:rFonts w:eastAsia="Times New Roman"/>
          <w:b/>
        </w:rPr>
      </w:pPr>
      <w:r>
        <w:rPr>
          <w:b/>
        </w:rPr>
        <w:t>CHAPTER THREE: RESEARCH METHODOLOGY</w:t>
      </w:r>
      <w:r>
        <w:rPr>
          <w:b/>
        </w:rPr>
        <w:tab/>
        <w:t>33</w:t>
      </w:r>
    </w:p>
    <w:p w:rsidR="005F2A74" w:rsidRPr="00244161" w:rsidRDefault="00E20654">
      <w:pPr>
        <w:tabs>
          <w:tab w:val="right" w:leader="dot" w:pos="9360"/>
        </w:tabs>
        <w:spacing w:after="40" w:line="276" w:lineRule="auto"/>
        <w:ind w:left="280"/>
        <w:rPr>
          <w:rFonts w:eastAsia="Times New Roman"/>
        </w:rPr>
      </w:pPr>
      <w:r>
        <w:t>3.1 Theoretical Framework</w:t>
      </w:r>
      <w:r>
        <w:tab/>
        <w:t>33</w:t>
      </w:r>
    </w:p>
    <w:p w:rsidR="005F2A74" w:rsidRPr="00244161" w:rsidRDefault="00E20654">
      <w:pPr>
        <w:tabs>
          <w:tab w:val="right" w:leader="dot" w:pos="9360"/>
        </w:tabs>
        <w:spacing w:after="40" w:line="276" w:lineRule="auto"/>
        <w:ind w:left="280"/>
        <w:rPr>
          <w:rFonts w:eastAsia="Times New Roman"/>
        </w:rPr>
      </w:pPr>
      <w:r>
        <w:t>3.2 Model Specification</w:t>
      </w:r>
      <w:r>
        <w:tab/>
        <w:t>35</w:t>
      </w:r>
    </w:p>
    <w:p w:rsidR="005F2A74" w:rsidRPr="00244161" w:rsidRDefault="00E20654">
      <w:pPr>
        <w:tabs>
          <w:tab w:val="right" w:leader="dot" w:pos="9360"/>
        </w:tabs>
        <w:spacing w:after="40" w:line="276" w:lineRule="auto"/>
        <w:ind w:left="500"/>
        <w:rPr>
          <w:rFonts w:eastAsia="Times New Roman"/>
        </w:rPr>
      </w:pPr>
      <w:r>
        <w:t>3.2.1 Predictive Machine Learning Models</w:t>
      </w:r>
      <w:r>
        <w:tab/>
        <w:t>35</w:t>
      </w:r>
    </w:p>
    <w:p w:rsidR="005F2A74" w:rsidRPr="00244161" w:rsidRDefault="00E20654">
      <w:pPr>
        <w:tabs>
          <w:tab w:val="right" w:leader="dot" w:pos="9360"/>
        </w:tabs>
        <w:spacing w:after="40" w:line="276" w:lineRule="auto"/>
        <w:ind w:left="500"/>
        <w:rPr>
          <w:rFonts w:eastAsia="Times New Roman"/>
        </w:rPr>
      </w:pPr>
      <w:r>
        <w:t>3.2.2 Random Forest Specification</w:t>
      </w:r>
      <w:r>
        <w:tab/>
        <w:t>37</w:t>
      </w:r>
    </w:p>
    <w:p w:rsidR="005F2A74" w:rsidRPr="00244161" w:rsidRDefault="00E20654">
      <w:pPr>
        <w:tabs>
          <w:tab w:val="right" w:leader="dot" w:pos="9360"/>
        </w:tabs>
        <w:spacing w:after="40" w:line="276" w:lineRule="auto"/>
        <w:ind w:left="500"/>
        <w:rPr>
          <w:rFonts w:eastAsia="Times New Roman"/>
        </w:rPr>
      </w:pPr>
      <w:r>
        <w:t>3.2.3 eXtreme Gradient Boosting (XGBoost)</w:t>
      </w:r>
      <w:r>
        <w:tab/>
        <w:t>39</w:t>
      </w:r>
    </w:p>
    <w:p w:rsidR="005F2A74" w:rsidRPr="00244161" w:rsidRDefault="00E20654">
      <w:pPr>
        <w:tabs>
          <w:tab w:val="right" w:leader="dot" w:pos="9360"/>
        </w:tabs>
        <w:spacing w:after="40" w:line="276" w:lineRule="auto"/>
        <w:ind w:left="500"/>
        <w:rPr>
          <w:rFonts w:eastAsia="Times New Roman"/>
        </w:rPr>
      </w:pPr>
      <w:r>
        <w:t>3.2.4 The Tail-Risk Aware (Mean-CVaR) Optimization Model</w:t>
      </w:r>
      <w:r>
        <w:tab/>
        <w:t>40</w:t>
      </w:r>
    </w:p>
    <w:p w:rsidR="005F2A74" w:rsidRPr="00244161" w:rsidRDefault="00E20654">
      <w:pPr>
        <w:tabs>
          <w:tab w:val="right" w:leader="dot" w:pos="9360"/>
        </w:tabs>
        <w:spacing w:after="40" w:line="276" w:lineRule="auto"/>
        <w:ind w:left="280"/>
        <w:rPr>
          <w:rFonts w:eastAsia="Times New Roman"/>
        </w:rPr>
      </w:pPr>
      <w:r>
        <w:t>3.3 Estimation Techniques</w:t>
      </w:r>
      <w:r>
        <w:tab/>
        <w:t>43</w:t>
      </w:r>
    </w:p>
    <w:p w:rsidR="005F2A74" w:rsidRPr="00244161" w:rsidRDefault="00E20654">
      <w:pPr>
        <w:tabs>
          <w:tab w:val="right" w:leader="dot" w:pos="9360"/>
        </w:tabs>
        <w:spacing w:after="40" w:line="276" w:lineRule="auto"/>
        <w:ind w:left="500"/>
        <w:rPr>
          <w:rFonts w:eastAsia="Times New Roman"/>
        </w:rPr>
      </w:pPr>
      <w:r>
        <w:t>3.3.1 Time-Series Data Partitioning (Train-Test Split)</w:t>
      </w:r>
      <w:r>
        <w:tab/>
        <w:t>43</w:t>
      </w:r>
    </w:p>
    <w:p w:rsidR="005F2A74" w:rsidRPr="00244161" w:rsidRDefault="00E20654">
      <w:pPr>
        <w:tabs>
          <w:tab w:val="right" w:leader="dot" w:pos="9360"/>
        </w:tabs>
        <w:spacing w:after="40" w:line="276" w:lineRule="auto"/>
        <w:ind w:left="500"/>
        <w:rPr>
          <w:rFonts w:eastAsia="Times New Roman"/>
        </w:rPr>
      </w:pPr>
      <w:r>
        <w:t>3.3.2 Model Training and Hyperparameter Tuning</w:t>
      </w:r>
      <w:r>
        <w:tab/>
        <w:t>44</w:t>
      </w:r>
    </w:p>
    <w:p w:rsidR="005F2A74" w:rsidRPr="00244161" w:rsidRDefault="00E20654">
      <w:pPr>
        <w:tabs>
          <w:tab w:val="right" w:leader="dot" w:pos="9360"/>
        </w:tabs>
        <w:spacing w:after="40" w:line="276" w:lineRule="auto"/>
        <w:ind w:left="500"/>
        <w:rPr>
          <w:rFonts w:eastAsia="Times New Roman"/>
        </w:rPr>
      </w:pPr>
      <w:r>
        <w:t>3.3.3 Portfolio Turnover and Transaction Costs</w:t>
      </w:r>
      <w:r>
        <w:tab/>
        <w:t>44</w:t>
      </w:r>
    </w:p>
    <w:p w:rsidR="005F2A74" w:rsidRPr="00244161" w:rsidRDefault="00E20654">
      <w:pPr>
        <w:tabs>
          <w:tab w:val="right" w:leader="dot" w:pos="9360"/>
        </w:tabs>
        <w:spacing w:after="40" w:line="276" w:lineRule="auto"/>
        <w:ind w:left="500"/>
        <w:rPr>
          <w:rFonts w:eastAsia="Times New Roman"/>
        </w:rPr>
      </w:pPr>
      <w:r>
        <w:t>3.3.4 Feature Importance Extraction</w:t>
      </w:r>
      <w:r>
        <w:tab/>
        <w:t>45</w:t>
      </w:r>
    </w:p>
    <w:p w:rsidR="005F2A74" w:rsidRPr="00244161" w:rsidRDefault="00E20654">
      <w:pPr>
        <w:tabs>
          <w:tab w:val="right" w:leader="dot" w:pos="9360"/>
        </w:tabs>
        <w:spacing w:after="40" w:line="276" w:lineRule="auto"/>
        <w:ind w:left="500"/>
        <w:rPr>
          <w:rFonts w:eastAsia="Times New Roman"/>
        </w:rPr>
      </w:pPr>
      <w:r>
        <w:t>3.3.5 Evaluation Metrics for Forecasting and Portfolio Performance</w:t>
      </w:r>
      <w:r>
        <w:tab/>
        <w:t>45</w:t>
      </w:r>
    </w:p>
    <w:p w:rsidR="005F2A74" w:rsidRPr="00244161" w:rsidRDefault="00E20654">
      <w:pPr>
        <w:tabs>
          <w:tab w:val="right" w:leader="dot" w:pos="9360"/>
        </w:tabs>
        <w:spacing w:after="40" w:line="276" w:lineRule="auto"/>
        <w:ind w:left="500"/>
        <w:rPr>
          <w:rFonts w:eastAsia="Times New Roman"/>
        </w:rPr>
      </w:pPr>
      <w:r>
        <w:t>3.3.6 Benchmark Portfolios for Evaluation</w:t>
      </w:r>
      <w:r>
        <w:tab/>
        <w:t>48</w:t>
      </w:r>
    </w:p>
    <w:p w:rsidR="005F2A74" w:rsidRPr="00244161" w:rsidRDefault="00E20654">
      <w:pPr>
        <w:tabs>
          <w:tab w:val="right" w:leader="dot" w:pos="9360"/>
        </w:tabs>
        <w:spacing w:after="40" w:line="276" w:lineRule="auto"/>
        <w:ind w:left="280"/>
        <w:rPr>
          <w:rFonts w:eastAsia="Times New Roman"/>
        </w:rPr>
      </w:pPr>
      <w:r>
        <w:t>3.4 Description and Measurement of Study Variables</w:t>
      </w:r>
      <w:r>
        <w:tab/>
        <w:t>49</w:t>
      </w:r>
    </w:p>
    <w:p w:rsidR="005F2A74" w:rsidRPr="00244161" w:rsidRDefault="00E20654">
      <w:pPr>
        <w:tabs>
          <w:tab w:val="right" w:leader="dot" w:pos="9360"/>
        </w:tabs>
        <w:spacing w:after="40" w:line="276" w:lineRule="auto"/>
        <w:ind w:left="280"/>
        <w:rPr>
          <w:rFonts w:eastAsia="Times New Roman"/>
        </w:rPr>
      </w:pPr>
      <w:r>
        <w:t>3.5 Data Preprocessing and Feature Scaling</w:t>
      </w:r>
      <w:r>
        <w:tab/>
        <w:t>52</w:t>
      </w:r>
    </w:p>
    <w:p w:rsidR="005F2A74" w:rsidRPr="00244161" w:rsidRDefault="00E20654">
      <w:pPr>
        <w:tabs>
          <w:tab w:val="right" w:leader="dot" w:pos="9360"/>
        </w:tabs>
        <w:spacing w:after="40" w:line="276" w:lineRule="auto"/>
        <w:ind w:left="280"/>
        <w:rPr>
          <w:rFonts w:eastAsia="Times New Roman"/>
        </w:rPr>
      </w:pPr>
      <w:r>
        <w:t>3.6 Software and Implementation Tools</w:t>
      </w:r>
      <w:r>
        <w:tab/>
        <w:t>53</w:t>
      </w:r>
    </w:p>
    <w:p w:rsidR="005F2A74" w:rsidRPr="00244161" w:rsidRDefault="00E20654">
      <w:pPr>
        <w:tabs>
          <w:tab w:val="right" w:leader="dot" w:pos="9360"/>
        </w:tabs>
        <w:spacing w:after="40" w:line="276" w:lineRule="auto"/>
        <w:ind w:left="280"/>
        <w:rPr>
          <w:rFonts w:eastAsia="Times New Roman"/>
        </w:rPr>
      </w:pPr>
      <w:r>
        <w:t>3.7 Sources of Data</w:t>
      </w:r>
      <w:r>
        <w:tab/>
        <w:t>53</w:t>
      </w:r>
    </w:p>
    <w:p w:rsidR="005F2A74" w:rsidRPr="00244161" w:rsidRDefault="00E20654">
      <w:pPr>
        <w:tabs>
          <w:tab w:val="right" w:leader="dot" w:pos="9360"/>
        </w:tabs>
        <w:spacing w:after="40" w:line="276" w:lineRule="auto"/>
        <w:rPr>
          <w:rFonts w:eastAsia="Times New Roman"/>
          <w:b/>
        </w:rPr>
      </w:pPr>
      <w:r>
        <w:rPr>
          <w:b/>
        </w:rPr>
        <w:t>CHAPTER FOUR: DATA ANALYSIS, PRESENTATION AND DISCUSSION</w:t>
      </w:r>
      <w:r>
        <w:rPr>
          <w:b/>
        </w:rPr>
        <w:tab/>
        <w:t>54</w:t>
      </w:r>
    </w:p>
    <w:p w:rsidR="005F2A74" w:rsidRPr="00244161" w:rsidRDefault="00E20654">
      <w:pPr>
        <w:tabs>
          <w:tab w:val="right" w:leader="dot" w:pos="9360"/>
        </w:tabs>
        <w:spacing w:after="40" w:line="276" w:lineRule="auto"/>
        <w:ind w:left="280"/>
        <w:rPr>
          <w:rFonts w:eastAsia="Times New Roman"/>
        </w:rPr>
      </w:pPr>
      <w:r>
        <w:t>4.1 Empirical Results and Asset Universe Breakdown</w:t>
      </w:r>
      <w:r>
        <w:tab/>
        <w:t>54</w:t>
      </w:r>
    </w:p>
    <w:p w:rsidR="00A72284" w:rsidRPr="00244161" w:rsidRDefault="00FD0CC7">
      <w:pPr>
        <w:tabs>
          <w:tab w:val="right" w:leader="dot" w:pos="9360"/>
        </w:tabs>
        <w:spacing w:after="40" w:line="276" w:lineRule="auto"/>
        <w:ind w:left="500"/>
        <w:rPr>
          <w:rFonts w:eastAsia="Times New Roman"/>
        </w:rPr>
      </w:pPr>
      <w:r>
        <w:t>4.1.1 Asset Universe Breakdown and Selection Rationale</w:t>
      </w:r>
      <w:r>
        <w:tab/>
        <w:t>54</w:t>
      </w:r>
    </w:p>
    <w:p w:rsidR="005F2A74" w:rsidRPr="00244161" w:rsidRDefault="00E20654">
      <w:pPr>
        <w:tabs>
          <w:tab w:val="right" w:leader="dot" w:pos="9360"/>
        </w:tabs>
        <w:spacing w:after="40" w:line="276" w:lineRule="auto"/>
        <w:ind w:left="280"/>
        <w:rPr>
          <w:rFonts w:eastAsia="Times New Roman"/>
        </w:rPr>
      </w:pPr>
      <w:r>
        <w:t>4.2 Descriptive Statistics and Market Characteristics</w:t>
      </w:r>
      <w:r>
        <w:tab/>
        <w:t>56</w:t>
      </w:r>
    </w:p>
    <w:p w:rsidR="005F2A74" w:rsidRPr="00244161" w:rsidRDefault="00E20654">
      <w:pPr>
        <w:tabs>
          <w:tab w:val="right" w:leader="dot" w:pos="9360"/>
        </w:tabs>
        <w:spacing w:after="40" w:line="276" w:lineRule="auto"/>
        <w:ind w:left="280"/>
        <w:rPr>
          <w:rFonts w:eastAsia="Times New Roman"/>
        </w:rPr>
      </w:pPr>
      <w:r>
        <w:t>4.3 Statistical Non-Normality and Stationarity Diagnostic Tests</w:t>
      </w:r>
      <w:r>
        <w:tab/>
        <w:t>57</w:t>
      </w:r>
    </w:p>
    <w:p w:rsidR="005F2A74" w:rsidRPr="00244161" w:rsidRDefault="00E20654">
      <w:pPr>
        <w:tabs>
          <w:tab w:val="right" w:leader="dot" w:pos="9360"/>
        </w:tabs>
        <w:spacing w:after="40" w:line="276" w:lineRule="auto"/>
        <w:ind w:left="280"/>
        <w:rPr>
          <w:rFonts w:eastAsia="Times New Roman"/>
        </w:rPr>
      </w:pPr>
      <w:r>
        <w:t>4.4 Sectoral Correlation and Multi-Asset Diversification</w:t>
      </w:r>
      <w:r>
        <w:tab/>
        <w:t>58</w:t>
      </w:r>
    </w:p>
    <w:p w:rsidR="005F2A74" w:rsidRPr="00244161" w:rsidRDefault="00E20654">
      <w:pPr>
        <w:tabs>
          <w:tab w:val="right" w:leader="dot" w:pos="9360"/>
        </w:tabs>
        <w:spacing w:after="40" w:line="276" w:lineRule="auto"/>
        <w:ind w:left="280"/>
        <w:rPr>
          <w:rFonts w:eastAsia="Times New Roman"/>
        </w:rPr>
      </w:pPr>
      <w:r>
        <w:t>4.5 Machine Learning Return Forecasting Results</w:t>
      </w:r>
      <w:r>
        <w:tab/>
        <w:t>59</w:t>
      </w:r>
    </w:p>
    <w:p w:rsidR="005F2A74" w:rsidRPr="00244161" w:rsidRDefault="00E20654">
      <w:pPr>
        <w:tabs>
          <w:tab w:val="right" w:leader="dot" w:pos="9360"/>
        </w:tabs>
        <w:spacing w:after="40" w:line="276" w:lineRule="auto"/>
        <w:ind w:left="500"/>
        <w:rPr>
          <w:rFonts w:eastAsia="Times New Roman"/>
        </w:rPr>
      </w:pPr>
      <w:r>
        <w:t>4.5.1 Econometric Evaluation: Forecast Accuracy and Portfolio Value</w:t>
      </w:r>
      <w:r>
        <w:tab/>
        <w:t>60</w:t>
      </w:r>
    </w:p>
    <w:p w:rsidR="005F2A74" w:rsidRPr="00244161" w:rsidRDefault="00E20654">
      <w:pPr>
        <w:tabs>
          <w:tab w:val="right" w:leader="dot" w:pos="9360"/>
        </w:tabs>
        <w:spacing w:after="40" w:line="276" w:lineRule="auto"/>
        <w:ind w:left="280"/>
        <w:rPr>
          <w:rFonts w:eastAsia="Times New Roman"/>
        </w:rPr>
      </w:pPr>
      <w:r>
        <w:t>4.6 Feature Importance and Predictive Driver Analysis</w:t>
      </w:r>
      <w:r>
        <w:tab/>
        <w:t>63</w:t>
      </w:r>
    </w:p>
    <w:p w:rsidR="005F2A74" w:rsidRPr="00244161" w:rsidRDefault="00E20654">
      <w:pPr>
        <w:tabs>
          <w:tab w:val="right" w:leader="dot" w:pos="9360"/>
        </w:tabs>
        <w:spacing w:after="40" w:line="276" w:lineRule="auto"/>
        <w:ind w:left="280"/>
        <w:rPr>
          <w:rFonts w:eastAsia="Times New Roman"/>
        </w:rPr>
      </w:pPr>
      <w:r>
        <w:t>4.7 Out-of-Sample Portfolio Optimization Backtest and Sensitivity Analysis</w:t>
      </w:r>
      <w:r>
        <w:tab/>
        <w:t>64</w:t>
      </w:r>
    </w:p>
    <w:p w:rsidR="005F2A74" w:rsidRPr="00244161" w:rsidRDefault="00E20654">
      <w:pPr>
        <w:tabs>
          <w:tab w:val="right" w:leader="dot" w:pos="9360"/>
        </w:tabs>
        <w:spacing w:after="40" w:line="276" w:lineRule="auto"/>
        <w:ind w:left="500"/>
        <w:rPr>
          <w:rFonts w:eastAsia="Times New Roman"/>
        </w:rPr>
      </w:pPr>
      <w:r>
        <w:t>4.7.1 Statistical Significance of Portfolio Outperformance across Market Fee Regimes</w:t>
      </w:r>
      <w:r>
        <w:tab/>
        <w:t>66</w:t>
      </w:r>
    </w:p>
    <w:p w:rsidR="005F2A74" w:rsidRPr="00244161" w:rsidRDefault="00E20654">
      <w:pPr>
        <w:tabs>
          <w:tab w:val="right" w:leader="dot" w:pos="9360"/>
        </w:tabs>
        <w:spacing w:after="40" w:line="276" w:lineRule="auto"/>
        <w:ind w:left="280"/>
        <w:rPr>
          <w:rFonts w:eastAsia="Times New Roman"/>
        </w:rPr>
      </w:pPr>
      <w:r>
        <w:t>4.8 Discussion of Findings</w:t>
      </w:r>
      <w:r>
        <w:tab/>
        <w:t>68</w:t>
      </w:r>
    </w:p>
    <w:p w:rsidR="005F2A74" w:rsidRPr="00244161" w:rsidRDefault="00E20654">
      <w:pPr>
        <w:tabs>
          <w:tab w:val="right" w:leader="dot" w:pos="9360"/>
        </w:tabs>
        <w:spacing w:after="40" w:line="276" w:lineRule="auto"/>
        <w:rPr>
          <w:rFonts w:eastAsia="Times New Roman"/>
          <w:b/>
        </w:rPr>
      </w:pPr>
      <w:r>
        <w:rPr>
          <w:b/>
        </w:rPr>
        <w:t>CHAPTER FIVE: SUMMARY, CONCLUSION AND RECOMMENDATIONS</w:t>
      </w:r>
      <w:r>
        <w:rPr>
          <w:b/>
        </w:rPr>
        <w:tab/>
        <w:t>72</w:t>
      </w:r>
    </w:p>
    <w:p w:rsidR="005F2A74" w:rsidRPr="00244161" w:rsidRDefault="00E20654">
      <w:pPr>
        <w:tabs>
          <w:tab w:val="right" w:leader="dot" w:pos="9360"/>
        </w:tabs>
        <w:spacing w:after="40" w:line="276" w:lineRule="auto"/>
        <w:ind w:left="280"/>
        <w:rPr>
          <w:rFonts w:eastAsia="Times New Roman"/>
        </w:rPr>
      </w:pPr>
      <w:r>
        <w:lastRenderedPageBreak/>
        <w:t>5.1 Summary of Findings</w:t>
      </w:r>
      <w:r>
        <w:tab/>
        <w:t>72</w:t>
      </w:r>
    </w:p>
    <w:p w:rsidR="005F2A74" w:rsidRPr="00244161" w:rsidRDefault="00E20654">
      <w:pPr>
        <w:tabs>
          <w:tab w:val="right" w:leader="dot" w:pos="9360"/>
        </w:tabs>
        <w:spacing w:after="40" w:line="276" w:lineRule="auto"/>
        <w:ind w:left="280"/>
        <w:rPr>
          <w:rFonts w:eastAsia="Times New Roman"/>
        </w:rPr>
      </w:pPr>
      <w:r>
        <w:t>5.2 Conclusion</w:t>
      </w:r>
      <w:r>
        <w:tab/>
        <w:t>73</w:t>
      </w:r>
    </w:p>
    <w:p w:rsidR="005F2A74" w:rsidRPr="00244161" w:rsidRDefault="00E20654">
      <w:pPr>
        <w:tabs>
          <w:tab w:val="right" w:leader="dot" w:pos="9360"/>
        </w:tabs>
        <w:spacing w:after="40" w:line="276" w:lineRule="auto"/>
        <w:ind w:left="280"/>
        <w:rPr>
          <w:rFonts w:eastAsia="Times New Roman"/>
        </w:rPr>
      </w:pPr>
      <w:r>
        <w:t>5.3 Policy and Practical Recommendations</w:t>
      </w:r>
      <w:r>
        <w:tab/>
        <w:t>74</w:t>
      </w:r>
    </w:p>
    <w:p w:rsidR="005F2A74" w:rsidRPr="00244161" w:rsidRDefault="00E20654">
      <w:pPr>
        <w:tabs>
          <w:tab w:val="right" w:leader="dot" w:pos="9360"/>
        </w:tabs>
        <w:spacing w:after="40" w:line="276" w:lineRule="auto"/>
        <w:ind w:left="500"/>
        <w:rPr>
          <w:rFonts w:eastAsia="Times New Roman"/>
        </w:rPr>
      </w:pPr>
      <w:r>
        <w:t>5.3.1 Regulatory and Macroeconomic Policy Recommendations</w:t>
      </w:r>
      <w:r>
        <w:tab/>
        <w:t>74</w:t>
      </w:r>
    </w:p>
    <w:p w:rsidR="005F2A74" w:rsidRPr="00244161" w:rsidRDefault="00E20654">
      <w:pPr>
        <w:tabs>
          <w:tab w:val="right" w:leader="dot" w:pos="9360"/>
        </w:tabs>
        <w:spacing w:after="40" w:line="276" w:lineRule="auto"/>
        <w:ind w:left="500"/>
        <w:rPr>
          <w:rFonts w:eastAsia="Times New Roman"/>
        </w:rPr>
      </w:pPr>
      <w:r>
        <w:t>5.3.2 Institutional Asset Allocation Recommendations</w:t>
      </w:r>
      <w:r>
        <w:tab/>
        <w:t>74</w:t>
      </w:r>
    </w:p>
    <w:p w:rsidR="005F2A74" w:rsidRPr="00244161" w:rsidRDefault="00E20654">
      <w:pPr>
        <w:tabs>
          <w:tab w:val="right" w:leader="dot" w:pos="9360"/>
        </w:tabs>
        <w:spacing w:after="40" w:line="276" w:lineRule="auto"/>
        <w:ind w:left="500"/>
        <w:rPr>
          <w:rFonts w:eastAsia="Times New Roman"/>
        </w:rPr>
      </w:pPr>
      <w:r>
        <w:t>5.3.3 Quantitative Risk Management Recommendations</w:t>
      </w:r>
      <w:r>
        <w:tab/>
        <w:t>75</w:t>
      </w:r>
    </w:p>
    <w:p w:rsidR="005F2A74" w:rsidRPr="00244161" w:rsidRDefault="00E20654">
      <w:pPr>
        <w:tabs>
          <w:tab w:val="right" w:leader="dot" w:pos="9360"/>
        </w:tabs>
        <w:spacing w:after="40" w:line="276" w:lineRule="auto"/>
        <w:ind w:left="280"/>
        <w:rPr>
          <w:rFonts w:eastAsia="Times New Roman"/>
        </w:rPr>
      </w:pPr>
      <w:r>
        <w:t>5.4 Limitations of the Study</w:t>
      </w:r>
      <w:r>
        <w:tab/>
        <w:t>75</w:t>
      </w:r>
    </w:p>
    <w:p w:rsidR="005F2A74" w:rsidRPr="00244161" w:rsidRDefault="00E20654">
      <w:pPr>
        <w:tabs>
          <w:tab w:val="right" w:leader="dot" w:pos="9360"/>
        </w:tabs>
        <w:spacing w:after="40" w:line="276" w:lineRule="auto"/>
        <w:ind w:left="280"/>
        <w:rPr>
          <w:rFonts w:eastAsia="Times New Roman"/>
        </w:rPr>
      </w:pPr>
      <w:r>
        <w:t>5.5 Suggestions for Further Research</w:t>
      </w:r>
      <w:r>
        <w:tab/>
        <w:t>76</w:t>
      </w:r>
    </w:p>
    <w:p w:rsidR="005F2A74" w:rsidRPr="00244161" w:rsidRDefault="00E20654">
      <w:pPr>
        <w:tabs>
          <w:tab w:val="right" w:leader="dot" w:pos="9360"/>
        </w:tabs>
        <w:spacing w:after="40" w:line="276" w:lineRule="auto"/>
        <w:ind w:left="280"/>
        <w:rPr>
          <w:rFonts w:eastAsia="Times New Roman"/>
        </w:rPr>
      </w:pPr>
      <w:r>
        <w:t>5.6 Contribution to Knowledge</w:t>
      </w:r>
      <w:r>
        <w:tab/>
        <w:t>77</w:t>
      </w:r>
    </w:p>
    <w:p w:rsidR="005F2A74" w:rsidRPr="00244161" w:rsidRDefault="00E20654">
      <w:pPr>
        <w:tabs>
          <w:tab w:val="right" w:leader="dot" w:pos="9360"/>
        </w:tabs>
        <w:spacing w:after="40" w:line="276" w:lineRule="auto"/>
        <w:ind w:left="280"/>
        <w:rPr>
          <w:rFonts w:eastAsia="Times New Roman"/>
        </w:rPr>
      </w:pPr>
      <w:r>
        <w:t>5.7 Data and Code Availability Statement</w:t>
      </w:r>
      <w:r>
        <w:tab/>
        <w:t>77</w:t>
      </w:r>
    </w:p>
    <w:p w:rsidR="005F2A74" w:rsidRPr="00244161" w:rsidRDefault="00E20654">
      <w:pPr>
        <w:tabs>
          <w:tab w:val="right" w:leader="dot" w:pos="9360"/>
        </w:tabs>
        <w:spacing w:after="40" w:line="276" w:lineRule="auto"/>
        <w:rPr>
          <w:rFonts w:eastAsia="Times New Roman"/>
          <w:b/>
        </w:rPr>
      </w:pPr>
      <w:r>
        <w:rPr>
          <w:b/>
        </w:rPr>
        <w:t>REFERENCES</w:t>
      </w:r>
      <w:r>
        <w:rPr>
          <w:b/>
        </w:rPr>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Table 3.1: Description and Measurement of Study Variables</w:t>
      </w:r>
      <w:r>
        <w:tab/>
        <w:t>51</w:t>
      </w:r>
    </w:p>
    <w:p w:rsidR="005F2A74" w:rsidRPr="00244161" w:rsidRDefault="00E20654">
      <w:pPr>
        <w:tabs>
          <w:tab w:val="right" w:leader="dot" w:pos="9360"/>
        </w:tabs>
        <w:spacing w:after="40" w:line="276" w:lineRule="auto"/>
        <w:rPr>
          <w:rFonts w:eastAsia="Times New Roman"/>
        </w:rPr>
      </w:pPr>
      <w:r>
        <w:t>Table 4.0: NGX Pension Index Asset Universe Breakdown &amp; Exclusion Rationale</w:t>
      </w:r>
      <w:r>
        <w:tab/>
        <w:t>54</w:t>
      </w:r>
    </w:p>
    <w:p w:rsidR="005F2A74" w:rsidRPr="00244161" w:rsidRDefault="00E20654">
      <w:pPr>
        <w:tabs>
          <w:tab w:val="right" w:leader="dot" w:pos="9360"/>
        </w:tabs>
        <w:spacing w:after="40" w:line="276" w:lineRule="auto"/>
        <w:rPr>
          <w:rFonts w:eastAsia="Times New Roman"/>
        </w:rPr>
      </w:pPr>
      <w:r>
        <w:t>Table 4.1: Descriptive Statistics of 28 NGX Equity Log Returns (2010-2025)</w:t>
      </w:r>
      <w:r>
        <w:tab/>
        <w:t>56</w:t>
      </w:r>
    </w:p>
    <w:p w:rsidR="005F2A74" w:rsidRPr="00244161" w:rsidRDefault="00E20654">
      <w:pPr>
        <w:tabs>
          <w:tab w:val="right" w:leader="dot" w:pos="9360"/>
        </w:tabs>
        <w:spacing w:after="40" w:line="276" w:lineRule="auto"/>
        <w:rPr>
          <w:rFonts w:eastAsia="Times New Roman"/>
        </w:rPr>
      </w:pPr>
      <w:r>
        <w:t>Table 4.2: Empirical Non-Normality (JB, SW) and Stationarity (ADF) Diagnostic Tests (All 28 Equities)</w:t>
      </w:r>
      <w:r>
        <w:tab/>
        <w:t>57</w:t>
      </w:r>
    </w:p>
    <w:p w:rsidR="005F2A74" w:rsidRPr="00244161" w:rsidRDefault="00E20654">
      <w:pPr>
        <w:tabs>
          <w:tab w:val="right" w:leader="dot" w:pos="9360"/>
        </w:tabs>
        <w:spacing w:after="40" w:line="276" w:lineRule="auto"/>
        <w:rPr>
          <w:rFonts w:eastAsia="Times New Roman"/>
        </w:rPr>
      </w:pPr>
      <w:r>
        <w:t>Table 4.3: Out-of-Sample Predictive Performance Metrics across All 28 NGX Equities (2021-2025 Walk-Forward)</w:t>
      </w:r>
      <w:r>
        <w:tab/>
        <w:t>60</w:t>
      </w:r>
    </w:p>
    <w:p w:rsidR="005F2A74" w:rsidRPr="00244161" w:rsidRDefault="00E20654">
      <w:pPr>
        <w:tabs>
          <w:tab w:val="right" w:leader="dot" w:pos="9360"/>
        </w:tabs>
        <w:spacing w:after="40" w:line="276" w:lineRule="auto"/>
        <w:rPr>
          <w:rFonts w:eastAsia="Times New Roman"/>
        </w:rPr>
      </w:pPr>
      <w:r>
        <w:t>Table 4.4: Out-of-Sample Portfolio Performance with 1.50% Retail Transaction Fees &amp; Market Slippage</w:t>
      </w:r>
      <w:r>
        <w:tab/>
        <w:t>64</w:t>
      </w:r>
    </w:p>
    <w:p w:rsidR="005F2A74" w:rsidRPr="00244161" w:rsidRDefault="00E20654">
      <w:pPr>
        <w:tabs>
          <w:tab w:val="right" w:leader="dot" w:pos="9360"/>
        </w:tabs>
        <w:spacing w:after="40" w:line="276" w:lineRule="auto"/>
        <w:rPr>
          <w:rFonts w:eastAsia="Times New Roman"/>
        </w:rPr>
      </w:pPr>
      <w:r>
        <w:t>Table 4.5: Out-of-Sample Portfolio Performance under Zero Transaction Fees (Gross Performance - 0.00%)</w:t>
      </w:r>
      <w:r>
        <w:tab/>
        <w:t>63</w:t>
      </w:r>
    </w:p>
    <w:p w:rsidR="005F2A74" w:rsidRPr="00244161" w:rsidRDefault="00E20654">
      <w:pPr>
        <w:tabs>
          <w:tab w:val="right" w:leader="dot" w:pos="9360"/>
        </w:tabs>
        <w:spacing w:after="40" w:line="276" w:lineRule="auto"/>
        <w:rPr>
          <w:rFonts w:eastAsia="Times New Roman"/>
        </w:rPr>
      </w:pPr>
      <w:r>
        <w:t>Table 4.5b: Out-of-Sample Portfolio Performance under 0.75% Institutional PFA Transaction Fees</w:t>
      </w:r>
      <w:r>
        <w:tab/>
        <w:t>65</w:t>
      </w:r>
    </w:p>
    <w:p w:rsidR="005F2A74" w:rsidRPr="00244161" w:rsidRDefault="00E20654">
      <w:pPr>
        <w:tabs>
          <w:tab w:val="right" w:leader="dot" w:pos="9360"/>
        </w:tabs>
        <w:spacing w:after="40" w:line="276" w:lineRule="auto"/>
        <w:rPr>
          <w:rFonts w:eastAsia="Times New Roman"/>
        </w:rPr>
      </w:pPr>
      <w:r>
        <w:t>Table 4.6: Multi-Tier Pairwise Hypothesis Testing of Sharpe Ratio Equality across Fee Regimes</w:t>
      </w:r>
      <w:r>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after="40" w:line="276" w:lineRule="auto"/>
        <w:rPr>
          <w:rFonts w:eastAsia="Times New Roman"/>
        </w:rPr>
      </w:pPr>
      <w:r>
        <w:t>Figure 2.1: Conceptual Framework for Equity Return Forecasting and Mean-CVaR Optimization</w:t>
      </w:r>
      <w:r>
        <w:tab/>
        <w:t>21</w:t>
      </w:r>
    </w:p>
    <w:p w:rsidR="005F2A74" w:rsidRPr="00244161" w:rsidRDefault="00E20654">
      <w:pPr>
        <w:tabs>
          <w:tab w:val="right" w:leader="dot" w:pos="9360"/>
        </w:tabs>
        <w:spacing w:after="40" w:line="276" w:lineRule="auto"/>
        <w:rPr>
          <w:rFonts w:eastAsia="Times New Roman"/>
        </w:rPr>
      </w:pPr>
      <w:r>
        <w:t>Figure 4.1: NGX 28 Equity Log Return Pairwise Correlation Matrix (2010-2025)</w:t>
      </w:r>
      <w:r>
        <w:tab/>
        <w:t>58</w:t>
      </w:r>
    </w:p>
    <w:p w:rsidR="005F2A74" w:rsidRPr="00244161" w:rsidRDefault="00E20654">
      <w:pPr>
        <w:tabs>
          <w:tab w:val="right" w:leader="dot" w:pos="9360"/>
        </w:tabs>
        <w:spacing w:after="40" w:line="276" w:lineRule="auto"/>
        <w:rPr>
          <w:rFonts w:eastAsia="Times New Roman"/>
        </w:rPr>
      </w:pPr>
      <w:r>
        <w:t>Figure 4.2: Feature Importance Breakdown across Technical Indicators</w:t>
      </w:r>
      <w:r>
        <w:tab/>
        <w:t>63</w:t>
      </w:r>
    </w:p>
    <w:p w:rsidR="005F2A74" w:rsidRPr="00244161" w:rsidRDefault="00E20654">
      <w:pPr>
        <w:tabs>
          <w:tab w:val="right" w:leader="dot" w:pos="9360"/>
        </w:tabs>
        <w:spacing w:after="40" w:line="276" w:lineRule="auto"/>
        <w:rPr>
          <w:rFonts w:eastAsia="Times New Roman"/>
        </w:rPr>
      </w:pPr>
      <w:r>
        <w:t>Figure 4.3: Out-of-Sample Cumulative Wealth Growth Curves (2021-2025)</w:t>
      </w:r>
      <w:r>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color w:val="000000" w:themeColor="text1"/>
        </w:rPr>
        <w:t>(</w:t>
      </w:r>
      <w:proofErr w:type="spellStart"/>
      <w:r w:rsidR="00600686" w:rsidRPr="00244161">
        <w:rPr>
          <w:rFonts w:eastAsia="Times New Roman"/>
          <w:color w:val="000000" w:themeColor="text1"/>
        </w:rPr>
        <w:t>Sulaiman</w:t>
      </w:r>
      <w:proofErr w:type="spellEnd"/>
      <w:r w:rsidR="00600686" w:rsidRPr="00244161">
        <w:rPr>
          <w:rFonts w:eastAsia="Times New Roman"/>
          <w:color w:val="000000" w:themeColor="text1"/>
        </w:rPr>
        <w:t xml:space="preserve"> et al., 2023</w:t>
      </w:r>
      <w:r w:rsidRPr="00244161">
        <w:rPr>
          <w:rFonts w:eastAsia="Times New Roman"/>
          <w:color w:val="000000" w:themeColor="text1"/>
        </w:rPr>
        <w:t xml:space="preserve">). The stock market </w:t>
      </w:r>
      <w:r w:rsidR="3CB00BA7" w:rsidRPr="00244161">
        <w:rPr>
          <w:rFonts w:eastAsia="Times New Roman"/>
          <w:color w:val="000000" w:themeColor="text1"/>
        </w:rPr>
        <w:t>-</w:t>
      </w:r>
      <w:r w:rsidRPr="00244161">
        <w:rPr>
          <w:rFonts w:eastAsia="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color w:val="000000" w:themeColor="text1"/>
        </w:rPr>
        <w:t>Nahari</w:t>
      </w:r>
      <w:proofErr w:type="spellEnd"/>
      <w:r w:rsidRPr="00244161">
        <w:rPr>
          <w:rFonts w:eastAsia="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color w:val="000000" w:themeColor="text1"/>
        </w:rPr>
        <w:t>Mahadevaswamy</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Shyamala</w:t>
      </w:r>
      <w:proofErr w:type="spellEnd"/>
      <w:r w:rsidRPr="00244161">
        <w:rPr>
          <w:rFonts w:eastAsia="Times New Roman"/>
          <w:color w:val="000000" w:themeColor="text1"/>
        </w:rPr>
        <w:t>, 2022), based on their level of risk</w:t>
      </w:r>
      <w:r w:rsidR="3CB00BA7" w:rsidRPr="00244161">
        <w:rPr>
          <w:rFonts w:eastAsia="Times New Roman"/>
          <w:color w:val="000000" w:themeColor="text1"/>
        </w:rPr>
        <w:t>-</w:t>
      </w:r>
      <w:r w:rsidRPr="00244161">
        <w:rPr>
          <w:rFonts w:eastAsia="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color w:val="000000" w:themeColor="text1"/>
        </w:rPr>
        <w:t>-</w:t>
      </w:r>
      <w:r w:rsidRPr="00244161">
        <w:rPr>
          <w:rFonts w:eastAsia="Times New Roman"/>
          <w:color w:val="000000" w:themeColor="text1"/>
        </w:rPr>
        <w:t>return ratio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Diversification is not an automatic risk</w:t>
      </w:r>
      <w:r w:rsidR="3CB00BA7" w:rsidRPr="00244161">
        <w:rPr>
          <w:rFonts w:eastAsia="Times New Roman"/>
          <w:color w:val="000000" w:themeColor="text1"/>
        </w:rPr>
        <w:t>-</w:t>
      </w:r>
      <w:r w:rsidRPr="00244161">
        <w:rPr>
          <w:rFonts w:eastAsia="Times New Roman"/>
          <w:color w:val="000000" w:themeColor="text1"/>
        </w:rPr>
        <w:t>reduction mechanism as its effectiveness depends on the co</w:t>
      </w:r>
      <w:r w:rsidR="3CB00BA7" w:rsidRPr="00244161">
        <w:rPr>
          <w:rFonts w:eastAsia="Times New Roman"/>
          <w:color w:val="000000" w:themeColor="text1"/>
        </w:rPr>
        <w:t>-</w:t>
      </w:r>
      <w:r w:rsidRPr="00244161">
        <w:rPr>
          <w:rFonts w:eastAsia="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color w:val="000000" w:themeColor="text1"/>
        </w:rPr>
        <w:t>-</w:t>
      </w:r>
      <w:r w:rsidRPr="00244161">
        <w:rPr>
          <w:rFonts w:eastAsia="Times New Roman"/>
          <w:color w:val="000000" w:themeColor="text1"/>
        </w:rPr>
        <w:t xml:space="preserve"> how to optimally allocate resources. For example, </w:t>
      </w:r>
      <w:r w:rsidR="4652B728" w:rsidRPr="00244161">
        <w:rPr>
          <w:rFonts w:eastAsia="Times New Roman"/>
          <w:color w:val="000000" w:themeColor="text1"/>
        </w:rPr>
        <w:t>international</w:t>
      </w:r>
      <w:r w:rsidRPr="00244161">
        <w:rPr>
          <w:rFonts w:eastAsia="Times New Roman"/>
          <w:color w:val="000000" w:themeColor="text1"/>
        </w:rPr>
        <w:t xml:space="preserve"> equity diversification was historically more reliable for U.S. investors prior to 2009, however, the post</w:t>
      </w:r>
      <w:r w:rsidR="3CB00BA7" w:rsidRPr="00244161">
        <w:rPr>
          <w:rFonts w:eastAsia="Times New Roman"/>
          <w:color w:val="000000" w:themeColor="text1"/>
        </w:rPr>
        <w:t>-</w:t>
      </w:r>
      <w:r w:rsidRPr="00244161">
        <w:rPr>
          <w:rFonts w:eastAsia="Times New Roman"/>
          <w:color w:val="000000" w:themeColor="text1"/>
        </w:rPr>
        <w:t xml:space="preserve">crisis period favored diversification through a portfolio of stocks and bonds </w:t>
      </w:r>
      <w:r w:rsidRPr="00244161">
        <w:rPr>
          <w:rFonts w:eastAsia="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color w:val="000000" w:themeColor="text1"/>
        </w:rPr>
        <w:t>over  time</w:t>
      </w:r>
      <w:proofErr w:type="gramEnd"/>
      <w:r w:rsidRPr="00244161">
        <w:rPr>
          <w:rFonts w:eastAsia="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i/>
          <w:iCs/>
          <w:color w:val="000000" w:themeColor="text1"/>
        </w:rPr>
        <w:t>et al.,</w:t>
      </w:r>
      <w:r w:rsidRPr="00244161">
        <w:rPr>
          <w:rFonts w:eastAsia="Times New Roman"/>
          <w:color w:val="000000" w:themeColor="text1"/>
        </w:rPr>
        <w:t xml:space="preserve">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To deal with the problems that come with diversification, portfolio management has become a step</w:t>
      </w:r>
      <w:r w:rsidR="3CB00BA7" w:rsidRPr="00244161">
        <w:rPr>
          <w:rFonts w:eastAsia="Times New Roman"/>
          <w:color w:val="000000" w:themeColor="text1"/>
        </w:rPr>
        <w:t>-</w:t>
      </w:r>
      <w:r w:rsidRPr="00244161">
        <w:rPr>
          <w:rFonts w:eastAsia="Times New Roman"/>
          <w:color w:val="000000" w:themeColor="text1"/>
        </w:rPr>
        <w:t>by</w:t>
      </w:r>
      <w:r w:rsidR="3CB00BA7" w:rsidRPr="00244161">
        <w:rPr>
          <w:rFonts w:eastAsia="Times New Roman"/>
          <w:color w:val="000000" w:themeColor="text1"/>
        </w:rPr>
        <w:t>-</w:t>
      </w:r>
      <w:r w:rsidRPr="00244161">
        <w:rPr>
          <w:rFonts w:eastAsia="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As markets keep evolving, portfolio management is essential for long</w:t>
      </w:r>
      <w:r w:rsidR="3CB00BA7" w:rsidRPr="00244161">
        <w:rPr>
          <w:rFonts w:eastAsia="Times New Roman"/>
          <w:color w:val="000000" w:themeColor="text1"/>
        </w:rPr>
        <w:t>-</w:t>
      </w:r>
      <w:r w:rsidRPr="00244161">
        <w:rPr>
          <w:rFonts w:eastAsia="Times New Roman"/>
          <w:color w:val="000000" w:themeColor="text1"/>
        </w:rPr>
        <w:t xml:space="preserve">term growth </w:t>
      </w:r>
      <w:r w:rsidR="79E2A240" w:rsidRPr="00244161">
        <w:rPr>
          <w:rFonts w:eastAsia="Times New Roman"/>
          <w:color w:val="000000" w:themeColor="text1"/>
        </w:rPr>
        <w:t>to</w:t>
      </w:r>
      <w:r w:rsidRPr="00244161">
        <w:rPr>
          <w:rFonts w:eastAsia="Times New Roman"/>
          <w:color w:val="000000" w:themeColor="text1"/>
        </w:rPr>
        <w:t xml:space="preserve"> maximize returns (Yadav </w:t>
      </w:r>
      <w:r w:rsidRPr="00244161">
        <w:rPr>
          <w:rFonts w:eastAsia="Times New Roman"/>
          <w:i/>
          <w:iCs/>
          <w:color w:val="000000" w:themeColor="text1"/>
        </w:rPr>
        <w:t>et al.,</w:t>
      </w:r>
      <w:r w:rsidRPr="00244161">
        <w:rPr>
          <w:rFonts w:eastAsia="Times New Roman"/>
          <w:color w:val="000000" w:themeColor="text1"/>
        </w:rPr>
        <w:t xml:space="preserve"> 2024). The main goal of portfolio construction is to </w:t>
      </w:r>
      <w:r w:rsidR="28879BD1" w:rsidRPr="00244161">
        <w:rPr>
          <w:rFonts w:eastAsia="Times New Roman"/>
          <w:color w:val="000000" w:themeColor="text1"/>
        </w:rPr>
        <w:t>diversify</w:t>
      </w:r>
      <w:r w:rsidRPr="00244161">
        <w:rPr>
          <w:rFonts w:eastAsia="Times New Roman"/>
          <w:color w:val="000000" w:themeColor="text1"/>
        </w:rPr>
        <w:t xml:space="preserve"> unsystematic risk through a two</w:t>
      </w:r>
      <w:r w:rsidR="3CB00BA7" w:rsidRPr="00244161">
        <w:rPr>
          <w:rFonts w:eastAsia="Times New Roman"/>
          <w:color w:val="000000" w:themeColor="text1"/>
        </w:rPr>
        <w:t>-</w:t>
      </w:r>
      <w:r w:rsidRPr="00244161">
        <w:rPr>
          <w:rFonts w:eastAsia="Times New Roman"/>
          <w:color w:val="000000" w:themeColor="text1"/>
        </w:rPr>
        <w:t>step allocation plan. Firstly, investors balance risk</w:t>
      </w:r>
      <w:r w:rsidR="3CB00BA7" w:rsidRPr="00244161">
        <w:rPr>
          <w:rFonts w:eastAsia="Times New Roman"/>
          <w:color w:val="000000" w:themeColor="text1"/>
        </w:rPr>
        <w:t>-</w:t>
      </w:r>
      <w:r w:rsidRPr="00244161">
        <w:rPr>
          <w:rFonts w:eastAsia="Times New Roman"/>
          <w:color w:val="000000" w:themeColor="text1"/>
        </w:rPr>
        <w:t>return by splitting funds between the risk</w:t>
      </w:r>
      <w:r w:rsidR="3CB00BA7" w:rsidRPr="00244161">
        <w:rPr>
          <w:rFonts w:eastAsia="Times New Roman"/>
          <w:color w:val="000000" w:themeColor="text1"/>
        </w:rPr>
        <w:t>-</w:t>
      </w:r>
      <w:r w:rsidRPr="00244161">
        <w:rPr>
          <w:rFonts w:eastAsia="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color w:val="000000" w:themeColor="text1"/>
        </w:rPr>
        <w:t>-</w:t>
      </w:r>
      <w:r w:rsidRPr="00244161">
        <w:rPr>
          <w:rFonts w:eastAsia="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w:t>
      </w:r>
      <w:r w:rsidR="6FE3A5EF" w:rsidRPr="00244161">
        <w:rPr>
          <w:rFonts w:eastAsia="Times New Roman"/>
          <w:color w:val="000000" w:themeColor="text1"/>
        </w:rPr>
        <w:t>optimization</w:t>
      </w:r>
      <w:r w:rsidRPr="00244161">
        <w:rPr>
          <w:rFonts w:eastAsia="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color w:val="000000" w:themeColor="text1"/>
        </w:rPr>
        <w:t>maximize</w:t>
      </w:r>
      <w:r w:rsidRPr="00244161">
        <w:rPr>
          <w:rFonts w:eastAsia="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color w:val="000000" w:themeColor="text1"/>
        </w:rPr>
        <w:t>volatility,</w:t>
      </w:r>
      <w:r w:rsidRPr="00244161">
        <w:rPr>
          <w:rFonts w:eastAsia="Times New Roman"/>
          <w:color w:val="000000" w:themeColor="text1"/>
        </w:rPr>
        <w:t xml:space="preserve"> and unpredictability of financial markets, and assists in meeting their unique financial goals (</w:t>
      </w:r>
      <w:proofErr w:type="spellStart"/>
      <w:r w:rsidRPr="00244161">
        <w:rPr>
          <w:rFonts w:eastAsia="Times New Roman"/>
          <w:color w:val="000000" w:themeColor="text1"/>
        </w:rPr>
        <w:t>Nahari</w:t>
      </w:r>
      <w:proofErr w:type="spellEnd"/>
      <w:r w:rsidRPr="00244161">
        <w:rPr>
          <w:rFonts w:eastAsia="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color w:val="000000" w:themeColor="text1"/>
        </w:rPr>
        <w:lastRenderedPageBreak/>
        <w:t>that allow for a more sophisticated analysis of correlated risk (</w:t>
      </w:r>
      <w:proofErr w:type="spellStart"/>
      <w:r w:rsidRPr="00244161">
        <w:rPr>
          <w:rFonts w:eastAsia="Times New Roman"/>
          <w:color w:val="000000" w:themeColor="text1"/>
        </w:rPr>
        <w:t>Senescall</w:t>
      </w:r>
      <w:proofErr w:type="spellEnd"/>
      <w:r w:rsidRPr="00244161">
        <w:rPr>
          <w:rFonts w:eastAsia="Times New Roman"/>
          <w:color w:val="000000" w:themeColor="text1"/>
        </w:rPr>
        <w:t xml:space="preserve"> &amp; Low, 2024). Optimization models provide a structure for an investor's decision</w:t>
      </w:r>
      <w:r w:rsidR="3CB00BA7" w:rsidRPr="00244161">
        <w:rPr>
          <w:rFonts w:eastAsia="Times New Roman"/>
          <w:color w:val="000000" w:themeColor="text1"/>
        </w:rPr>
        <w:t>-</w:t>
      </w:r>
      <w:r w:rsidRPr="00244161">
        <w:rPr>
          <w:rFonts w:eastAsia="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color w:val="000000" w:themeColor="text1"/>
        </w:rPr>
        <w:t>Tjiwidjaja</w:t>
      </w:r>
      <w:proofErr w:type="spellEnd"/>
      <w:r w:rsidRPr="00244161">
        <w:rPr>
          <w:rFonts w:eastAsia="Times New Roman"/>
          <w:color w:val="000000" w:themeColor="text1"/>
        </w:rPr>
        <w:t>, 2025).</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mean</w:t>
      </w:r>
      <w:r w:rsidR="3CB00BA7" w:rsidRPr="00244161">
        <w:rPr>
          <w:rFonts w:eastAsia="Times New Roman"/>
          <w:color w:val="000000" w:themeColor="text1"/>
        </w:rPr>
        <w:t>-</w:t>
      </w:r>
      <w:r w:rsidRPr="00244161">
        <w:rPr>
          <w:rFonts w:eastAsia="Times New Roman"/>
          <w:color w:val="000000" w:themeColor="text1"/>
        </w:rPr>
        <w:t xml:space="preserve">variance model introduced by Harry </w:t>
      </w:r>
      <w:r w:rsidR="046D6FE9" w:rsidRPr="00244161">
        <w:rPr>
          <w:rFonts w:eastAsia="Times New Roman"/>
          <w:color w:val="000000" w:themeColor="text1"/>
        </w:rPr>
        <w:t>Markowitz (</w:t>
      </w:r>
      <w:r w:rsidRPr="00244161">
        <w:rPr>
          <w:rFonts w:eastAsia="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His foundational contributions laid the foundations for the modern portfolio theory (</w:t>
      </w:r>
      <w:proofErr w:type="spellStart"/>
      <w:r w:rsidRPr="00244161">
        <w:rPr>
          <w:rFonts w:eastAsia="Times New Roman"/>
          <w:color w:val="000000" w:themeColor="text1"/>
        </w:rPr>
        <w:t>Mba</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color w:val="000000" w:themeColor="text1"/>
        </w:rPr>
        <w:t>-</w:t>
      </w:r>
      <w:r w:rsidRPr="00244161">
        <w:rPr>
          <w:rFonts w:eastAsia="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color w:val="000000" w:themeColor="text1"/>
        </w:rPr>
        <w:t>investors'</w:t>
      </w:r>
      <w:r w:rsidRPr="00244161">
        <w:rPr>
          <w:rFonts w:eastAsia="Times New Roman"/>
          <w:color w:val="000000" w:themeColor="text1"/>
        </w:rPr>
        <w:t xml:space="preserve"> expectations, investors' decisions based solely on expected returns and variances, exhibiting rational risk</w:t>
      </w:r>
      <w:r w:rsidR="3CB00BA7" w:rsidRPr="00244161">
        <w:rPr>
          <w:rFonts w:eastAsia="Times New Roman"/>
          <w:color w:val="000000" w:themeColor="text1"/>
        </w:rPr>
        <w:t>-</w:t>
      </w:r>
      <w:r w:rsidRPr="00244161">
        <w:rPr>
          <w:rFonts w:eastAsia="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While Markowitz’s mean</w:t>
      </w:r>
      <w:r w:rsidR="3CB00BA7" w:rsidRPr="00244161">
        <w:rPr>
          <w:rFonts w:eastAsia="Times New Roman"/>
          <w:color w:val="000000" w:themeColor="text1"/>
        </w:rPr>
        <w:t>-</w:t>
      </w:r>
      <w:r w:rsidRPr="00244161">
        <w:rPr>
          <w:rFonts w:eastAsia="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i/>
          <w:iCs/>
          <w:color w:val="000000" w:themeColor="text1"/>
        </w:rPr>
        <w:t>et al.,</w:t>
      </w:r>
      <w:r w:rsidRPr="00244161">
        <w:rPr>
          <w:rFonts w:eastAsia="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w:t>
      </w:r>
      <w:r w:rsidRPr="00244161">
        <w:rPr>
          <w:rFonts w:eastAsia="Times New Roman"/>
          <w:i/>
          <w:iCs/>
          <w:color w:val="000000" w:themeColor="text1"/>
        </w:rPr>
        <w:t>)</w:t>
      </w:r>
      <w:r w:rsidRPr="00244161">
        <w:rPr>
          <w:rFonts w:eastAsia="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i/>
          <w:iCs/>
          <w:color w:val="000000" w:themeColor="text1"/>
        </w:rPr>
        <w:t>et al.,</w:t>
      </w:r>
      <w:r w:rsidRPr="00244161">
        <w:rPr>
          <w:rFonts w:eastAsia="Times New Roman"/>
          <w:color w:val="000000" w:themeColor="text1"/>
        </w:rPr>
        <w:t xml:space="preserve"> 2024). This shows that the mean</w:t>
      </w:r>
      <w:r w:rsidR="3CB00BA7" w:rsidRPr="00244161">
        <w:rPr>
          <w:rFonts w:eastAsia="Times New Roman"/>
          <w:color w:val="000000" w:themeColor="text1"/>
        </w:rPr>
        <w:t>-</w:t>
      </w:r>
      <w:r w:rsidRPr="00244161">
        <w:rPr>
          <w:rFonts w:eastAsia="Times New Roman"/>
          <w:color w:val="000000" w:themeColor="text1"/>
        </w:rPr>
        <w:t xml:space="preserve">variance model doesn't truly perceive the </w:t>
      </w:r>
      <w:r w:rsidR="23513D7A" w:rsidRPr="00244161">
        <w:rPr>
          <w:rFonts w:eastAsia="Times New Roman"/>
          <w:color w:val="000000" w:themeColor="text1"/>
        </w:rPr>
        <w:t>investors'</w:t>
      </w:r>
      <w:r w:rsidRPr="00244161">
        <w:rPr>
          <w:rFonts w:eastAsia="Times New Roman"/>
          <w:color w:val="000000" w:themeColor="text1"/>
        </w:rPr>
        <w:t xml:space="preserve"> perception of risk.</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Due to the limitations of the mean and variance approach, other risk measures like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emerged.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color w:val="000000" w:themeColor="text1"/>
        </w:rPr>
        <w:t>Leccadito</w:t>
      </w:r>
      <w:proofErr w:type="spellEnd"/>
      <w:r w:rsidRPr="00244161">
        <w:rPr>
          <w:rFonts w:eastAsia="Times New Roman"/>
          <w:color w:val="000000" w:themeColor="text1"/>
        </w:rPr>
        <w:t xml:space="preserve"> et al., 2024).</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lastRenderedPageBreak/>
        <w:t>beyond the traditional measures thereby aiding investors in the construction of a more robust portfolio (Fan, 2025).</w:t>
      </w:r>
    </w:p>
    <w:p w:rsidR="3C49F491" w:rsidRPr="00244161" w:rsidRDefault="6B591443" w:rsidP="00B61C71">
      <w:pPr>
        <w:spacing w:after="0" w:line="480" w:lineRule="auto"/>
        <w:ind w:firstLine="720"/>
        <w:jc w:val="both"/>
        <w:rPr>
          <w:rFonts w:eastAsia="Times New Roman"/>
          <w:color w:val="000000" w:themeColor="text1"/>
        </w:rPr>
      </w:pPr>
      <w: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w:t>
      </w:r>
      <w:r w:rsidRPr="00244161">
        <w:lastRenderedPageBreak/>
        <w:t>to increased precision and profits in stock market investments (Fan, 2025; Ashrafzadeh et al., 2025; 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ind w:firstLine="720"/>
        <w:jc w:val="both"/>
        <w:rPr>
          <w:rFonts w:eastAsia="Times New Roman"/>
          <w:color w:val="000000" w:themeColor="text1"/>
        </w:rPr>
      </w:pPr>
      <w:r w:rsidRPr="00244161">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w:t>
      </w:r>
      <w:r w:rsidRPr="00244161">
        <w:lastRenderedPageBreak/>
        <w:t xml:space="preserve">potential for improvement within portfolio and risk management decisions in volatile markets and 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1.2 Statement of the Research Problem</w:t>
      </w:r>
    </w:p>
    <w:p w:rsidR="3C49F491" w:rsidRPr="00244161" w:rsidRDefault="6B591443" w:rsidP="00B61C71">
      <w:pPr>
        <w:spacing w:after="0" w:line="480" w:lineRule="auto"/>
        <w:ind w:firstLine="720"/>
        <w:jc w:val="both"/>
        <w:rPr>
          <w:rFonts w:eastAsia="Times New Roman"/>
          <w:color w:val="000000" w:themeColor="text1"/>
        </w:rPr>
      </w:pPr>
      <w: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color w:val="000000" w:themeColor="text1"/>
        </w:rPr>
        <w:t>Espiga</w:t>
      </w:r>
      <w:r w:rsidR="3CB00BA7" w:rsidRPr="00244161">
        <w:rPr>
          <w:rFonts w:eastAsia="Times New Roman"/>
          <w:color w:val="000000" w:themeColor="text1"/>
        </w:rPr>
        <w:t>-</w:t>
      </w:r>
      <w:r w:rsidRPr="00244161">
        <w:rPr>
          <w:rFonts w:eastAsia="Times New Roman"/>
          <w:color w:val="000000" w:themeColor="text1"/>
        </w:rPr>
        <w:t>Fernández</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This is done by allocating capital across multiple assets, balancing correlations and individual assets risk </w:t>
      </w:r>
      <w:r w:rsidR="7D460ACF" w:rsidRPr="00244161">
        <w:rPr>
          <w:rFonts w:eastAsia="Times New Roman"/>
          <w:color w:val="000000" w:themeColor="text1"/>
        </w:rPr>
        <w:t>to</w:t>
      </w:r>
      <w:r w:rsidRPr="00244161">
        <w:rPr>
          <w:rFonts w:eastAsia="Times New Roman"/>
          <w:color w:val="000000" w:themeColor="text1"/>
        </w:rPr>
        <w:t xml:space="preserve"> achieve an efficient portfolio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By combining uncorrelated assets, investors could diversify away all unsystematic risk potentially </w:t>
      </w:r>
      <w:r w:rsidRPr="00244161">
        <w:rPr>
          <w:rFonts w:eastAsia="Times New Roman"/>
          <w:color w:val="000000" w:themeColor="text1"/>
        </w:rPr>
        <w:lastRenderedPageBreak/>
        <w:t>improving risk</w:t>
      </w:r>
      <w:r w:rsidR="3CB00BA7" w:rsidRPr="00244161">
        <w:rPr>
          <w:rFonts w:eastAsia="Times New Roman"/>
          <w:color w:val="000000" w:themeColor="text1"/>
        </w:rPr>
        <w:t>-</w:t>
      </w:r>
      <w:r w:rsidRPr="00244161">
        <w:rPr>
          <w:rFonts w:eastAsia="Times New Roman"/>
          <w:color w:val="000000" w:themeColor="text1"/>
        </w:rPr>
        <w:t>adjusted returns (</w:t>
      </w:r>
      <w:proofErr w:type="spellStart"/>
      <w:r w:rsidRPr="00244161">
        <w:rPr>
          <w:rFonts w:eastAsia="Times New Roman"/>
          <w:color w:val="000000" w:themeColor="text1"/>
        </w:rPr>
        <w:t>Zaimovic</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w:t>
      </w:r>
      <w:r w:rsidRPr="00244161">
        <w:rPr>
          <w:rFonts w:eastAsia="Times New Roman"/>
          <w:i/>
          <w:iCs/>
          <w:color w:val="000000" w:themeColor="text1"/>
        </w:rPr>
        <w:t>et al.,</w:t>
      </w:r>
      <w:r w:rsidRPr="00244161">
        <w:rPr>
          <w:rFonts w:eastAsia="Times New Roman"/>
          <w:color w:val="000000" w:themeColor="text1"/>
        </w:rPr>
        <w:t xml:space="preserve"> 2025). However, </w:t>
      </w:r>
      <w:proofErr w:type="spellStart"/>
      <w:r w:rsidRPr="00244161">
        <w:rPr>
          <w:rFonts w:eastAsia="Times New Roman"/>
          <w:color w:val="000000" w:themeColor="text1"/>
        </w:rPr>
        <w:t>misestimation</w:t>
      </w:r>
      <w:proofErr w:type="spellEnd"/>
      <w:r w:rsidRPr="00244161">
        <w:rPr>
          <w:rFonts w:eastAsia="Times New Roman"/>
          <w:color w:val="000000" w:themeColor="text1"/>
        </w:rPr>
        <w:t xml:space="preserve"> of these inputs can distort the portfolio's risk</w:t>
      </w:r>
      <w:r w:rsidR="3CB00BA7" w:rsidRPr="00244161">
        <w:rPr>
          <w:rFonts w:eastAsia="Times New Roman"/>
          <w:color w:val="000000" w:themeColor="text1"/>
        </w:rPr>
        <w:t>-</w:t>
      </w:r>
      <w:r w:rsidRPr="00244161">
        <w:rPr>
          <w:rFonts w:eastAsia="Times New Roman"/>
          <w:color w:val="000000" w:themeColor="text1"/>
        </w:rPr>
        <w:t xml:space="preserve">return profile and investment outcomes (Job, 2022; Wang </w:t>
      </w:r>
      <w:r w:rsidRPr="00244161">
        <w:rPr>
          <w:rFonts w:eastAsia="Times New Roman"/>
          <w:i/>
          <w:iCs/>
          <w:color w:val="000000" w:themeColor="text1"/>
        </w:rPr>
        <w:t>et al.,</w:t>
      </w:r>
      <w:r w:rsidRPr="00244161">
        <w:rPr>
          <w:rFonts w:eastAsia="Times New Roman"/>
          <w:color w:val="000000" w:themeColor="text1"/>
        </w:rPr>
        <w:t xml:space="preserve"> 2024;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w:t>
      </w:r>
      <w:r w:rsidRPr="00244161">
        <w:rPr>
          <w:rFonts w:eastAsia="Times New Roman"/>
          <w:i/>
          <w:iCs/>
          <w:color w:val="000000" w:themeColor="text1"/>
        </w:rPr>
        <w:t xml:space="preserve">et al., </w:t>
      </w:r>
      <w:r w:rsidRPr="00244161">
        <w:rPr>
          <w:rFonts w:eastAsia="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ind w:firstLine="720"/>
        <w:jc w:val="both"/>
        <w:rPr>
          <w:rFonts w:eastAsia="Times New Roman"/>
          <w:color w:val="000000" w:themeColor="text1"/>
        </w:rPr>
      </w:pPr>
      <w:r w:rsidRPr="00244161">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Portfolio optimization failures are primarily driven by poor estimation of risk and returns. Studies have criticised the mean-variance optimization model for estimation errors in the expected </w:t>
      </w:r>
      <w:r w:rsidRPr="00244161">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ind w:firstLine="720"/>
        <w:jc w:val="both"/>
        <w:rPr>
          <w:rFonts w:eastAsia="Times New Roman"/>
          <w:color w:val="000000" w:themeColor="text1"/>
        </w:rPr>
      </w:pPr>
      <w:r w:rsidRPr="00244161">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using classical frameworks </w:t>
      </w:r>
      <w:r w:rsidR="65CA31DB" w:rsidRPr="00244161">
        <w:rPr>
          <w:rFonts w:eastAsia="Times New Roman"/>
          <w:color w:val="000000" w:themeColor="text1"/>
        </w:rPr>
        <w:t>has</w:t>
      </w:r>
      <w:r w:rsidRPr="00244161">
        <w:rPr>
          <w:rFonts w:eastAsia="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color w:val="000000" w:themeColor="text1"/>
        </w:rPr>
        <w:t>-</w:t>
      </w:r>
      <w:r w:rsidRPr="00244161">
        <w:rPr>
          <w:rFonts w:eastAsia="Times New Roman"/>
          <w:color w:val="000000" w:themeColor="text1"/>
        </w:rPr>
        <w:t>based losses and do not sufficiently account for the magnitude of losses in the tail of the return distribution.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proposed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color w:val="000000" w:themeColor="text1"/>
        </w:rPr>
        <w:t>With</w:t>
      </w:r>
      <w:r w:rsidRPr="00244161">
        <w:rPr>
          <w:rFonts w:eastAsia="Times New Roman"/>
          <w:color w:val="000000" w:themeColor="text1"/>
        </w:rPr>
        <w:t xml:space="preserve"> this measure of tail</w:t>
      </w:r>
      <w:r w:rsidR="3CB00BA7" w:rsidRPr="00244161">
        <w:rPr>
          <w:rFonts w:eastAsia="Times New Roman"/>
          <w:color w:val="000000" w:themeColor="text1"/>
        </w:rPr>
        <w:t>-</w:t>
      </w:r>
      <w:r w:rsidRPr="00244161">
        <w:rPr>
          <w:rFonts w:eastAsia="Times New Roman"/>
          <w:color w:val="000000" w:themeColor="text1"/>
        </w:rPr>
        <w:t xml:space="preserve">risk rather than variance, it has been shown to be more robust than </w:t>
      </w:r>
      <w:r w:rsidRPr="00244161">
        <w:rPr>
          <w:rFonts w:eastAsia="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is essentially depends on how well </w:t>
      </w:r>
      <w:r w:rsidR="4CF19147" w:rsidRPr="00244161">
        <w:rPr>
          <w:rFonts w:eastAsia="Times New Roman"/>
          <w:color w:val="000000" w:themeColor="text1"/>
        </w:rPr>
        <w:t>input</w:t>
      </w:r>
      <w:r w:rsidRPr="00244161">
        <w:rPr>
          <w:rFonts w:eastAsia="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color w:val="000000" w:themeColor="text1"/>
        </w:rPr>
        <w:t>-</w:t>
      </w:r>
      <w:r w:rsidRPr="00244161">
        <w:rPr>
          <w:rFonts w:eastAsia="Times New Roman"/>
          <w:color w:val="000000" w:themeColor="text1"/>
        </w:rPr>
        <w:t>tailed distributions. This indicates an important need for a hybrid combination of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optimization and forward</w:t>
      </w:r>
      <w:r w:rsidR="3CB00BA7" w:rsidRPr="00244161">
        <w:rPr>
          <w:rFonts w:eastAsia="Times New Roman"/>
          <w:color w:val="000000" w:themeColor="text1"/>
        </w:rPr>
        <w:t>-</w:t>
      </w:r>
      <w:r w:rsidRPr="00244161">
        <w:rPr>
          <w:rFonts w:eastAsia="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study aims to answer the following questions:</w:t>
      </w:r>
    </w:p>
    <w:p w:rsidR="3C49F491" w:rsidRPr="00244161" w:rsidRDefault="6B591443" w:rsidP="007C7841">
      <w:pPr>
        <w:pStyle w:val="ListParagraph"/>
        <w:spacing w:after="0" w:line="480" w:lineRule="auto"/>
        <w:ind w:firstLine="720"/>
        <w:jc w:val="both"/>
        <w:rPr>
          <w:rFonts w:eastAsia="Times New Roman"/>
          <w:color w:val="000000" w:themeColor="text1"/>
        </w:rPr>
      </w:pPr>
      <w: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after="0" w:line="480" w:lineRule="auto"/>
        <w:ind w:firstLine="720"/>
        <w:jc w:val="both"/>
        <w:rPr>
          <w:rFonts w:eastAsia="Times New Roman"/>
          <w:color w:val="000000" w:themeColor="text1"/>
        </w:rPr>
      </w:pPr>
      <w: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after="0" w:line="480" w:lineRule="auto"/>
        <w:ind w:firstLine="720"/>
        <w:jc w:val="both"/>
        <w:rPr>
          <w:rFonts w:eastAsia="Times New Roman"/>
          <w:color w:val="000000" w:themeColor="text1"/>
        </w:rPr>
      </w:pPr>
      <w: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ind w:firstLine="720"/>
        <w:jc w:val="both"/>
        <w:rPr>
          <w:rFonts w:eastAsia="Times New Roman"/>
          <w:color w:val="000000" w:themeColor="text1"/>
        </w:rPr>
      </w:pPr>
      <w: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after="0" w:line="480" w:lineRule="auto"/>
        <w:ind w:firstLine="720"/>
        <w:jc w:val="both"/>
        <w:rPr>
          <w:rFonts w:eastAsia="Times New Roman"/>
          <w:color w:val="000000" w:themeColor="text1"/>
        </w:rPr>
      </w:pPr>
      <w: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after="0" w:line="480" w:lineRule="auto"/>
        <w:ind w:firstLine="720"/>
        <w:jc w:val="both"/>
        <w:rPr>
          <w:rFonts w:eastAsia="Times New Roman"/>
          <w:color w:val="000000" w:themeColor="text1"/>
        </w:rPr>
      </w:pPr>
      <w: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after="0" w:line="480" w:lineRule="auto"/>
        <w:ind w:firstLine="720"/>
        <w:jc w:val="both"/>
        <w:rPr>
          <w:rFonts w:eastAsia="Times New Roman"/>
          <w:color w:val="000000" w:themeColor="text1"/>
        </w:rPr>
      </w:pPr>
      <w: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ind w:firstLine="720"/>
        <w:jc w:val="both"/>
        <w:rPr>
          <w:rFonts w:eastAsia="Times New Roman"/>
          <w:color w:val="000000" w:themeColor="text1"/>
        </w:rPr>
      </w:pPr>
      <w:r w:rsidRPr="00244161">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w:t>
      </w:r>
      <w:r w:rsidRPr="00244161">
        <w:lastRenderedPageBreak/>
        <w:t>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poor risk allocation under flawed variance assumptions leads to substantial real economic losses and suboptimal capital allocation.</w:t>
      </w:r>
    </w:p>
    <w:p w:rsidR="3C49F491" w:rsidRPr="00244161" w:rsidRDefault="6B591443" w:rsidP="00B61C71">
      <w:pPr>
        <w:spacing w:after="0" w:line="480" w:lineRule="auto"/>
        <w:ind w:firstLine="720"/>
        <w:jc w:val="both"/>
        <w:rPr>
          <w:rFonts w:eastAsia="Times New Roman"/>
          <w:color w:val="000000" w:themeColor="text1"/>
        </w:rPr>
      </w:pPr>
      <w:r>
        <w:t xml:space="preserve">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w:t>
      </w:r>
      <w:r>
        <w:lastRenderedPageBreak/>
        <w:t>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ind w:firstLine="720"/>
        <w:jc w:val="both"/>
        <w:rPr>
          <w:rFonts w:eastAsia="Times New Roman"/>
          <w:color w:val="000000" w:themeColor="text1"/>
        </w:rPr>
      </w:pPr>
      <w:r w:rsidRPr="00244161">
        <w:t>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ind w:firstLine="720"/>
        <w:jc w:val="both"/>
        <w:rPr>
          <w:rFonts w:eastAsia="Times New Roman"/>
          <w:color w:val="000000" w:themeColor="text1"/>
        </w:rPr>
      </w:pPr>
      <w:r w:rsidRPr="00244161">
        <w:t>This integrated research framework delivers substantive practical, economic, and policy benefits to these stakeholders across three primary dimensions:</w:t>
      </w:r>
    </w:p>
    <w:p w:rsidR="3C49F491" w:rsidRPr="00244161" w:rsidRDefault="6B591443" w:rsidP="00B61C71">
      <w:pPr>
        <w:spacing w:after="0" w:line="480" w:lineRule="auto"/>
        <w:ind w:firstLine="720"/>
        <w:jc w:val="both"/>
        <w:rPr>
          <w:rFonts w:eastAsia="Times New Roman"/>
          <w:color w:val="000000" w:themeColor="text1"/>
        </w:rPr>
      </w:pPr>
      <w: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w:t>
      </w:r>
      <w:r>
        <w:lastRenderedPageBreak/>
        <w:t>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ind w:firstLine="720"/>
        <w:jc w:val="both"/>
        <w:rPr>
          <w:rFonts w:eastAsia="Times New Roman"/>
          <w:color w:val="000000" w:themeColor="text1"/>
        </w:rPr>
      </w:pPr>
      <w: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research will examine the current literature regarding equity return forecasting and tail</w:t>
      </w:r>
      <w:r w:rsidR="3CB00BA7" w:rsidRPr="00244161">
        <w:rPr>
          <w:rFonts w:eastAsia="Times New Roman"/>
          <w:color w:val="000000" w:themeColor="text1"/>
        </w:rPr>
        <w:t>-</w:t>
      </w:r>
      <w:r w:rsidRPr="00244161">
        <w:rPr>
          <w:rFonts w:eastAsia="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Understanding equity return forecasting and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optimization has become increasingly important in modern financial decision</w:t>
      </w:r>
      <w:r w:rsidR="3CB00BA7" w:rsidRPr="00244161">
        <w:rPr>
          <w:rFonts w:eastAsia="Times New Roman"/>
          <w:color w:val="000000" w:themeColor="text1"/>
        </w:rPr>
        <w:t>-</w:t>
      </w:r>
      <w:r w:rsidRPr="00244161">
        <w:rPr>
          <w:rFonts w:eastAsia="Times New Roman"/>
          <w:color w:val="000000" w:themeColor="text1"/>
        </w:rPr>
        <w:t>making due to rising market volatility and uncertainty. Forecasting improves the accuracy of return estimates while tail</w:t>
      </w:r>
      <w:r w:rsidR="3CB00BA7" w:rsidRPr="00244161">
        <w:rPr>
          <w:rFonts w:eastAsia="Times New Roman"/>
          <w:color w:val="000000" w:themeColor="text1"/>
        </w:rPr>
        <w:t>-</w:t>
      </w:r>
      <w:r w:rsidRPr="00244161">
        <w:rPr>
          <w:rFonts w:eastAsia="Times New Roman"/>
          <w:color w:val="000000" w:themeColor="text1"/>
        </w:rPr>
        <w:t xml:space="preserve">risk enhances </w:t>
      </w:r>
      <w:r w:rsidR="7EA46923" w:rsidRPr="00244161">
        <w:rPr>
          <w:rFonts w:eastAsia="Times New Roman"/>
          <w:color w:val="000000" w:themeColor="text1"/>
        </w:rPr>
        <w:t>portfolio</w:t>
      </w:r>
      <w:r w:rsidRPr="00244161">
        <w:rPr>
          <w:rFonts w:eastAsia="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color w:val="000000" w:themeColor="text1"/>
        </w:rPr>
        <w:t>to</w:t>
      </w:r>
      <w:r w:rsidRPr="00244161">
        <w:rPr>
          <w:rFonts w:eastAsia="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color w:val="000000" w:themeColor="text1"/>
        </w:rPr>
        <w:t>to</w:t>
      </w:r>
      <w:r w:rsidRPr="00244161">
        <w:rPr>
          <w:rFonts w:eastAsia="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color w:val="000000" w:themeColor="text1"/>
        </w:rPr>
        <w:t>-</w:t>
      </w:r>
      <w:r w:rsidRPr="00244161">
        <w:rPr>
          <w:rFonts w:eastAsia="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color w:val="000000" w:themeColor="text1"/>
        </w:rPr>
        <w:t>Salo</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Building from portfolio optimization, an efficient allocation principle is necessary as it focuses on how resources should be distributed across assets to achieve the best possible balance </w:t>
      </w:r>
      <w:r w:rsidRPr="00244161">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As a result of modern advances in technology and market complexities </w:t>
      </w:r>
      <w:r w:rsidR="3CB00BA7" w:rsidRPr="00244161">
        <w:rPr>
          <w:rFonts w:eastAsia="Times New Roman"/>
          <w:color w:val="000000" w:themeColor="text1"/>
        </w:rPr>
        <w:t>-</w:t>
      </w:r>
      <w:r w:rsidRPr="00244161">
        <w:rPr>
          <w:rFonts w:eastAsia="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color w:val="000000" w:themeColor="text1"/>
        </w:rPr>
        <w:t>-</w:t>
      </w:r>
      <w:r w:rsidRPr="00244161">
        <w:rPr>
          <w:rFonts w:eastAsia="Times New Roman"/>
          <w:color w:val="000000" w:themeColor="text1"/>
        </w:rPr>
        <w:t xml:space="preserve"> mean</w:t>
      </w:r>
      <w:r w:rsidR="3CB00BA7" w:rsidRPr="00244161">
        <w:rPr>
          <w:rFonts w:eastAsia="Times New Roman"/>
          <w:color w:val="000000" w:themeColor="text1"/>
        </w:rPr>
        <w:t>-</w:t>
      </w:r>
      <w:r w:rsidRPr="00244161">
        <w:rPr>
          <w:rFonts w:eastAsia="Times New Roman"/>
          <w:color w:val="000000" w:themeColor="text1"/>
        </w:rPr>
        <w:t>variance model, black</w:t>
      </w:r>
      <w:r w:rsidR="3CB00BA7" w:rsidRPr="00244161">
        <w:rPr>
          <w:rFonts w:eastAsia="Times New Roman"/>
          <w:color w:val="000000" w:themeColor="text1"/>
        </w:rPr>
        <w:t>-</w:t>
      </w:r>
      <w:proofErr w:type="spellStart"/>
      <w:r w:rsidRPr="00244161">
        <w:rPr>
          <w:rFonts w:eastAsia="Times New Roman"/>
          <w:color w:val="000000" w:themeColor="text1"/>
        </w:rPr>
        <w:t>litterman</w:t>
      </w:r>
      <w:proofErr w:type="spellEnd"/>
      <w:r w:rsidRPr="00244161">
        <w:rPr>
          <w:rFonts w:eastAsia="Times New Roman"/>
          <w:color w:val="000000" w:themeColor="text1"/>
        </w:rPr>
        <w:t xml:space="preserve"> model and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2.1.2 Tail</w:t>
      </w:r>
      <w:r w:rsidR="3CB00BA7" w:rsidRPr="00244161">
        <w:rPr>
          <w:rFonts w:eastAsia="Times New Roman"/>
          <w:b/>
          <w:bCs/>
          <w:color w:val="000000" w:themeColor="text1"/>
        </w:rPr>
        <w:t>-</w:t>
      </w:r>
      <w:r w:rsidRPr="00244161">
        <w:rPr>
          <w:rFonts w:eastAsia="Times New Roman"/>
          <w:b/>
          <w:bCs/>
          <w:color w:val="000000" w:themeColor="text1"/>
        </w:rPr>
        <w:t>Risk</w:t>
      </w:r>
      <w:r w:rsidR="3CB00BA7" w:rsidRPr="00244161">
        <w:rPr>
          <w:rFonts w:eastAsia="Times New Roman"/>
          <w:b/>
          <w:bCs/>
          <w:color w:val="000000" w:themeColor="text1"/>
        </w:rPr>
        <w:t>-</w:t>
      </w:r>
      <w:r w:rsidRPr="00244161">
        <w:rPr>
          <w:rFonts w:eastAsia="Times New Roman"/>
          <w:b/>
          <w:bCs/>
          <w:color w:val="000000" w:themeColor="text1"/>
        </w:rPr>
        <w:t>Aware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2002;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color w:val="000000" w:themeColor="text1"/>
        </w:rPr>
        <w:t>Alim</w:t>
      </w:r>
      <w:proofErr w:type="spellEnd"/>
      <w:r w:rsidRPr="00244161">
        <w:rPr>
          <w:rFonts w:eastAsia="Times New Roman"/>
          <w:color w:val="000000" w:themeColor="text1"/>
        </w:rPr>
        <w:t xml:space="preserve"> et al., 2024; Bali et al., 2007). </w:t>
      </w:r>
    </w:p>
    <w:p w:rsidR="2799037F" w:rsidRPr="00244161" w:rsidRDefault="36B93CDD" w:rsidP="00B61C71">
      <w:pPr>
        <w:spacing w:after="0" w:line="480" w:lineRule="auto"/>
        <w:ind w:firstLine="720"/>
        <w:jc w:val="both"/>
        <w:rPr>
          <w:rFonts w:eastAsia="Times New Roman"/>
          <w:color w:val="000000" w:themeColor="text1"/>
        </w:rPr>
      </w:pPr>
      <w:r>
        <w:lastRenderedPageBreak/>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ind w:firstLine="720"/>
        <w:jc w:val="both"/>
        <w:rPr>
          <w:rFonts w:eastAsia="Times New Roman"/>
          <w:color w:val="000000" w:themeColor="text1"/>
        </w:rPr>
      </w:pPr>
      <w:r w:rsidRPr="00244161">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2.1.3 Equity Return Forecasting</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color w:val="000000" w:themeColor="text1"/>
        </w:rPr>
        <w:t>-</w:t>
      </w:r>
      <w:r w:rsidRPr="00244161">
        <w:rPr>
          <w:rFonts w:eastAsia="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color w:val="000000" w:themeColor="text1"/>
        </w:rPr>
        <w:t>-</w:t>
      </w:r>
      <w:r w:rsidRPr="00244161">
        <w:rPr>
          <w:rFonts w:eastAsia="Times New Roman"/>
          <w:color w:val="000000" w:themeColor="text1"/>
        </w:rPr>
        <w:t>linear correlations, and volatility clustering that can be modeled to generate abnormal returns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2.1.4 Machine Learning in Financial Forecasting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color w:val="000000" w:themeColor="text1"/>
        </w:rPr>
        <w:t>Heteroskedasticity</w:t>
      </w:r>
      <w:proofErr w:type="spellEnd"/>
      <w:r w:rsidRPr="00244161">
        <w:rPr>
          <w:rFonts w:eastAsia="Times New Roman"/>
          <w:color w:val="000000" w:themeColor="text1"/>
        </w:rPr>
        <w:t xml:space="preserve"> (GARCH) have </w:t>
      </w:r>
      <w:r w:rsidRPr="00244161">
        <w:rPr>
          <w:rFonts w:eastAsia="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color w:val="000000" w:themeColor="text1"/>
        </w:rPr>
        <w:t>-</w:t>
      </w:r>
      <w:r w:rsidRPr="00244161">
        <w:rPr>
          <w:rFonts w:eastAsia="Times New Roman"/>
          <w:color w:val="000000" w:themeColor="text1"/>
        </w:rPr>
        <w:t xml:space="preserve">linear nature of stock market volatility (San, 2025; </w:t>
      </w:r>
      <w:proofErr w:type="spellStart"/>
      <w:r w:rsidRPr="00244161">
        <w:rPr>
          <w:rFonts w:eastAsia="Times New Roman"/>
          <w:color w:val="000000" w:themeColor="text1"/>
        </w:rPr>
        <w:t>Ajiga</w:t>
      </w:r>
      <w:proofErr w:type="spellEnd"/>
      <w:r w:rsidRPr="00244161">
        <w:rPr>
          <w:rFonts w:eastAsia="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ind w:firstLine="720"/>
        <w:jc w:val="both"/>
        <w:rPr>
          <w:rFonts w:eastAsia="Times New Roman"/>
          <w:color w:val="000000" w:themeColor="text1"/>
        </w:rPr>
      </w:pPr>
      <w:r w:rsidRPr="00244161">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2.1.5 Nigerian Exchange Group (NGX) market characteristics </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xml:space="preserve">, 2025). </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fundamental characteristic of returns on the NGX is their significant deviation from the normal distribution. A stylized fact consistent with the Efficient Market Hypothesis (EMH) </w:t>
      </w:r>
      <w:r w:rsidRPr="00244161">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All these pose investment challenges to investments in Nigerian equities. Historical precedents, such as the 2014 oil price crash and the COVID</w:t>
      </w:r>
      <w:r w:rsidR="3CB00BA7" w:rsidRPr="00244161">
        <w:rPr>
          <w:rFonts w:eastAsia="Times New Roman"/>
          <w:color w:val="000000" w:themeColor="text1"/>
        </w:rPr>
        <w:t>-</w:t>
      </w:r>
      <w:r w:rsidRPr="00244161">
        <w:rPr>
          <w:rFonts w:eastAsia="Times New Roman"/>
          <w:color w:val="000000" w:themeColor="text1"/>
        </w:rPr>
        <w:t xml:space="preserve">19 pandemic, demonstrate how external crises can trigger severe market downturns, </w:t>
      </w:r>
      <w:r w:rsidR="563E7CB1" w:rsidRPr="00244161">
        <w:rPr>
          <w:rFonts w:eastAsia="Times New Roman"/>
          <w:color w:val="000000" w:themeColor="text1"/>
        </w:rPr>
        <w:t>disrupt</w:t>
      </w:r>
      <w:r w:rsidRPr="00244161">
        <w:rPr>
          <w:rFonts w:eastAsia="Times New Roman"/>
          <w:color w:val="000000" w:themeColor="text1"/>
        </w:rPr>
        <w:t xml:space="preserve"> market </w:t>
      </w:r>
      <w:r w:rsidR="3F73DB7A" w:rsidRPr="00244161">
        <w:rPr>
          <w:rFonts w:eastAsia="Times New Roman"/>
          <w:color w:val="000000" w:themeColor="text1"/>
        </w:rPr>
        <w:t>capitalization,</w:t>
      </w:r>
      <w:r w:rsidRPr="00244161">
        <w:rPr>
          <w:rFonts w:eastAsia="Times New Roman"/>
          <w:color w:val="000000" w:themeColor="text1"/>
        </w:rPr>
        <w:t xml:space="preserve"> and </w:t>
      </w:r>
      <w:r w:rsidR="3630184A" w:rsidRPr="00244161">
        <w:rPr>
          <w:rFonts w:eastAsia="Times New Roman"/>
          <w:color w:val="000000" w:themeColor="text1"/>
        </w:rPr>
        <w:t>erase</w:t>
      </w:r>
      <w:r w:rsidRPr="00244161">
        <w:rPr>
          <w:rFonts w:eastAsia="Times New Roman"/>
          <w:color w:val="000000" w:themeColor="text1"/>
        </w:rPr>
        <w:t xml:space="preserve"> investor wealth (</w:t>
      </w:r>
      <w:proofErr w:type="spellStart"/>
      <w:r w:rsidRPr="00244161">
        <w:rPr>
          <w:rFonts w:eastAsia="Times New Roman"/>
          <w:color w:val="000000" w:themeColor="text1"/>
        </w:rPr>
        <w:t>Fapetu</w:t>
      </w:r>
      <w:proofErr w:type="spellEnd"/>
      <w:r w:rsidRPr="00244161">
        <w:rPr>
          <w:rFonts w:eastAsia="Times New Roman"/>
          <w:color w:val="000000" w:themeColor="text1"/>
        </w:rPr>
        <w:t xml:space="preserve"> et al., 2021). Furthermore, the market is characterized by frequent structural breaks</w:t>
      </w:r>
      <w:r w:rsidR="3CB00BA7" w:rsidRPr="00244161">
        <w:rPr>
          <w:rFonts w:eastAsia="Times New Roman"/>
          <w:color w:val="000000" w:themeColor="text1"/>
        </w:rPr>
        <w:t>-</w:t>
      </w:r>
      <w:r w:rsidRPr="00244161">
        <w:rPr>
          <w:rFonts w:eastAsia="Times New Roman"/>
          <w:color w:val="000000" w:themeColor="text1"/>
        </w:rPr>
        <w:t>abrupt shifts in market regimes caused by policy changes or economic shocks</w:t>
      </w:r>
      <w:r w:rsidR="3CB00BA7" w:rsidRPr="00244161">
        <w:rPr>
          <w:rFonts w:eastAsia="Times New Roman"/>
          <w:color w:val="000000" w:themeColor="text1"/>
        </w:rPr>
        <w:t>-</w:t>
      </w:r>
      <w:r w:rsidRPr="00244161">
        <w:rPr>
          <w:rFonts w:eastAsia="Times New Roman"/>
          <w:color w:val="000000" w:themeColor="text1"/>
        </w:rPr>
        <w:t>which complicate the application of traditional linear forecasting models and necessitate adaptive risk management strategies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jc w:val="center"/>
        <w:rPr>
          <w:rFonts w:eastAsia="Times New Roman"/>
          <w:i/>
          <w:color w:val="000000" w:themeColor="text1"/>
        </w:rPr>
      </w:pPr>
      <w:r>
        <w:rPr>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2.2.1 Modern Portfolio Theory (MPT)</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color w:val="000000" w:themeColor="text1"/>
        </w:rPr>
        <w:t>Samaniego</w:t>
      </w:r>
      <w:proofErr w:type="spellEnd"/>
      <w:r w:rsidRPr="00244161">
        <w:rPr>
          <w:rFonts w:eastAsia="Times New Roman"/>
          <w:color w:val="000000" w:themeColor="text1"/>
        </w:rPr>
        <w:t xml:space="preserve"> </w:t>
      </w:r>
      <w:proofErr w:type="spellStart"/>
      <w:r w:rsidRPr="00244161">
        <w:rPr>
          <w:rFonts w:eastAsia="Times New Roman"/>
          <w:color w:val="000000" w:themeColor="text1"/>
        </w:rPr>
        <w:t>Alcántar</w:t>
      </w:r>
      <w:proofErr w:type="spellEnd"/>
      <w:r w:rsidRPr="00244161">
        <w:rPr>
          <w:rFonts w:eastAsia="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color w:val="000000" w:themeColor="text1"/>
        </w:rPr>
        <w:t>-</w:t>
      </w:r>
      <w:r w:rsidRPr="00244161">
        <w:rPr>
          <w:rFonts w:eastAsia="Times New Roman"/>
          <w:color w:val="000000" w:themeColor="text1"/>
        </w:rPr>
        <w:t>variance framework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color w:val="000000" w:themeColor="text1"/>
        </w:rPr>
        <w:t>-</w:t>
      </w:r>
      <w:r w:rsidRPr="00244161">
        <w:rPr>
          <w:rFonts w:eastAsia="Times New Roman"/>
          <w:color w:val="000000" w:themeColor="text1"/>
        </w:rPr>
        <w:t>return trade</w:t>
      </w:r>
      <w:r w:rsidR="3CB00BA7" w:rsidRPr="00244161">
        <w:rPr>
          <w:rFonts w:eastAsia="Times New Roman"/>
          <w:color w:val="000000" w:themeColor="text1"/>
        </w:rPr>
        <w:t>-</w:t>
      </w:r>
      <w:r w:rsidRPr="00244161">
        <w:rPr>
          <w:rFonts w:eastAsia="Times New Roman"/>
          <w:color w:val="000000" w:themeColor="text1"/>
        </w:rPr>
        <w:t>offs (</w:t>
      </w:r>
      <w:proofErr w:type="spellStart"/>
      <w:r w:rsidRPr="00244161">
        <w:rPr>
          <w:rFonts w:eastAsia="Times New Roman"/>
          <w:color w:val="000000" w:themeColor="text1"/>
        </w:rPr>
        <w:t>Bodnar</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Zsurkis</w:t>
      </w:r>
      <w:proofErr w:type="spellEnd"/>
      <w:r w:rsidRPr="00244161">
        <w:rPr>
          <w:rFonts w:eastAsia="Times New Roman"/>
          <w:color w:val="000000" w:themeColor="text1"/>
        </w:rPr>
        <w:t xml:space="preserve"> et al.,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ind w:firstLine="720"/>
        <w:jc w:val="both"/>
        <w:rPr>
          <w:rFonts w:eastAsia="Times New Roman"/>
          <w:color w:val="000000" w:themeColor="text1"/>
        </w:rPr>
      </w:pPr>
      <w:r w:rsidRPr="00244161">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lastRenderedPageBreak/>
        <w:t>2.2.2 Post Modern Portfolio Theory (PMPT)</w:t>
      </w:r>
    </w:p>
    <w:p w:rsidR="2799037F" w:rsidRPr="00244161" w:rsidRDefault="36B93CDD" w:rsidP="00B61C71">
      <w:pPr>
        <w:spacing w:after="0" w:line="480" w:lineRule="auto"/>
        <w:ind w:firstLine="720"/>
        <w:jc w:val="both"/>
        <w:rPr>
          <w:rFonts w:eastAsia="Times New Roman"/>
          <w:color w:val="000000" w:themeColor="text1"/>
        </w:rPr>
      </w:pPr>
      <w: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color w:val="000000" w:themeColor="text1"/>
        </w:rPr>
        <w:t>Mozumder</w:t>
      </w:r>
      <w:proofErr w:type="spellEnd"/>
      <w:r w:rsidRPr="00244161">
        <w:rPr>
          <w:rFonts w:eastAsia="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color w:val="000000" w:themeColor="text1"/>
        </w:rPr>
        <w:t>Adegboyo</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Sarwar</w:t>
      </w:r>
      <w:proofErr w:type="spellEnd"/>
      <w:r w:rsidRPr="00244161">
        <w:rPr>
          <w:rFonts w:eastAsia="Times New Roman"/>
          <w:color w:val="000000" w:themeColor="text1"/>
        </w:rPr>
        <w:t>, 2025). By moving away from standard deviation</w:t>
      </w:r>
      <w:r w:rsidR="3CB00BA7" w:rsidRPr="00244161">
        <w:rPr>
          <w:rFonts w:eastAsia="Times New Roman"/>
          <w:color w:val="000000" w:themeColor="text1"/>
        </w:rPr>
        <w:t>-</w:t>
      </w:r>
      <w:r w:rsidRPr="00244161">
        <w:rPr>
          <w:rFonts w:eastAsia="Times New Roman"/>
          <w:color w:val="000000" w:themeColor="text1"/>
        </w:rPr>
        <w:t>which penalizes upside potential just as much as downside loss</w:t>
      </w:r>
      <w:r w:rsidR="3CB00BA7" w:rsidRPr="00244161">
        <w:rPr>
          <w:rFonts w:eastAsia="Times New Roman"/>
          <w:color w:val="000000" w:themeColor="text1"/>
        </w:rPr>
        <w:t>-</w:t>
      </w:r>
      <w:r w:rsidRPr="00244161">
        <w:rPr>
          <w:rFonts w:eastAsia="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color w:val="000000" w:themeColor="text1"/>
        </w:rPr>
        <w:t>Chaweewanchon</w:t>
      </w:r>
      <w:proofErr w:type="spellEnd"/>
      <w:r w:rsidRPr="00244161">
        <w:rPr>
          <w:rFonts w:eastAsia="Times New Roman"/>
          <w:color w:val="000000" w:themeColor="text1"/>
        </w:rPr>
        <w:t xml:space="preserve"> &amp; </w:t>
      </w:r>
      <w:proofErr w:type="spellStart"/>
      <w:r w:rsidRPr="00244161">
        <w:rPr>
          <w:rFonts w:eastAsia="Times New Roman"/>
          <w:color w:val="000000" w:themeColor="text1"/>
        </w:rPr>
        <w:t>Chaysiri</w:t>
      </w:r>
      <w:proofErr w:type="spellEnd"/>
      <w:r w:rsidRPr="00244161">
        <w:rPr>
          <w:rFonts w:eastAsia="Times New Roman"/>
          <w:color w:val="000000" w:themeColor="text1"/>
        </w:rPr>
        <w:t>, 2022).</w:t>
      </w:r>
    </w:p>
    <w:p w:rsidR="2799037F" w:rsidRPr="00244161" w:rsidRDefault="36B93CDD" w:rsidP="00B61C71">
      <w:pPr>
        <w:spacing w:after="0" w:line="480" w:lineRule="auto"/>
        <w:ind w:firstLine="720"/>
        <w:jc w:val="both"/>
        <w:rPr>
          <w:rFonts w:eastAsia="Times New Roman"/>
          <w:color w:val="000000" w:themeColor="text1"/>
        </w:rPr>
      </w:pPr>
      <w:r>
        <w:t xml:space="preserve">The theoretical evolution of measuring downside risk acts as a bridge between semi-variance and quantile-based metrics like Value at Risk (VaR) and Conditional Value at Risk (CVaR). While semi-variance looks at the volatility of losses, CVaR (also known as Expected </w:t>
      </w:r>
      <w:r>
        <w:lastRenderedPageBreak/>
        <w:t>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2.2.3 Statistical Learning Theory </w:t>
      </w:r>
    </w:p>
    <w:p w:rsidR="2799037F" w:rsidRPr="00244161" w:rsidRDefault="36B93CDD" w:rsidP="00B61C71">
      <w:pPr>
        <w:spacing w:after="0" w:line="480" w:lineRule="auto"/>
        <w:ind w:firstLine="720"/>
        <w:jc w:val="both"/>
        <w:rPr>
          <w:rFonts w:eastAsia="Times New Roman"/>
          <w:color w:val="000000" w:themeColor="text1"/>
        </w:rPr>
      </w:pPr>
      <w:r w:rsidRPr="00244161">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w:t>
      </w:r>
      <w:r w:rsidRPr="00244161">
        <w:lastRenderedPageBreak/>
        <w:t>the other hand, if a model is too complex, it exhibits high variance, meaning it is so sensitive that 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ind w:firstLine="720"/>
        <w:jc w:val="both"/>
        <w:rPr>
          <w:rFonts w:eastAsia="Times New Roman"/>
          <w:color w:val="000000" w:themeColor="text1"/>
        </w:rPr>
      </w:pPr>
      <w:r w:rsidRPr="00244161">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w:t>
      </w:r>
      <w:r w:rsidRPr="00244161">
        <w:lastRenderedPageBreak/>
        <w:t>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section of the literature review offers a summary of the connection between portfolio optimization </w:t>
      </w:r>
      <w:proofErr w:type="spellStart"/>
      <w:r w:rsidRPr="00244161">
        <w:rPr>
          <w:rFonts w:eastAsia="Times New Roman"/>
          <w:color w:val="000000" w:themeColor="text1"/>
        </w:rPr>
        <w:t>techniques</w:t>
      </w:r>
      <w:proofErr w:type="gramStart"/>
      <w:r w:rsidRPr="00244161">
        <w:rPr>
          <w:rFonts w:eastAsia="Times New Roman"/>
          <w:color w:val="000000" w:themeColor="text1"/>
        </w:rPr>
        <w:t>,equity</w:t>
      </w:r>
      <w:proofErr w:type="spellEnd"/>
      <w:proofErr w:type="gramEnd"/>
      <w:r w:rsidRPr="00244161">
        <w:rPr>
          <w:rFonts w:eastAsia="Times New Roman"/>
          <w:color w:val="000000" w:themeColor="text1"/>
        </w:rPr>
        <w:t xml:space="preserve"> return forecasting and integrated forecasting approach and their individual risk</w:t>
      </w:r>
      <w:r w:rsidR="3CB00BA7" w:rsidRPr="00244161">
        <w:rPr>
          <w:rFonts w:eastAsia="Times New Roman"/>
          <w:color w:val="000000" w:themeColor="text1"/>
        </w:rPr>
        <w:t>-</w:t>
      </w:r>
      <w:r w:rsidRPr="00244161">
        <w:rPr>
          <w:rFonts w:eastAsia="Times New Roman"/>
          <w:color w:val="000000" w:themeColor="text1"/>
        </w:rPr>
        <w:t>adjusted return performance.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2.3.1 Mean</w:t>
      </w:r>
      <w:r w:rsidR="3CB00BA7" w:rsidRPr="00244161">
        <w:rPr>
          <w:rFonts w:eastAsia="Times New Roman"/>
          <w:b/>
          <w:bCs/>
          <w:color w:val="000000" w:themeColor="text1"/>
        </w:rPr>
        <w:t>-</w:t>
      </w:r>
      <w:r w:rsidRPr="00244161">
        <w:rPr>
          <w:rFonts w:eastAsia="Times New Roman"/>
          <w:b/>
          <w:bCs/>
          <w:color w:val="000000" w:themeColor="text1"/>
        </w:rPr>
        <w:t>Variance Portfolio Optimization</w:t>
      </w:r>
    </w:p>
    <w:p w:rsidR="2799037F" w:rsidRPr="00244161" w:rsidRDefault="36B93CDD" w:rsidP="00B61C71">
      <w:pPr>
        <w:spacing w:after="0" w:line="480" w:lineRule="auto"/>
        <w:ind w:firstLine="720"/>
        <w:jc w:val="both"/>
        <w:rPr>
          <w:rFonts w:eastAsia="Times New Roman"/>
          <w:color w:val="000000" w:themeColor="text1"/>
        </w:rPr>
      </w:pPr>
      <w:r w:rsidRPr="00244161">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ind w:firstLine="720"/>
        <w:jc w:val="both"/>
        <w:rPr>
          <w:rFonts w:eastAsia="Times New Roman"/>
          <w:color w:val="000000" w:themeColor="text1"/>
        </w:rPr>
      </w:pPr>
      <w: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ind w:firstLine="720"/>
        <w:jc w:val="both"/>
        <w:rPr>
          <w:rFonts w:eastAsia="Times New Roman"/>
          <w:color w:val="000000" w:themeColor="text1"/>
        </w:rPr>
      </w:pPr>
      <w:r w:rsidRPr="00244161">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 xml:space="preserve">2.3.2 </w:t>
      </w:r>
      <w:proofErr w:type="spellStart"/>
      <w:r w:rsidRPr="00244161">
        <w:rPr>
          <w:rFonts w:eastAsia="Times New Roman"/>
          <w:b/>
          <w:bCs/>
          <w:color w:val="000000" w:themeColor="text1"/>
        </w:rPr>
        <w:t>VaR</w:t>
      </w:r>
      <w:proofErr w:type="spellEnd"/>
      <w:r w:rsidRPr="00244161">
        <w:rPr>
          <w:rFonts w:eastAsia="Times New Roman"/>
          <w:b/>
          <w:bCs/>
          <w:color w:val="000000" w:themeColor="text1"/>
        </w:rPr>
        <w:t xml:space="preserve"> and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xml:space="preserve"> Based Portfolio Models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Value at Risk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has become a widely accepted benchmark for measuring financial risk, endorsed by the financial regulatory </w:t>
      </w:r>
      <w:r w:rsidR="5EE0DA64" w:rsidRPr="00244161">
        <w:rPr>
          <w:rFonts w:eastAsia="Times New Roman"/>
          <w:color w:val="000000" w:themeColor="text1"/>
        </w:rPr>
        <w:t>body of</w:t>
      </w:r>
      <w:r w:rsidRPr="00244161">
        <w:rPr>
          <w:rFonts w:eastAsia="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w:t>
      </w:r>
      <w:r w:rsidR="51DDBDD4" w:rsidRPr="00244161">
        <w:rPr>
          <w:rFonts w:eastAsia="Times New Roman"/>
          <w:color w:val="000000" w:themeColor="text1"/>
        </w:rPr>
        <w:t>, 2020</w:t>
      </w:r>
      <w:r w:rsidRPr="00244161">
        <w:rPr>
          <w:rFonts w:eastAsia="Times New Roman"/>
          <w:color w:val="000000" w:themeColor="text1"/>
        </w:rPr>
        <w:t xml:space="preserve">;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Fatouros</w:t>
      </w:r>
      <w:proofErr w:type="spellEnd"/>
      <w:r w:rsidRPr="00244161">
        <w:rPr>
          <w:rFonts w:eastAsia="Times New Roman"/>
          <w:color w:val="000000" w:themeColor="text1"/>
        </w:rPr>
        <w:t xml:space="preserve"> et al., 2023).</w:t>
      </w:r>
    </w:p>
    <w:p w:rsidR="2799037F" w:rsidRPr="00244161" w:rsidRDefault="36B93CDD" w:rsidP="00B61C71">
      <w:pPr>
        <w:spacing w:after="0" w:line="480" w:lineRule="auto"/>
        <w:ind w:firstLine="720"/>
        <w:jc w:val="both"/>
        <w:rPr>
          <w:rFonts w:eastAsia="Times New Roman"/>
          <w:color w:val="000000" w:themeColor="text1"/>
        </w:rPr>
      </w:pPr>
      <w: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Conditional Value at Risk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on the other hand acts as a step up since it is derived from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but improves coherence properties and satisfies the shortcomings of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like subadditivity and convexity properties enabling it to better handle tail risk and achieving a higher accumulated risk</w:t>
      </w:r>
      <w:r w:rsidR="3CB00BA7" w:rsidRPr="00244161">
        <w:rPr>
          <w:rFonts w:eastAsia="Times New Roman"/>
          <w:color w:val="000000" w:themeColor="text1"/>
        </w:rPr>
        <w:t>-</w:t>
      </w:r>
      <w:r w:rsidR="00E87707" w:rsidRPr="00244161">
        <w:rPr>
          <w:rFonts w:eastAsia="Times New Roman"/>
          <w:color w:val="000000" w:themeColor="text1"/>
        </w:rPr>
        <w:t>adjusted returns</w:t>
      </w:r>
      <w:r w:rsidRPr="00244161">
        <w:rPr>
          <w:rFonts w:eastAsia="Times New Roman"/>
          <w:color w:val="000000" w:themeColor="text1"/>
        </w:rPr>
        <w:t xml:space="preserve">. According to </w:t>
      </w:r>
      <w:proofErr w:type="spellStart"/>
      <w:r w:rsidRPr="00244161">
        <w:rPr>
          <w:rFonts w:eastAsia="Times New Roman"/>
          <w:color w:val="000000" w:themeColor="text1"/>
        </w:rPr>
        <w:t>Alotaibi</w:t>
      </w:r>
      <w:proofErr w:type="spellEnd"/>
      <w:r w:rsidRPr="00244161">
        <w:rPr>
          <w:rFonts w:eastAsia="Times New Roman"/>
          <w:color w:val="000000" w:themeColor="text1"/>
        </w:rPr>
        <w:t xml:space="preserve"> et al. (2022),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achieves superior returns compared to </w:t>
      </w:r>
      <w:proofErr w:type="spellStart"/>
      <w:r w:rsidRPr="00244161">
        <w:rPr>
          <w:rFonts w:eastAsia="Times New Roman"/>
          <w:color w:val="000000" w:themeColor="text1"/>
        </w:rPr>
        <w:t>VaR</w:t>
      </w:r>
      <w:proofErr w:type="spellEnd"/>
      <w:r w:rsidRPr="00244161">
        <w:rPr>
          <w:rFonts w:eastAsia="Times New Roman"/>
          <w:color w:val="000000" w:themeColor="text1"/>
        </w:rPr>
        <w:t xml:space="preserve"> underscoring a more accurate measurement of financial risk.</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2.3.3 Integrated Forecasting and Optimization Models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ind w:firstLine="720"/>
        <w:jc w:val="both"/>
        <w:rPr>
          <w:rFonts w:eastAsia="Times New Roman"/>
          <w:color w:val="000000" w:themeColor="text1"/>
        </w:rPr>
      </w:pPr>
      <w:r w:rsidRPr="00244161">
        <w:rPr>
          <w:rFonts w:eastAsia="Times New Roman"/>
          <w:color w:val="000000" w:themeColor="text1"/>
        </w:rPr>
        <w:t>Building</w:t>
      </w:r>
      <w:r w:rsidR="36B93CDD" w:rsidRPr="00244161">
        <w:rPr>
          <w:rFonts w:eastAsia="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color w:val="000000" w:themeColor="text1"/>
        </w:rPr>
        <w:t>-</w:t>
      </w:r>
      <w:r w:rsidR="36B93CDD" w:rsidRPr="00244161">
        <w:rPr>
          <w:rFonts w:eastAsia="Times New Roman"/>
          <w:color w:val="000000" w:themeColor="text1"/>
        </w:rPr>
        <w:t>which assume the future will look like the past</w:t>
      </w:r>
      <w:r w:rsidR="3CB00BA7" w:rsidRPr="00244161">
        <w:rPr>
          <w:rFonts w:eastAsia="Times New Roman"/>
          <w:color w:val="000000" w:themeColor="text1"/>
        </w:rPr>
        <w:t>-</w:t>
      </w:r>
      <w:r w:rsidR="36B93CDD" w:rsidRPr="00244161">
        <w:rPr>
          <w:rFonts w:eastAsia="Times New Roman"/>
          <w:color w:val="000000" w:themeColor="text1"/>
        </w:rPr>
        <w:t>these frameworks use the predicted returns generated by ML models as the inputs for the optimization process (</w:t>
      </w:r>
      <w:proofErr w:type="spellStart"/>
      <w:r w:rsidR="36B93CDD" w:rsidRPr="00244161">
        <w:rPr>
          <w:rFonts w:eastAsia="Times New Roman"/>
          <w:color w:val="000000" w:themeColor="text1"/>
        </w:rPr>
        <w:t>Ashrafzadeh</w:t>
      </w:r>
      <w:proofErr w:type="spellEnd"/>
      <w:r w:rsidR="36B93CDD" w:rsidRPr="00244161">
        <w:rPr>
          <w:rFonts w:eastAsia="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color w:val="000000" w:themeColor="text1"/>
        </w:rPr>
        <w:t>Chaweewanchon</w:t>
      </w:r>
      <w:proofErr w:type="spellEnd"/>
      <w:r w:rsidR="36B93CDD" w:rsidRPr="00244161">
        <w:rPr>
          <w:rFonts w:eastAsia="Times New Roman"/>
          <w:color w:val="000000" w:themeColor="text1"/>
        </w:rPr>
        <w:t xml:space="preserve"> and </w:t>
      </w:r>
      <w:proofErr w:type="spellStart"/>
      <w:r w:rsidR="36B93CDD" w:rsidRPr="00244161">
        <w:rPr>
          <w:rFonts w:eastAsia="Times New Roman"/>
          <w:color w:val="000000" w:themeColor="text1"/>
        </w:rPr>
        <w:t>Chaysiri</w:t>
      </w:r>
      <w:proofErr w:type="spellEnd"/>
      <w:r w:rsidR="36B93CDD" w:rsidRPr="00244161">
        <w:rPr>
          <w:rFonts w:eastAsia="Times New Roman"/>
          <w:color w:val="000000" w:themeColor="text1"/>
        </w:rPr>
        <w:t xml:space="preserve"> (2022) proposed a two</w:t>
      </w:r>
      <w:r w:rsidR="3CB00BA7" w:rsidRPr="00244161">
        <w:rPr>
          <w:rFonts w:eastAsia="Times New Roman"/>
          <w:color w:val="000000" w:themeColor="text1"/>
        </w:rPr>
        <w:t>-</w:t>
      </w:r>
      <w:r w:rsidR="36B93CDD" w:rsidRPr="00244161">
        <w:rPr>
          <w:rFonts w:eastAsia="Times New Roman"/>
          <w:color w:val="000000" w:themeColor="text1"/>
        </w:rPr>
        <w:t>step approach where stocks are first pre</w:t>
      </w:r>
      <w:r w:rsidR="3CB00BA7" w:rsidRPr="00244161">
        <w:rPr>
          <w:rFonts w:eastAsia="Times New Roman"/>
          <w:color w:val="000000" w:themeColor="text1"/>
        </w:rPr>
        <w:t>-</w:t>
      </w:r>
      <w:r w:rsidR="36B93CDD" w:rsidRPr="00244161">
        <w:rPr>
          <w:rFonts w:eastAsia="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color w:val="000000" w:themeColor="text1"/>
        </w:rPr>
        <w:t>Manogna</w:t>
      </w:r>
      <w:proofErr w:type="spellEnd"/>
      <w:r w:rsidR="36B93CDD" w:rsidRPr="00244161">
        <w:rPr>
          <w:rFonts w:eastAsia="Times New Roman"/>
          <w:color w:val="000000" w:themeColor="text1"/>
        </w:rPr>
        <w:t xml:space="preserve"> and Kulkarni (2025) utilized similar frameworks, showing that combining LSTM or </w:t>
      </w:r>
      <w:proofErr w:type="spellStart"/>
      <w:r w:rsidR="36B93CDD" w:rsidRPr="00244161">
        <w:rPr>
          <w:rFonts w:eastAsia="Times New Roman"/>
          <w:color w:val="000000" w:themeColor="text1"/>
        </w:rPr>
        <w:t>XGBoost</w:t>
      </w:r>
      <w:proofErr w:type="spellEnd"/>
      <w:r w:rsidR="36B93CDD" w:rsidRPr="00244161">
        <w:rPr>
          <w:rFonts w:eastAsia="Times New Roman"/>
          <w:color w:val="000000" w:themeColor="text1"/>
        </w:rPr>
        <w:t xml:space="preserve"> predictions with mean</w:t>
      </w:r>
      <w:r w:rsidR="3CB00BA7" w:rsidRPr="00244161">
        <w:rPr>
          <w:rFonts w:eastAsia="Times New Roman"/>
          <w:color w:val="000000" w:themeColor="text1"/>
        </w:rPr>
        <w:t>-</w:t>
      </w:r>
      <w:r w:rsidR="36B93CDD" w:rsidRPr="00244161">
        <w:rPr>
          <w:rFonts w:eastAsia="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ind w:firstLine="720"/>
        <w:jc w:val="both"/>
        <w:rPr>
          <w:rFonts w:eastAsia="Times New Roman"/>
          <w:color w:val="000000" w:themeColor="text1"/>
        </w:rPr>
      </w:pPr>
      <w:r w:rsidRPr="00244161">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ind w:firstLine="720"/>
        <w:jc w:val="both"/>
        <w:rPr>
          <w:rFonts w:eastAsia="Times New Roman"/>
          <w:color w:val="000000" w:themeColor="text1"/>
        </w:rPr>
      </w:pPr>
      <w: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color w:val="000000" w:themeColor="text1"/>
        </w:rPr>
        <w:t>-</w:t>
      </w:r>
      <w:r w:rsidRPr="00244161">
        <w:rPr>
          <w:rFonts w:eastAsia="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Furthermore, there is a clear shortage of research integrating predictive modeling with risk</w:t>
      </w:r>
      <w:r w:rsidR="3CB00BA7" w:rsidRPr="00244161">
        <w:rPr>
          <w:rFonts w:eastAsia="Times New Roman"/>
          <w:color w:val="000000" w:themeColor="text1"/>
        </w:rPr>
        <w:t>-</w:t>
      </w:r>
      <w:r w:rsidRPr="00244161">
        <w:rPr>
          <w:rFonts w:eastAsia="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color w:val="000000" w:themeColor="text1"/>
        </w:rPr>
        <w:t>-</w:t>
      </w:r>
      <w:r w:rsidRPr="00244161">
        <w:rPr>
          <w:rFonts w:eastAsia="Times New Roman"/>
          <w:color w:val="000000" w:themeColor="text1"/>
        </w:rPr>
        <w:t>world decision</w:t>
      </w:r>
      <w:r w:rsidR="3CB00BA7" w:rsidRPr="00244161">
        <w:rPr>
          <w:rFonts w:eastAsia="Times New Roman"/>
          <w:color w:val="000000" w:themeColor="text1"/>
        </w:rPr>
        <w:t>-</w:t>
      </w:r>
      <w:r w:rsidRPr="00244161">
        <w:rPr>
          <w:rFonts w:eastAsia="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color w:val="000000" w:themeColor="text1"/>
        </w:rPr>
        <w:t>-</w:t>
      </w:r>
      <w:r w:rsidRPr="00244161">
        <w:rPr>
          <w:rFonts w:eastAsia="Times New Roman"/>
          <w:color w:val="000000" w:themeColor="text1"/>
        </w:rPr>
        <w:t>driven,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portfolios perform under real</w:t>
      </w:r>
      <w:r w:rsidR="3CB00BA7" w:rsidRPr="00244161">
        <w:rPr>
          <w:rFonts w:eastAsia="Times New Roman"/>
          <w:color w:val="000000" w:themeColor="text1"/>
        </w:rPr>
        <w:t>-</w:t>
      </w:r>
      <w:r w:rsidRPr="00244161">
        <w:rPr>
          <w:rFonts w:eastAsia="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color w:val="000000" w:themeColor="text1"/>
        </w:rPr>
        <w:t>-</w:t>
      </w:r>
      <w:r w:rsidRPr="00244161">
        <w:rPr>
          <w:rFonts w:eastAsia="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2.5 Summary of Gaps in Literature</w:t>
      </w:r>
    </w:p>
    <w:p w:rsidR="2799037F" w:rsidRPr="00244161" w:rsidRDefault="36B93CDD" w:rsidP="00B61C71">
      <w:pPr>
        <w:spacing w:after="0" w:line="480" w:lineRule="auto"/>
        <w:ind w:firstLine="720"/>
        <w:jc w:val="both"/>
        <w:rPr>
          <w:rFonts w:eastAsia="Times New Roman"/>
          <w:color w:val="000000" w:themeColor="text1"/>
        </w:rPr>
      </w:pPr>
      <w:r w:rsidRPr="00244161">
        <w:rPr>
          <w:rFonts w:eastAsia="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color w:val="000000" w:themeColor="text1"/>
        </w:rPr>
        <w:t>-</w:t>
      </w: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color w:val="000000" w:themeColor="text1"/>
        </w:rPr>
        <w:t>-</w:t>
      </w:r>
      <w:r w:rsidRPr="00244161">
        <w:rPr>
          <w:rFonts w:eastAsia="Times New Roman"/>
          <w:color w:val="000000" w:themeColor="text1"/>
        </w:rPr>
        <w:t>at</w:t>
      </w:r>
      <w:r w:rsidR="3CB00BA7" w:rsidRPr="00244161">
        <w:rPr>
          <w:rFonts w:eastAsia="Times New Roman"/>
          <w:color w:val="000000" w:themeColor="text1"/>
        </w:rPr>
        <w:t>-</w:t>
      </w:r>
      <w:r w:rsidRPr="00244161">
        <w:rPr>
          <w:rFonts w:eastAsia="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after="0" w:line="480" w:lineRule="auto"/>
        <w:ind w:firstLine="720"/>
        <w:jc w:val="both"/>
        <w:rPr>
          <w:rFonts w:eastAsia="Times New Roman"/>
          <w:color w:val="000000" w:themeColor="text1"/>
        </w:rPr>
      </w:pPr>
      <w: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3.1.1 Modern Portfolio Theory and Tail Risk </w:t>
      </w:r>
    </w:p>
    <w:p w:rsidR="5F9D19BA" w:rsidRPr="00244161" w:rsidRDefault="1C72C910" w:rsidP="00B61C71">
      <w:pPr>
        <w:spacing w:after="0" w:line="480" w:lineRule="auto"/>
        <w:ind w:firstLine="720"/>
        <w:jc w:val="both"/>
        <w:rPr>
          <w:rFonts w:eastAsia="Times New Roman"/>
          <w:color w:val="000000" w:themeColor="text1"/>
        </w:rPr>
      </w:pPr>
      <w:r w:rsidRPr="00244161">
        <w:rPr>
          <w:rFonts w:eastAsia="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color w:val="000000" w:themeColor="text1"/>
        </w:rPr>
        <w:t>Arif</w:t>
      </w:r>
      <w:proofErr w:type="spellEnd"/>
      <w:r w:rsidRPr="00244161">
        <w:rPr>
          <w:rFonts w:eastAsia="Times New Roman"/>
          <w:color w:val="000000" w:themeColor="text1"/>
        </w:rPr>
        <w:t xml:space="preserve"> et al., 2020). </w:t>
      </w:r>
      <w:r w:rsidR="1DA66D02" w:rsidRPr="00244161">
        <w:rPr>
          <w:rFonts w:eastAsia="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color w:val="000000" w:themeColor="text1"/>
        </w:rPr>
        <w:t>Alotaibi</w:t>
      </w:r>
      <w:proofErr w:type="spellEnd"/>
      <w:r w:rsidR="2EF1A0F4" w:rsidRPr="00244161">
        <w:rPr>
          <w:rFonts w:eastAsia="Times New Roman"/>
          <w:color w:val="000000" w:themeColor="text1"/>
        </w:rPr>
        <w:t xml:space="preserve"> et al.</w:t>
      </w:r>
      <w:r w:rsidR="1DA66D02" w:rsidRPr="00244161">
        <w:rPr>
          <w:rFonts w:eastAsia="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color w:val="000000" w:themeColor="text1"/>
        </w:rPr>
        <w:t>CVaR</w:t>
      </w:r>
      <w:proofErr w:type="spellEnd"/>
      <w:r w:rsidR="1DA66D02" w:rsidRPr="00244161">
        <w:rPr>
          <w:rFonts w:eastAsia="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color w:val="000000" w:themeColor="text1"/>
        </w:rPr>
        <w:t>Rockafellar</w:t>
      </w:r>
      <w:proofErr w:type="spellEnd"/>
      <w:r w:rsidR="1DA66D02" w:rsidRPr="00244161">
        <w:rPr>
          <w:rFonts w:eastAsia="Times New Roman"/>
          <w:color w:val="000000" w:themeColor="text1"/>
        </w:rPr>
        <w:t xml:space="preserve"> &amp; </w:t>
      </w:r>
      <w:proofErr w:type="spellStart"/>
      <w:r w:rsidR="1DA66D02" w:rsidRPr="00244161">
        <w:rPr>
          <w:rFonts w:eastAsia="Times New Roman"/>
          <w:color w:val="000000" w:themeColor="text1"/>
        </w:rPr>
        <w:t>Uryasev</w:t>
      </w:r>
      <w:proofErr w:type="spellEnd"/>
      <w:r w:rsidR="1DA66D02" w:rsidRPr="00244161">
        <w:rPr>
          <w:rFonts w:eastAsia="Times New Roman"/>
          <w:color w:val="000000" w:themeColor="text1"/>
        </w:rPr>
        <w:t>, 2002)</w:t>
      </w:r>
      <w:r w:rsidR="72271ABC" w:rsidRPr="00244161">
        <w:rPr>
          <w:rFonts w:eastAsia="Times New Roman"/>
          <w:color w:val="000000" w:themeColor="text1"/>
        </w:rPr>
        <w:t>.</w:t>
      </w:r>
    </w:p>
    <w:p w:rsidR="1EF61C5A" w:rsidRPr="00244161" w:rsidRDefault="41CA8574"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3.1.2 Machine Learning Theories for Forecasting </w:t>
      </w:r>
    </w:p>
    <w:p w:rsidR="38747ECB" w:rsidRPr="00244161" w:rsidRDefault="38747ECB"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color w:val="000000" w:themeColor="text1"/>
        </w:rPr>
        <w:t>Fama</w:t>
      </w:r>
      <w:proofErr w:type="spellEnd"/>
      <w:r w:rsidRPr="00244161">
        <w:rPr>
          <w:rFonts w:eastAsia="Times New Roman"/>
          <w:color w:val="000000" w:themeColor="text1"/>
        </w:rPr>
        <w:t>, 1970).</w:t>
      </w:r>
    </w:p>
    <w:p w:rsidR="38747ECB" w:rsidRPr="00244161" w:rsidRDefault="38747ECB" w:rsidP="00B61C71">
      <w:pPr>
        <w:spacing w:after="0" w:line="480" w:lineRule="auto"/>
        <w:ind w:firstLine="720"/>
        <w:jc w:val="both"/>
        <w:rPr>
          <w:rFonts w:eastAsia="Times New Roman"/>
          <w:color w:val="000000" w:themeColor="text1"/>
        </w:rPr>
      </w:pPr>
      <w:r w:rsidRPr="00244161">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color w:val="000000" w:themeColor="text1"/>
        </w:rPr>
        <w:t>eXtreme</w:t>
      </w:r>
      <w:proofErr w:type="spellEnd"/>
      <w:r w:rsidRPr="00244161">
        <w:rPr>
          <w:rFonts w:eastAsia="Times New Roman"/>
          <w:color w:val="000000" w:themeColor="text1"/>
        </w:rPr>
        <w:t xml:space="preserve"> Gradient Boosting (</w:t>
      </w:r>
      <w:proofErr w:type="spellStart"/>
      <w:r w:rsidRPr="00244161">
        <w:rPr>
          <w:rFonts w:eastAsia="Times New Roman"/>
          <w:color w:val="000000" w:themeColor="text1"/>
        </w:rPr>
        <w:t>XGBoost</w:t>
      </w:r>
      <w:proofErr w:type="spellEnd"/>
      <w:r w:rsidRPr="00244161">
        <w:rPr>
          <w:rFonts w:eastAsia="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color w:val="000000" w:themeColor="text1"/>
        </w:rPr>
        <w:t>Manogna</w:t>
      </w:r>
      <w:proofErr w:type="spellEnd"/>
      <w:r w:rsidRPr="00244161">
        <w:rPr>
          <w:rFonts w:eastAsia="Times New Roman"/>
          <w:color w:val="000000" w:themeColor="text1"/>
        </w:rPr>
        <w:t xml:space="preserve"> &amp; Kulkarni, 2025; </w:t>
      </w:r>
      <w:proofErr w:type="spellStart"/>
      <w:r w:rsidRPr="00244161">
        <w:rPr>
          <w:rFonts w:eastAsia="Times New Roman"/>
          <w:color w:val="000000" w:themeColor="text1"/>
        </w:rPr>
        <w:t>Ashrafzadeh</w:t>
      </w:r>
      <w:proofErr w:type="spellEnd"/>
      <w:r w:rsidRPr="00244161">
        <w:rPr>
          <w:rFonts w:eastAsia="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after="0" w:line="480" w:lineRule="auto"/>
        <w:rPr>
          <w:rFonts w:eastAsia="Times New Roman"/>
          <w:b/>
          <w:bCs/>
          <w:color w:val="000000" w:themeColor="text1"/>
        </w:rPr>
      </w:pPr>
      <w:r>
        <w:rPr>
          <w:b/>
        </w:rPr>
        <w:t>3.2.1 Predictive Machine Learning Models</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aim of the predictive phase of the study is to forecast </w:t>
      </w:r>
      <w:r w:rsidR="771C9D9C" w:rsidRPr="00244161">
        <w:rPr>
          <w:rFonts w:eastAsia="Times New Roman"/>
          <w:color w:val="000000" w:themeColor="text1"/>
        </w:rPr>
        <w:t>future</w:t>
      </w:r>
      <w:r w:rsidRPr="00244161">
        <w:rPr>
          <w:rFonts w:eastAsia="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color w:val="000000" w:themeColor="text1"/>
        </w:rPr>
        <w:t>-</w:t>
      </w:r>
      <w:r w:rsidRPr="00244161">
        <w:rPr>
          <w:rFonts w:eastAsia="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color w:val="000000" w:themeColor="text1"/>
        </w:rPr>
        <w:t>-</w:t>
      </w:r>
      <w:r w:rsidRPr="00244161">
        <w:rPr>
          <w:rFonts w:eastAsia="Times New Roman"/>
          <w:color w:val="000000" w:themeColor="text1"/>
        </w:rPr>
        <w:t xml:space="preserve">linear, and interacting market dynamics. </w:t>
      </w:r>
    </w:p>
    <w:p w:rsidR="1EF61C5A" w:rsidRPr="00244161" w:rsidRDefault="41CA857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w:proofErr w:type="gramStart"/>
      <w:r w:rsidRPr="00244161">
        <w:rPr>
          <w:rFonts w:eastAsia="Times New Roman"/>
          <w:color w:val="000000" w:themeColor="text1"/>
        </w:rPr>
        <w:t>Rt+</w:t>
      </w:r>
      <w:proofErr w:type="gramEnd"/>
      <w:r w:rsidRPr="00244161">
        <w:rPr>
          <w:rFonts w:eastAsia="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E20D58"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ind w:firstLine="720"/>
        <w:jc w:val="both"/>
        <w:rPr>
          <w:rFonts w:eastAsia="Times New Roman"/>
          <w:color w:val="000000" w:themeColor="text1"/>
        </w:rPr>
      </w:pPr>
      <w:r w:rsidRPr="00244161">
        <w:rPr>
          <w:rFonts w:eastAsia="Times New Roman"/>
          <w:color w:val="000000" w:themeColor="text1"/>
        </w:rPr>
        <w:t>w</w:t>
      </w:r>
      <w:r w:rsidR="6CE743C7" w:rsidRPr="00244161">
        <w:rPr>
          <w:rFonts w:eastAsia="Times New Roman"/>
          <w:color w:val="000000" w:themeColor="text1"/>
        </w:rPr>
        <w:t>here</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color w:val="000000" w:themeColor="text1"/>
        </w:rPr>
        <w:t xml:space="preserve">is the dependent </w:t>
      </w:r>
      <w:r w:rsidR="61939115" w:rsidRPr="00244161">
        <w:rPr>
          <w:rFonts w:eastAsia="Times New Roman"/>
          <w:color w:val="000000" w:themeColor="text1"/>
        </w:rPr>
        <w:t>variable</w:t>
      </w:r>
      <w:r w:rsidR="6CE743C7" w:rsidRPr="00244161">
        <w:rPr>
          <w:rFonts w:eastAsia="Times New Roman"/>
          <w:color w:val="000000" w:themeColor="text1"/>
        </w:rPr>
        <w:t xml:space="preserve"> </w:t>
      </w:r>
      <w:r w:rsidR="2DFEE1D4" w:rsidRPr="00244161">
        <w:rPr>
          <w:rFonts w:eastAsia="Times New Roman"/>
          <w:color w:val="000000" w:themeColor="text1"/>
        </w:rPr>
        <w:t>representing</w:t>
      </w:r>
      <w:r w:rsidR="6CE743C7" w:rsidRPr="00244161">
        <w:rPr>
          <w:rFonts w:eastAsia="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color w:val="000000" w:themeColor="text1"/>
        </w:rPr>
        <w:t xml:space="preserve">, </w:t>
      </w:r>
      <m:oMath>
        <m:r>
          <w:rPr>
            <w:rFonts w:ascii="Cambria Math" w:hAnsi="Cambria Math"/>
            <w:color w:val="000000" w:themeColor="text1"/>
          </w:rPr>
          <m:t>F </m:t>
        </m:r>
      </m:oMath>
      <w:r w:rsidR="6CE743C7" w:rsidRPr="00244161">
        <w:rPr>
          <w:rFonts w:eastAsia="Times New Roman"/>
          <w:color w:val="000000" w:themeColor="text1"/>
        </w:rPr>
        <w:t xml:space="preserve"> represents the complex, non</w:t>
      </w:r>
      <w:r w:rsidR="3CB00BA7" w:rsidRPr="00244161">
        <w:rPr>
          <w:rFonts w:eastAsia="Times New Roman"/>
          <w:color w:val="000000" w:themeColor="text1"/>
        </w:rPr>
        <w:t>-</w:t>
      </w:r>
      <w:r w:rsidR="6CE743C7" w:rsidRPr="00244161">
        <w:rPr>
          <w:rFonts w:eastAsia="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color w:val="000000" w:themeColor="text1"/>
        </w:rPr>
        <w:t>XGBoost</w:t>
      </w:r>
      <w:proofErr w:type="spellEnd"/>
      <w:r w:rsidR="6CE743C7" w:rsidRPr="00244161">
        <w:rPr>
          <w:rFonts w:eastAsia="Times New Roman"/>
          <w:color w:val="000000" w:themeColor="text1"/>
        </w:rPr>
        <w: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color w:val="000000" w:themeColor="text1"/>
        </w:rPr>
        <w:t xml:space="preserve"> is the multi</w:t>
      </w:r>
      <w:r w:rsidR="3CB00BA7" w:rsidRPr="00244161">
        <w:rPr>
          <w:rFonts w:eastAsia="Times New Roman"/>
          <w:color w:val="000000" w:themeColor="text1"/>
        </w:rPr>
        <w:t>-</w:t>
      </w:r>
      <w:r w:rsidR="6CE743C7" w:rsidRPr="00244161">
        <w:rPr>
          <w:rFonts w:eastAsia="Times New Roman"/>
          <w:color w:val="000000" w:themeColor="text1"/>
        </w:rPr>
        <w:t>dimensional feature vector containing the independent variables strictly observed at the end of week</w:t>
      </w:r>
      <w:r w:rsidR="5936A5B0"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color w:val="000000" w:themeColor="text1"/>
        </w:rPr>
        <w:t>.</w:t>
      </w:r>
    </w:p>
    <w:p w:rsidR="3F330B67" w:rsidRPr="00244161" w:rsidRDefault="4692CF0F" w:rsidP="00B61C71">
      <w:pPr>
        <w:spacing w:after="0" w:line="480" w:lineRule="auto"/>
        <w:ind w:firstLine="720"/>
        <w:jc w:val="both"/>
        <w:rPr>
          <w:rFonts w:eastAsia="Times New Roman"/>
          <w:color w:val="000000" w:themeColor="text1"/>
        </w:rPr>
      </w:pPr>
      <w: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Xₜ is mathematically defined as a column vector containing the technical momentum, trend, volatility, and volume indicators alongside historical autoregressive return lags.</w:t>
      </w:r>
    </w:p>
    <w:p w:rsidR="5C0CF8D3" w:rsidRPr="00244161" w:rsidRDefault="00E20D58"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Momentum and Oscillator Indicators:</w:t>
      </w:r>
      <w:r w:rsidRPr="00244161">
        <w:rPr>
          <w:rFonts w:eastAsia="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color w:val="000000" w:themeColor="text1"/>
        </w:rPr>
        <w:t xml:space="preserve">), Relative Strength </w:t>
      </w:r>
      <w:proofErr w:type="gramStart"/>
      <w:r w:rsidRPr="00244161">
        <w:rPr>
          <w:rFonts w:eastAsia="Times New Roman"/>
          <w:color w:val="000000" w:themeColor="text1"/>
        </w:rPr>
        <w:t>Index</w:t>
      </w:r>
      <w:r w:rsidR="76B9F1C7" w:rsidRPr="00244161">
        <w:rPr>
          <w:rFonts w:eastAsia="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color w:val="000000" w:themeColor="text1"/>
        </w:rPr>
        <w:t>)</w:t>
      </w:r>
      <w:r w:rsidRPr="00244161">
        <w:rPr>
          <w:rFonts w:eastAsia="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after="0" w:line="480" w:lineRule="auto"/>
        <w:ind w:firstLine="720"/>
        <w:jc w:val="both"/>
        <w:rPr>
          <w:rFonts w:eastAsia="Times New Roman"/>
          <w:color w:val="000000" w:themeColor="text1"/>
        </w:rPr>
      </w:pPr>
      <w:r>
        <w:t>Autoregressive (Lagged) Returns: The sequence of Rᵢ,ₜ, Rᵢ,ₜ₋₁, Rᵢ,ₜ₋₂, and Rᵢ,ₜ₋₃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Trend and Volatility Indicators:</w:t>
      </w:r>
      <w:r w:rsidRPr="00244161">
        <w:rPr>
          <w:rFonts w:eastAsia="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color w:val="000000" w:themeColor="text1"/>
        </w:rPr>
        <w:t>)</w:t>
      </w:r>
      <w:r w:rsidRPr="00244161">
        <w:rPr>
          <w:rFonts w:eastAsia="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xml:space="preserve">) capture the absolute strength and </w:t>
      </w:r>
      <w:r w:rsidRPr="00244161">
        <w:rPr>
          <w:rFonts w:eastAsia="Times New Roman"/>
          <w:color w:val="000000" w:themeColor="text1"/>
        </w:rPr>
        <w:lastRenderedPageBreak/>
        <w:t>direction of the trend. Crucially for the subsequent tail</w:t>
      </w:r>
      <w:r w:rsidR="3CB00BA7" w:rsidRPr="00244161">
        <w:rPr>
          <w:rFonts w:eastAsia="Times New Roman"/>
          <w:color w:val="000000" w:themeColor="text1"/>
        </w:rPr>
        <w:t>-</w:t>
      </w:r>
      <w:r w:rsidRPr="00244161">
        <w:rPr>
          <w:rFonts w:eastAsia="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color w:val="000000" w:themeColor="text1"/>
        </w:rPr>
        <w:t>) captures intra</w:t>
      </w:r>
      <w:r w:rsidR="3CB00BA7" w:rsidRPr="00244161">
        <w:rPr>
          <w:rFonts w:eastAsia="Times New Roman"/>
          <w:color w:val="000000" w:themeColor="text1"/>
        </w:rPr>
        <w:t>-</w:t>
      </w:r>
      <w:r w:rsidRPr="00244161">
        <w:rPr>
          <w:rFonts w:eastAsia="Times New Roman"/>
          <w:color w:val="000000" w:themeColor="text1"/>
        </w:rPr>
        <w:t>week market volatility and extreme price fluctuations.</w:t>
      </w:r>
    </w:p>
    <w:p w:rsidR="2DC85E35" w:rsidRPr="00244161" w:rsidRDefault="242FEB5E" w:rsidP="00B61C71">
      <w:pPr>
        <w:pStyle w:val="ListParagraph"/>
        <w:numPr>
          <w:ilvl w:val="0"/>
          <w:numId w:val="9"/>
        </w:numPr>
        <w:spacing w:after="0" w:line="480" w:lineRule="auto"/>
        <w:jc w:val="both"/>
        <w:rPr>
          <w:rFonts w:eastAsia="Times New Roman"/>
          <w:color w:val="000000" w:themeColor="text1"/>
        </w:rPr>
      </w:pPr>
      <w:r w:rsidRPr="00244161">
        <w:rPr>
          <w:rFonts w:eastAsia="Times New Roman"/>
          <w:b/>
          <w:bCs/>
          <w:color w:val="000000" w:themeColor="text1"/>
        </w:rPr>
        <w:t>Volume Flow:</w:t>
      </w:r>
      <w:r w:rsidRPr="00244161">
        <w:rPr>
          <w:rFonts w:eastAsia="Times New Roman"/>
          <w:color w:val="000000" w:themeColor="text1"/>
        </w:rPr>
        <w:t xml:space="preserve"> On</w:t>
      </w:r>
      <w:r w:rsidR="3CB00BA7" w:rsidRPr="00244161">
        <w:rPr>
          <w:rFonts w:eastAsia="Times New Roman"/>
          <w:color w:val="000000" w:themeColor="text1"/>
        </w:rPr>
        <w:t>-</w:t>
      </w:r>
      <w:r w:rsidRPr="00244161">
        <w:rPr>
          <w:rFonts w:eastAsia="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ind w:firstLine="720"/>
        <w:jc w:val="both"/>
        <w:rPr>
          <w:rFonts w:eastAsia="Times New Roman"/>
          <w:color w:val="000000" w:themeColor="text1"/>
        </w:rPr>
      </w:pPr>
      <w:r w:rsidRPr="00244161">
        <w:rPr>
          <w:rFonts w:eastAsia="Times New Roman"/>
          <w:color w:val="000000" w:themeColor="text1"/>
        </w:rPr>
        <w:t>This specific autoregressive functional form is strictly structured to avoid look</w:t>
      </w:r>
      <w:r w:rsidR="3CB00BA7" w:rsidRPr="00244161">
        <w:rPr>
          <w:rFonts w:eastAsia="Times New Roman"/>
          <w:color w:val="000000" w:themeColor="text1"/>
        </w:rPr>
        <w:t>-</w:t>
      </w:r>
      <w:r w:rsidRPr="00244161">
        <w:rPr>
          <w:rFonts w:eastAsia="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color w:val="000000" w:themeColor="text1"/>
        </w:rPr>
        <w:t xml:space="preserve"> </w:t>
      </w:r>
      <w:r w:rsidRPr="00244161">
        <w:rPr>
          <w:rFonts w:eastAsia="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color w:val="000000" w:themeColor="text1"/>
        </w:rPr>
        <w:t xml:space="preserve"> Group</w:t>
      </w:r>
      <w:r w:rsidRPr="00244161">
        <w:rPr>
          <w:rFonts w:eastAsia="Times New Roman"/>
          <w:color w:val="000000" w:themeColor="text1"/>
        </w:rPr>
        <w:t>.</w:t>
      </w:r>
    </w:p>
    <w:p w:rsidR="2DC85E35" w:rsidRPr="00244161" w:rsidRDefault="009586D3"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3.2.2 Random Forest Specification</w:t>
      </w:r>
    </w:p>
    <w:p w:rsidR="2DC85E35" w:rsidRPr="00244161" w:rsidRDefault="153AB6A9" w:rsidP="00B61C71">
      <w:pPr>
        <w:spacing w:after="0" w:line="480" w:lineRule="auto"/>
        <w:ind w:firstLine="720"/>
        <w:jc w:val="both"/>
        <w:rPr>
          <w:rFonts w:eastAsia="Times New Roman"/>
          <w:color w:val="000000" w:themeColor="text1"/>
        </w:rPr>
      </w:pPr>
      <w:r w:rsidRPr="00244161">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jc w:val="both"/>
        <w:rPr>
          <w:rFonts w:eastAsia="Times New Roman"/>
          <w:b/>
          <w:bCs/>
          <w:color w:val="000000" w:themeColor="text1"/>
        </w:rPr>
      </w:pPr>
      <w:r w:rsidRPr="00244161">
        <w:rPr>
          <w:rFonts w:eastAsia="Times New Roman"/>
          <w:b/>
          <w:bCs/>
          <w:color w:val="000000" w:themeColor="text1"/>
        </w:rPr>
        <w:t>1. Bootstrap Aggregating (Bagging)</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m:t>
        </m:r>
      </m:oMath>
      <w:r w:rsidRPr="00244161">
        <w:rPr>
          <w:rFonts w:eastAsia="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color w:val="000000" w:themeColor="text1"/>
        </w:rPr>
        <w:t xml:space="preserve">, and </w:t>
      </w:r>
      <m:oMath>
        <m:r>
          <w:rPr>
            <w:rFonts w:ascii="Cambria Math" w:hAnsi="Cambria Math"/>
            <w:color w:val="000000" w:themeColor="text1"/>
          </w:rPr>
          <m:t>T</m:t>
        </m:r>
      </m:oMath>
      <w:r w:rsidRPr="00244161">
        <w:rPr>
          <w:rFonts w:eastAsia="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ind w:firstLine="720"/>
        <w:jc w:val="both"/>
        <w:rPr>
          <w:rFonts w:eastAsia="Times New Roman"/>
          <w:color w:val="000000" w:themeColor="text1"/>
        </w:rPr>
      </w:pPr>
      <w:r w:rsidRPr="00244161">
        <w:rPr>
          <w:rFonts w:eastAsia="Times New Roman"/>
          <w:color w:val="000000" w:themeColor="text1"/>
        </w:rPr>
        <w:lastRenderedPageBreak/>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 xml:space="preserve"> is drawn </w:t>
      </w:r>
      <w:proofErr w:type="gramStart"/>
      <w:r w:rsidRPr="00244161">
        <w:rPr>
          <w:rFonts w:eastAsia="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color w:val="000000" w:themeColor="text1"/>
        </w:rPr>
        <w:t xml:space="preserve">. A distinct regression tree, denoted </w:t>
      </w:r>
      <w:proofErr w:type="gramStart"/>
      <w:r w:rsidRPr="00244161">
        <w:rPr>
          <w:rFonts w:eastAsia="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color w:val="000000" w:themeColor="text1"/>
        </w:rPr>
        <w:t>.</w:t>
      </w:r>
    </w:p>
    <w:p w:rsidR="2DC85E35" w:rsidRPr="00244161" w:rsidRDefault="51B10977" w:rsidP="00B61C71">
      <w:pPr>
        <w:spacing w:after="0" w:line="480" w:lineRule="auto"/>
        <w:jc w:val="both"/>
        <w:rPr>
          <w:rFonts w:eastAsia="Times New Roman"/>
          <w:b/>
          <w:bCs/>
          <w:color w:val="000000" w:themeColor="text1"/>
        </w:rPr>
      </w:pPr>
      <w:r w:rsidRPr="00244161">
        <w:rPr>
          <w:rFonts w:eastAsia="Times New Roman"/>
          <w:b/>
          <w:bCs/>
          <w:color w:val="000000" w:themeColor="text1"/>
        </w:rPr>
        <w:t>2. Tree Construction and Feature Randomness</w:t>
      </w:r>
    </w:p>
    <w:p w:rsidR="2DC85E35" w:rsidRPr="00244161" w:rsidRDefault="31514E1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At each node of the </w:t>
      </w:r>
      <w:proofErr w:type="gramStart"/>
      <w:r w:rsidRPr="00244161">
        <w:rPr>
          <w:rFonts w:eastAsia="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a random subset of </w:t>
      </w:r>
      <m:oMath>
        <m:r>
          <w:rPr>
            <w:rFonts w:ascii="Cambria Math" w:hAnsi="Cambria Math"/>
            <w:color w:val="000000" w:themeColor="text1"/>
          </w:rPr>
          <m:t>m </m:t>
        </m:r>
      </m:oMath>
      <w:r w:rsidRPr="00244161">
        <w:rPr>
          <w:rFonts w:eastAsia="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For regression tasks, this subset is typically established </w:t>
      </w:r>
      <w:proofErr w:type="gramStart"/>
      <w:r w:rsidRPr="00244161">
        <w:rPr>
          <w:rFonts w:eastAsia="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color w:val="000000" w:themeColor="text1"/>
        </w:rPr>
        <w:t>.</w:t>
      </w:r>
    </w:p>
    <w:p w:rsidR="00F2530B"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color w:val="000000" w:themeColor="text1"/>
        </w:rPr>
        <w:t xml:space="preserve"> (from the </w:t>
      </w:r>
      <m:oMath>
        <m:r>
          <w:rPr>
            <w:rFonts w:ascii="Cambria Math" w:hAnsi="Cambria Math"/>
            <w:color w:val="000000" w:themeColor="text1"/>
          </w:rPr>
          <m:t>m </m:t>
        </m:r>
      </m:oMath>
      <w:r w:rsidRPr="00244161">
        <w:rPr>
          <w:rFonts w:eastAsia="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color w:val="000000" w:themeColor="text1"/>
        </w:rPr>
        <w:t xml:space="preserve"> is chosen to minimize:</w:t>
      </w:r>
    </w:p>
    <w:p w:rsidR="00F2530B" w:rsidRPr="00244161" w:rsidRDefault="00E20D58"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 </w:t>
      </w:r>
      <w:r w:rsidR="52A98F5E" w:rsidRPr="00244161">
        <w:rPr>
          <w:rFonts w:eastAsia="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color w:val="000000" w:themeColor="text1"/>
        </w:rPr>
        <w:t xml:space="preserve"> are the partitioned feature </w:t>
      </w:r>
      <w:r w:rsidR="77E39F4B" w:rsidRPr="00244161">
        <w:rPr>
          <w:rFonts w:eastAsia="Times New Roman"/>
          <w:color w:val="000000" w:themeColor="text1"/>
        </w:rPr>
        <w:t>spaces and</w:t>
      </w:r>
      <w:r w:rsidR="52A98F5E" w:rsidRPr="00244161">
        <w:rPr>
          <w:rFonts w:eastAsia="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color w:val="000000" w:themeColor="text1"/>
        </w:rPr>
        <w:t xml:space="preserve"> represents the mean of the observed returns within that specific </w:t>
      </w:r>
      <w:r w:rsidR="2A427B96" w:rsidRPr="00244161">
        <w:rPr>
          <w:rFonts w:eastAsia="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color w:val="000000" w:themeColor="text1"/>
        </w:rPr>
        <w:t xml:space="preserve"> is grown deeply without pruning. While a single unpruned tree captures highly complex, non</w:t>
      </w:r>
      <w:r w:rsidR="3CB00BA7" w:rsidRPr="00244161">
        <w:rPr>
          <w:rFonts w:eastAsia="Times New Roman"/>
          <w:color w:val="000000" w:themeColor="text1"/>
        </w:rPr>
        <w:t>-</w:t>
      </w:r>
      <w:r w:rsidRPr="00244161">
        <w:rPr>
          <w:rFonts w:eastAsia="Times New Roman"/>
          <w:color w:val="000000" w:themeColor="text1"/>
        </w:rPr>
        <w:t xml:space="preserve">linear market relationships with low bias, it </w:t>
      </w:r>
      <w:r w:rsidR="5219A071" w:rsidRPr="00244161">
        <w:rPr>
          <w:rFonts w:eastAsia="Times New Roman"/>
          <w:color w:val="000000" w:themeColor="text1"/>
        </w:rPr>
        <w:t>suffers</w:t>
      </w:r>
      <w:r w:rsidRPr="00244161">
        <w:rPr>
          <w:rFonts w:eastAsia="Times New Roman"/>
          <w:color w:val="000000" w:themeColor="text1"/>
        </w:rPr>
        <w:t xml:space="preserve"> high variance (over</w:t>
      </w:r>
      <w:r w:rsidR="3CB00BA7" w:rsidRPr="00244161">
        <w:rPr>
          <w:rFonts w:eastAsia="Times New Roman"/>
          <w:color w:val="000000" w:themeColor="text1"/>
        </w:rPr>
        <w:t>-</w:t>
      </w:r>
      <w:r w:rsidRPr="00244161">
        <w:rPr>
          <w:rFonts w:eastAsia="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color w:val="000000" w:themeColor="text1"/>
        </w:rPr>
        <w:t xml:space="preserve"> independently trained trees.</w:t>
      </w:r>
    </w:p>
    <w:p w:rsidR="2DC85E35" w:rsidRPr="00244161" w:rsidRDefault="52A98F5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aggregate Random Forest prediction for the weekly return at </w:t>
      </w:r>
      <w:proofErr w:type="gramStart"/>
      <w:r w:rsidRPr="00244161">
        <w:rPr>
          <w:rFonts w:eastAsia="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is mathematically specified as:</w:t>
      </w:r>
    </w:p>
    <w:p w:rsidR="2DC85E35" w:rsidRPr="00244161" w:rsidRDefault="00E20D58"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lastRenderedPageBreak/>
        <w:t>where</w:t>
      </w:r>
      <w:proofErr w:type="gramEnd"/>
      <w:r w:rsidR="00CC3A70" w:rsidRPr="00244161">
        <w:rPr>
          <w:rFonts w:eastAsia="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color w:val="000000" w:themeColor="text1"/>
        </w:rPr>
        <w:t xml:space="preserve"> is the forecasted logarit</w:t>
      </w:r>
      <w:r w:rsidR="00CC3A70" w:rsidRPr="00244161">
        <w:rPr>
          <w:rFonts w:eastAsia="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color w:val="000000" w:themeColor="text1"/>
        </w:rPr>
        <w:t xml:space="preserve"> is the total number of regression trees in the forest ensemble (a hyperparameter that will be optimized d</w:t>
      </w:r>
      <w:r w:rsidR="00CC3A70" w:rsidRPr="00244161">
        <w:rPr>
          <w:rFonts w:eastAsia="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color w:val="000000" w:themeColor="text1"/>
        </w:rPr>
        <w:t>-</w:t>
      </w:r>
      <w:proofErr w:type="spellStart"/>
      <w:r w:rsidR="665A2B6B" w:rsidRPr="00244161">
        <w:rPr>
          <w:rFonts w:eastAsia="Times New Roman"/>
          <w:color w:val="000000" w:themeColor="text1"/>
        </w:rPr>
        <w:t>th</w:t>
      </w:r>
      <w:proofErr w:type="spellEnd"/>
      <w:r w:rsidR="665A2B6B" w:rsidRPr="00244161">
        <w:rPr>
          <w:rFonts w:eastAsia="Times New Roman"/>
          <w:color w:val="000000" w:themeColor="text1"/>
        </w:rPr>
        <w:t xml:space="preserve"> individual regression tree based on the 13</w:t>
      </w:r>
      <w:r w:rsidR="3CB00BA7" w:rsidRPr="00244161">
        <w:rPr>
          <w:rFonts w:eastAsia="Times New Roman"/>
          <w:color w:val="000000" w:themeColor="text1"/>
        </w:rPr>
        <w:t>-</w:t>
      </w:r>
      <w:r w:rsidR="665A2B6B" w:rsidRPr="00244161">
        <w:rPr>
          <w:rFonts w:eastAsia="Times New Roman"/>
          <w:color w:val="000000" w:themeColor="text1"/>
        </w:rPr>
        <w:t xml:space="preserve">dimensional feature vector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665A2B6B" w:rsidRPr="00244161">
        <w:rPr>
          <w:rFonts w:eastAsia="Times New Roman"/>
          <w:color w:val="000000" w:themeColor="text1"/>
        </w:rPr>
        <w:t>.</w:t>
      </w:r>
    </w:p>
    <w:p w:rsidR="2DC85E35" w:rsidRPr="00244161" w:rsidRDefault="3184A9BB"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3.2.3 </w:t>
      </w:r>
      <w:proofErr w:type="spellStart"/>
      <w:proofErr w:type="gramStart"/>
      <w:r w:rsidRPr="00244161">
        <w:rPr>
          <w:rFonts w:eastAsia="Times New Roman"/>
          <w:b/>
          <w:bCs/>
          <w:color w:val="000000" w:themeColor="text1"/>
        </w:rPr>
        <w:t>eXtreme</w:t>
      </w:r>
      <w:proofErr w:type="spellEnd"/>
      <w:proofErr w:type="gramEnd"/>
      <w:r w:rsidRPr="00244161">
        <w:rPr>
          <w:rFonts w:eastAsia="Times New Roman"/>
          <w:b/>
          <w:bCs/>
          <w:color w:val="000000" w:themeColor="text1"/>
        </w:rPr>
        <w:t xml:space="preserve"> Gradient Boosting (</w:t>
      </w: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w:t>
      </w:r>
    </w:p>
    <w:p w:rsidR="169D4331" w:rsidRPr="00244161" w:rsidRDefault="4A995ECD" w:rsidP="00B61C71">
      <w:pPr>
        <w:spacing w:after="0" w:line="480" w:lineRule="auto"/>
        <w:ind w:firstLine="720"/>
        <w:jc w:val="both"/>
        <w:rPr>
          <w:rFonts w:eastAsia="Times New Roman"/>
          <w:color w:val="000000" w:themeColor="text1"/>
        </w:rPr>
      </w:pPr>
      <w:r w:rsidRPr="00244161">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jc w:val="both"/>
        <w:rPr>
          <w:rFonts w:eastAsia="Times New Roman"/>
          <w:b/>
          <w:bCs/>
          <w:color w:val="000000" w:themeColor="text1"/>
        </w:rPr>
      </w:pPr>
      <w:r w:rsidRPr="00244161">
        <w:rPr>
          <w:rFonts w:eastAsia="Times New Roman"/>
          <w:b/>
          <w:bCs/>
          <w:color w:val="000000" w:themeColor="text1"/>
        </w:rPr>
        <w:t>1. The Additive Model Specification</w:t>
      </w:r>
    </w:p>
    <w:p w:rsidR="2B09352C" w:rsidRPr="00244161" w:rsidRDefault="0031267F"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The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color w:val="000000" w:themeColor="text1"/>
        </w:rPr>
        <w:t xml:space="preserve"> containing the thirteen extracted market indicators, the aggregated XGBoost forecast is defined as:</w:t>
      </w:r>
    </w:p>
    <w:p w:rsidR="28C1B626" w:rsidRPr="00244161" w:rsidRDefault="00E20D58"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ind w:firstLine="720"/>
        <w:jc w:val="both"/>
        <w:rPr>
          <w:rFonts w:eastAsia="Times New Roman"/>
          <w:color w:val="000000" w:themeColor="text1"/>
        </w:rPr>
      </w:pPr>
      <w:r w:rsidRPr="00244161">
        <w:rPr>
          <w:rFonts w:eastAsia="Times New Roman"/>
          <w:color w:val="000000" w:themeColor="text1"/>
        </w:rPr>
        <w:t>w</w:t>
      </w:r>
      <w:r w:rsidR="58A85989" w:rsidRPr="00244161">
        <w:rPr>
          <w:rFonts w:eastAsia="Times New Roman"/>
          <w:color w:val="000000" w:themeColor="text1"/>
        </w:rPr>
        <w:t>he</w:t>
      </w:r>
      <w:r w:rsidRPr="00244161">
        <w:rPr>
          <w:rFonts w:eastAsia="Times New Roman"/>
          <w:color w:val="000000" w:themeColor="text1"/>
        </w:rPr>
        <w:t>re</w:t>
      </w:r>
      <w:r w:rsidR="00D7573B" w:rsidRPr="00244161">
        <w:rPr>
          <w:rFonts w:eastAsia="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color w:val="000000" w:themeColor="text1"/>
        </w:rPr>
        <w:t xml:space="preserve"> is th</w:t>
      </w:r>
      <w:r w:rsidR="00D7573B" w:rsidRPr="00244161">
        <w:rPr>
          <w:rFonts w:eastAsia="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color w:val="000000" w:themeColor="text1"/>
        </w:rPr>
        <w:t xml:space="preserve"> is the</w:t>
      </w:r>
      <w:r w:rsidR="00D7573B" w:rsidRPr="00244161">
        <w:rPr>
          <w:rFonts w:eastAsia="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color w:val="000000" w:themeColor="text1"/>
        </w:rPr>
        <w:t>of all possible trees.</w:t>
      </w:r>
    </w:p>
    <w:p w:rsidR="65F995CD" w:rsidRPr="00244161" w:rsidRDefault="31F2CD3E" w:rsidP="00B61C71">
      <w:pPr>
        <w:spacing w:after="0" w:line="480" w:lineRule="auto"/>
        <w:jc w:val="both"/>
        <w:rPr>
          <w:rFonts w:eastAsia="Times New Roman"/>
          <w:b/>
          <w:bCs/>
          <w:color w:val="000000" w:themeColor="text1"/>
        </w:rPr>
      </w:pPr>
      <w:r w:rsidRPr="00244161">
        <w:rPr>
          <w:rFonts w:eastAsia="Times New Roman"/>
          <w:b/>
          <w:bCs/>
          <w:color w:val="000000" w:themeColor="text1"/>
        </w:rPr>
        <w:t>2. The Regularized Objective Function</w:t>
      </w:r>
    </w:p>
    <w:p w:rsidR="65F995CD" w:rsidRPr="00244161" w:rsidRDefault="31F2CD3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Financial time series are notoriously noisy, making complex models highly susceptible to overfitting.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addresses this by optimizing a regularized objective function at each sequential step</w:t>
      </w:r>
      <w:r w:rsidR="7C990296" w:rsidRPr="00244161">
        <w:rPr>
          <w:rFonts w:eastAsia="Times New Roman"/>
          <w:color w:val="000000" w:themeColor="text1"/>
        </w:rPr>
        <w:t xml:space="preserve"> </w:t>
      </w:r>
      <m:oMath>
        <m:r>
          <w:rPr>
            <w:rFonts w:ascii="Cambria Math" w:hAnsi="Cambria Math"/>
            <w:color w:val="000000" w:themeColor="text1"/>
          </w:rPr>
          <m:t>t </m:t>
        </m:r>
      </m:oMath>
      <w:r w:rsidRPr="00244161">
        <w:rPr>
          <w:rFonts w:eastAsia="Times New Roman"/>
          <w:color w:val="000000" w:themeColor="text1"/>
        </w:rPr>
        <w:t xml:space="preserve"> (not to be confused with time </w:t>
      </w:r>
      <w:proofErr w:type="gramStart"/>
      <w:r w:rsidRPr="00244161">
        <w:rPr>
          <w:rFonts w:eastAsia="Times New Roman"/>
          <w:color w:val="000000" w:themeColor="text1"/>
        </w:rPr>
        <w:t>index</w:t>
      </w:r>
      <w:r w:rsidR="6B6BF4DF" w:rsidRPr="00244161">
        <w:rPr>
          <w:rFonts w:eastAsia="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00D7573B" w:rsidRPr="00244161">
        <w:rPr>
          <w:rFonts w:eastAsia="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1F1BE260" w:rsidRPr="00244161">
        <w:rPr>
          <w:rFonts w:eastAsia="Times New Roman"/>
          <w:color w:val="000000" w:themeColor="text1"/>
        </w:rPr>
        <w:t>here</w:t>
      </w:r>
      <w:proofErr w:type="gramEnd"/>
      <w:r w:rsidR="1F1BE260" w:rsidRPr="00244161">
        <w:rPr>
          <w:rFonts w:eastAsia="Times New Roman"/>
          <w:color w:val="000000" w:themeColor="text1"/>
        </w:rPr>
        <w:t xml:space="preserve"> </w:t>
      </w:r>
      <m:oMath>
        <m:r>
          <w:rPr>
            <w:rFonts w:ascii="Cambria Math" w:hAnsi="Cambria Math"/>
            <w:color w:val="000000" w:themeColor="text1"/>
          </w:rPr>
          <m:t>T </m:t>
        </m:r>
      </m:oMath>
      <w:r w:rsidR="1F1BE260" w:rsidRPr="00244161">
        <w:rPr>
          <w:rFonts w:eastAsia="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color w:val="000000" w:themeColor="text1"/>
        </w:rPr>
        <w:t xml:space="preserve"> is the L2 regularization term on the weights. By aggressively penalizing complexity, the XGBoost model isolates true predictive signals from transient market noise on the NGX.</w:t>
      </w:r>
    </w:p>
    <w:p w:rsidR="7187619A" w:rsidRPr="00244161" w:rsidRDefault="714FCAC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3.2.4 The Tail</w:t>
      </w:r>
      <w:r w:rsidR="3CB00BA7" w:rsidRPr="00244161">
        <w:rPr>
          <w:rFonts w:eastAsia="Times New Roman"/>
          <w:b/>
          <w:bCs/>
          <w:color w:val="000000" w:themeColor="text1"/>
        </w:rPr>
        <w:t>-</w:t>
      </w:r>
      <w:r w:rsidRPr="00244161">
        <w:rPr>
          <w:rFonts w:eastAsia="Times New Roman"/>
          <w:b/>
          <w:bCs/>
          <w:color w:val="000000" w:themeColor="text1"/>
        </w:rPr>
        <w:t>Risk Aware (Mean</w:t>
      </w:r>
      <w:r w:rsidR="3CB00BA7" w:rsidRPr="00244161">
        <w:rPr>
          <w:rFonts w:eastAsia="Times New Roman"/>
          <w:b/>
          <w:bCs/>
          <w:color w:val="000000" w:themeColor="text1"/>
        </w:rPr>
        <w:t>-</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 Optimization Model</w:t>
      </w:r>
    </w:p>
    <w:p w:rsidR="78861E12" w:rsidRPr="00244161" w:rsidRDefault="406F5F67" w:rsidP="00B61C71">
      <w:pPr>
        <w:spacing w:after="0" w:line="480" w:lineRule="auto"/>
        <w:ind w:firstLine="720"/>
        <w:jc w:val="both"/>
        <w:rPr>
          <w:rFonts w:eastAsia="Times New Roman"/>
          <w:color w:val="000000" w:themeColor="text1"/>
        </w:rPr>
      </w:pPr>
      <w: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ind w:firstLine="720"/>
        <w:jc w:val="both"/>
        <w:rPr>
          <w:rFonts w:eastAsia="Times New Roman"/>
          <w:color w:val="000000" w:themeColor="text1"/>
        </w:rPr>
      </w:pPr>
      <w:r w:rsidRPr="00244161">
        <w:rPr>
          <w:rFonts w:eastAsia="Times New Roman"/>
          <w:color w:val="000000" w:themeColor="text1"/>
        </w:rPr>
        <w:t>To account for the severe downside volatility inherent in emerging equity markets, this study discards the traditional Mean</w:t>
      </w:r>
      <w:r w:rsidR="3CB00BA7" w:rsidRPr="00244161">
        <w:rPr>
          <w:rFonts w:eastAsia="Times New Roman"/>
          <w:color w:val="000000" w:themeColor="text1"/>
        </w:rPr>
        <w:t>-</w:t>
      </w:r>
      <w:r w:rsidRPr="00244161">
        <w:rPr>
          <w:rFonts w:eastAsia="Times New Roman"/>
          <w:color w:val="000000" w:themeColor="text1"/>
        </w:rPr>
        <w:t>Variance framework (which assumes normally distributed returns) in favor of the Mean</w:t>
      </w:r>
      <w:r w:rsidR="3CB00BA7" w:rsidRPr="00244161">
        <w:rPr>
          <w:rFonts w:eastAsia="Times New Roman"/>
          <w:color w:val="000000" w:themeColor="text1"/>
        </w:rPr>
        <w:t>-</w:t>
      </w:r>
      <w:r w:rsidRPr="00244161">
        <w:rPr>
          <w:rFonts w:eastAsia="Times New Roman"/>
          <w:color w:val="000000" w:themeColor="text1"/>
        </w:rPr>
        <w:t>Conditional Value at Risk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framework.</w:t>
      </w:r>
    </w:p>
    <w:p w:rsidR="0C80C9C9" w:rsidRPr="00244161" w:rsidRDefault="47BC7A9E" w:rsidP="00B61C71">
      <w:pPr>
        <w:spacing w:after="0" w:line="480" w:lineRule="auto"/>
        <w:jc w:val="both"/>
        <w:rPr>
          <w:rFonts w:eastAsia="Times New Roman"/>
          <w:b/>
          <w:bCs/>
          <w:color w:val="000000" w:themeColor="text1"/>
        </w:rPr>
      </w:pPr>
      <w:r w:rsidRPr="00244161">
        <w:rPr>
          <w:rFonts w:eastAsia="Times New Roman"/>
          <w:b/>
          <w:bCs/>
          <w:color w:val="000000" w:themeColor="text1"/>
        </w:rPr>
        <w:t xml:space="preserve">1. Formulation of Portfolio Loss and </w:t>
      </w:r>
      <w:proofErr w:type="spellStart"/>
      <w:r w:rsidRPr="00244161">
        <w:rPr>
          <w:rFonts w:eastAsia="Times New Roman"/>
          <w:b/>
          <w:bCs/>
          <w:color w:val="000000" w:themeColor="text1"/>
        </w:rPr>
        <w:t>VaR</w:t>
      </w:r>
      <w:proofErr w:type="spellEnd"/>
    </w:p>
    <w:p w:rsidR="0C80C9C9" w:rsidRPr="00244161" w:rsidRDefault="47BC7A9E"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Let </w:t>
      </w:r>
      <m:oMath>
        <m:r>
          <w:rPr>
            <w:rFonts w:ascii="Cambria Math" w:hAnsi="Cambria Math"/>
            <w:color w:val="000000" w:themeColor="text1"/>
          </w:rPr>
          <m:t>w </m:t>
        </m:r>
      </m:oMath>
      <w:r w:rsidRPr="00244161">
        <w:rPr>
          <w:rFonts w:eastAsia="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color w:val="000000" w:themeColor="text1"/>
        </w:rPr>
        <w:t xml:space="preserve">constituent assets of the NGX Pension </w:t>
      </w:r>
      <w:r w:rsidR="4C9A470E" w:rsidRPr="00244161">
        <w:rPr>
          <w:rFonts w:eastAsia="Times New Roman"/>
          <w:color w:val="000000" w:themeColor="text1"/>
        </w:rPr>
        <w:t>Index and</w:t>
      </w:r>
      <w:r w:rsidRPr="00244161">
        <w:rPr>
          <w:rFonts w:eastAsia="Times New Roman"/>
          <w:color w:val="000000" w:themeColor="text1"/>
        </w:rPr>
        <w:t xml:space="preserve"> </w:t>
      </w:r>
      <m:oMath>
        <m:r>
          <w:rPr>
            <w:rFonts w:ascii="Cambria Math" w:hAnsi="Cambria Math"/>
            <w:color w:val="000000" w:themeColor="text1"/>
          </w:rPr>
          <m:t>r </m:t>
        </m:r>
      </m:oMath>
      <w:r w:rsidRPr="00244161">
        <w:rPr>
          <w:rFonts w:eastAsia="Times New Roman"/>
          <w:color w:val="000000" w:themeColor="text1"/>
        </w:rPr>
        <w:t xml:space="preserve"> r</w:t>
      </w:r>
      <w:r w:rsidR="55AB2E1B" w:rsidRPr="00244161">
        <w:rPr>
          <w:rFonts w:eastAsia="Times New Roman"/>
          <w:color w:val="000000" w:themeColor="text1"/>
        </w:rPr>
        <w:t xml:space="preserve"> r</w:t>
      </w:r>
      <w:r w:rsidRPr="00244161">
        <w:rPr>
          <w:rFonts w:eastAsia="Times New Roman"/>
          <w:color w:val="000000" w:themeColor="text1"/>
        </w:rPr>
        <w:t xml:space="preserve">epresent the vector of actual asset returns. The portfolio loss function is defined as the negative of the portfolio </w:t>
      </w:r>
      <w:r w:rsidR="29AD428E" w:rsidRPr="00244161">
        <w:rPr>
          <w:rFonts w:eastAsia="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color w:val="000000" w:themeColor="text1"/>
        </w:rPr>
        <w:t xml:space="preserve"> is the </w:t>
      </w:r>
      <m:oMath>
        <m:r>
          <w:rPr>
            <w:rFonts w:ascii="Cambria Math" w:hAnsi="Cambria Math"/>
            <w:color w:val="000000" w:themeColor="text1"/>
          </w:rPr>
          <m:t>n</m:t>
        </m:r>
      </m:oMath>
      <w:r w:rsidRPr="00244161">
        <w:rPr>
          <w:rFonts w:eastAsia="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color w:val="000000" w:themeColor="text1"/>
        </w:rPr>
        <w:t>).</w:t>
      </w:r>
      <w:r w:rsidR="00501293" w:rsidRPr="00244161">
        <w:rPr>
          <w:rFonts w:eastAsia="Times New Roman"/>
          <w:color w:val="000000" w:themeColor="text1"/>
        </w:rPr>
        <w:t xml:space="preserve"> </w:t>
      </w:r>
      <w:r w:rsidR="47BC7A9E" w:rsidRPr="00244161">
        <w:rPr>
          <w:rFonts w:eastAsia="Times New Roman"/>
          <w:color w:val="000000" w:themeColor="text1"/>
        </w:rPr>
        <w:t xml:space="preserve">Before defining </w:t>
      </w:r>
      <w:proofErr w:type="spellStart"/>
      <w:r w:rsidR="47BC7A9E" w:rsidRPr="00244161">
        <w:rPr>
          <w:rFonts w:eastAsia="Times New Roman"/>
          <w:color w:val="000000" w:themeColor="text1"/>
        </w:rPr>
        <w:t>CVaR</w:t>
      </w:r>
      <w:proofErr w:type="spellEnd"/>
      <w:r w:rsidR="47BC7A9E" w:rsidRPr="00244161">
        <w:rPr>
          <w:rFonts w:eastAsia="Times New Roman"/>
          <w:color w:val="000000" w:themeColor="text1"/>
        </w:rPr>
        <w:t>, the Value at Risk (</w:t>
      </w:r>
      <w:proofErr w:type="spellStart"/>
      <w:r w:rsidR="47BC7A9E" w:rsidRPr="00244161">
        <w:rPr>
          <w:rFonts w:eastAsia="Times New Roman"/>
          <w:color w:val="000000" w:themeColor="text1"/>
        </w:rPr>
        <w:t>VaR</w:t>
      </w:r>
      <w:proofErr w:type="spellEnd"/>
      <w:r w:rsidR="47BC7A9E" w:rsidRPr="00244161">
        <w:rPr>
          <w:rFonts w:eastAsia="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color w:val="000000" w:themeColor="text1"/>
        </w:rPr>
        <w:t xml:space="preserve"> (e.g., 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color w:val="000000" w:themeColor="text1"/>
        </w:rPr>
        <w:t xml:space="preserve"> worst</w:t>
      </w:r>
      <w:r w:rsidR="3CB00BA7" w:rsidRPr="00244161">
        <w:rPr>
          <w:rFonts w:eastAsia="Times New Roman"/>
          <w:color w:val="000000" w:themeColor="text1"/>
        </w:rPr>
        <w:t>-</w:t>
      </w:r>
      <w:r w:rsidR="47BC7A9E" w:rsidRPr="00244161">
        <w:rPr>
          <w:rFonts w:eastAsia="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color w:val="000000" w:themeColor="text1"/>
        </w:rPr>
        <w:t xml:space="preserve"> is the cumulative distribution function of portfolio loss.</w:t>
      </w:r>
    </w:p>
    <w:p w:rsidR="503A75D7" w:rsidRPr="00244161" w:rsidRDefault="28F3B1EC" w:rsidP="00B61C71">
      <w:pPr>
        <w:spacing w:after="0" w:line="480" w:lineRule="auto"/>
        <w:jc w:val="both"/>
        <w:rPr>
          <w:rFonts w:eastAsia="Times New Roman"/>
          <w:b/>
          <w:bCs/>
          <w:color w:val="000000" w:themeColor="text1"/>
        </w:rPr>
      </w:pPr>
      <w:r w:rsidRPr="00244161">
        <w:rPr>
          <w:rFonts w:eastAsia="Times New Roman"/>
          <w:b/>
          <w:bCs/>
          <w:color w:val="000000" w:themeColor="text1"/>
        </w:rPr>
        <w:t>2. Conditional Value at Risk (</w:t>
      </w:r>
      <w:proofErr w:type="spellStart"/>
      <w:r w:rsidRPr="00244161">
        <w:rPr>
          <w:rFonts w:eastAsia="Times New Roman"/>
          <w:b/>
          <w:bCs/>
          <w:color w:val="000000" w:themeColor="text1"/>
        </w:rPr>
        <w:t>CVaR</w:t>
      </w:r>
      <w:proofErr w:type="spellEnd"/>
      <w:r w:rsidRPr="00244161">
        <w:rPr>
          <w:rFonts w:eastAsia="Times New Roman"/>
          <w:b/>
          <w:bCs/>
          <w:color w:val="000000" w:themeColor="text1"/>
        </w:rPr>
        <w:t>)</w:t>
      </w:r>
    </w:p>
    <w:p w:rsidR="005574A1" w:rsidRPr="00244161" w:rsidRDefault="005574A1" w:rsidP="00B61C71">
      <w:pPr>
        <w:spacing w:after="0" w:line="480" w:lineRule="auto"/>
        <w:ind w:firstLine="720"/>
        <w:jc w:val="both"/>
        <w:rPr>
          <w:rFonts w:eastAsia="Times New Roman"/>
          <w:bCs/>
          <w:color w:val="000000" w:themeColor="text1"/>
        </w:rPr>
      </w:pPr>
      <w:r w:rsidRPr="00244161">
        <w:rPr>
          <w:rFonts w:eastAsia="Times New Roman"/>
          <w:bCs/>
          <w:color w:val="000000" w:themeColor="text1"/>
        </w:rPr>
        <w:t>Conditional Value-at-Risk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bCs/>
          <w:color w:val="000000" w:themeColor="text1"/>
        </w:rPr>
        <w:t>VaR</w:t>
      </w:r>
      <w:proofErr w:type="spellEnd"/>
      <w:r w:rsidRPr="00244161">
        <w:rPr>
          <w:rFonts w:eastAsia="Times New Roman"/>
          <w:bCs/>
          <w:color w:val="000000" w:themeColor="text1"/>
        </w:rPr>
        <w:t xml:space="preserve">, which is tail-blind beyond the cutoff percentile,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captures the magnitude of extreme tail losses and satisfies the properties of a coherent risk measure (</w:t>
      </w:r>
      <w:proofErr w:type="spellStart"/>
      <w:r w:rsidRPr="00244161">
        <w:rPr>
          <w:rFonts w:eastAsia="Times New Roman"/>
          <w:bCs/>
          <w:color w:val="000000" w:themeColor="text1"/>
        </w:rPr>
        <w:t>Artzner</w:t>
      </w:r>
      <w:proofErr w:type="spellEnd"/>
      <w:r w:rsidRPr="00244161">
        <w:rPr>
          <w:rFonts w:eastAsia="Times New Roman"/>
          <w:bCs/>
          <w:color w:val="000000" w:themeColor="text1"/>
        </w:rPr>
        <w:t xml:space="preserve"> et al., 1999). For a continuous loss distribution, </w:t>
      </w:r>
      <w:proofErr w:type="spellStart"/>
      <w:r w:rsidRPr="00244161">
        <w:rPr>
          <w:rFonts w:eastAsia="Times New Roman"/>
          <w:bCs/>
          <w:color w:val="000000" w:themeColor="text1"/>
        </w:rPr>
        <w:t>CVaR</w:t>
      </w:r>
      <w:proofErr w:type="spellEnd"/>
      <w:r w:rsidRPr="00244161">
        <w:rPr>
          <w:rFonts w:eastAsia="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w:t>
      </w:r>
      <m:oMath>
        <m:r>
          <w:rPr>
            <w:rFonts w:ascii="Cambria Math" w:hAnsi="Cambria Math"/>
            <w:color w:val="000000" w:themeColor="text1"/>
          </w:rPr>
          <m:t>α</m:t>
        </m:r>
      </m:oMath>
      <w:r w:rsidRPr="00244161">
        <w:rPr>
          <w:rFonts w:eastAsia="Times New Roman"/>
          <w:color w:val="000000" w:themeColor="text1"/>
        </w:rPr>
        <w:t xml:space="preserve"> is the confidence level </w:t>
      </w:r>
      <w:r w:rsidRPr="00244161">
        <w:rPr>
          <w:rFonts w:eastAsia="Times New Roman"/>
          <w:color w:val="000000" w:themeColor="text1"/>
        </w:rPr>
        <w:lastRenderedPageBreak/>
        <w:t>(</w:t>
      </w:r>
      <m:oMath>
        <m:r>
          <w:rPr>
            <w:rFonts w:ascii="Cambria Math" w:hAnsi="Cambria Math"/>
            <w:color w:val="000000" w:themeColor="text1"/>
          </w:rPr>
          <m:t>α = 0.95</m:t>
        </m:r>
      </m:oMath>
      <w:r w:rsidRPr="00244161">
        <w:rPr>
          <w:rFonts w:eastAsia="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color w:val="000000" w:themeColor="text1"/>
        </w:rPr>
        <w:t xml:space="preserve"> is the portfolio loss function.</w:t>
      </w:r>
    </w:p>
    <w:p w:rsidR="259197B6" w:rsidRPr="00244161" w:rsidRDefault="677DF53B"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Following the formulation by </w:t>
      </w:r>
      <w:proofErr w:type="spellStart"/>
      <w:r w:rsidRPr="00244161">
        <w:rPr>
          <w:rFonts w:eastAsia="Times New Roman"/>
          <w:color w:val="000000" w:themeColor="text1"/>
        </w:rPr>
        <w:t>Rockafellar</w:t>
      </w:r>
      <w:proofErr w:type="spellEnd"/>
      <w:r w:rsidRPr="00244161">
        <w:rPr>
          <w:rFonts w:eastAsia="Times New Roman"/>
          <w:color w:val="000000" w:themeColor="text1"/>
        </w:rPr>
        <w:t xml:space="preserve"> and </w:t>
      </w:r>
      <w:proofErr w:type="spellStart"/>
      <w:r w:rsidRPr="00244161">
        <w:rPr>
          <w:rFonts w:eastAsia="Times New Roman"/>
          <w:color w:val="000000" w:themeColor="text1"/>
        </w:rPr>
        <w:t>Uryasev</w:t>
      </w:r>
      <w:proofErr w:type="spellEnd"/>
      <w:r w:rsidRPr="00244161">
        <w:rPr>
          <w:rFonts w:eastAsia="Times New Roman"/>
          <w:color w:val="000000" w:themeColor="text1"/>
        </w:rPr>
        <w:t xml:space="preserve"> (2000),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can be seamlessly integrated into a linear programming problem by minimizing an auxiliary continuous and </w:t>
      </w:r>
      <w:r w:rsidR="2C5AACA8" w:rsidRPr="00244161">
        <w:rPr>
          <w:rFonts w:eastAsia="Times New Roman"/>
          <w:color w:val="000000" w:themeColor="text1"/>
        </w:rPr>
        <w:t>convex function:</w:t>
      </w:r>
    </w:p>
    <w:p w:rsidR="28C1B626"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ultimate objective of the model is to minimize the tail risk (</w:t>
      </w:r>
      <w:proofErr w:type="spellStart"/>
      <w:r w:rsidRPr="00244161">
        <w:rPr>
          <w:rFonts w:eastAsia="Times New Roman"/>
          <w:color w:val="000000" w:themeColor="text1"/>
        </w:rPr>
        <w:t>CVaR</w:t>
      </w:r>
      <w:proofErr w:type="spellEnd"/>
      <w:r w:rsidRPr="00244161">
        <w:rPr>
          <w:rFonts w:eastAsia="Times New Roman"/>
          <w:color w:val="000000" w:themeColor="text1"/>
        </w:rPr>
        <w:t>) while achieving a minimum acceptable expected return driven by the machine learning forecasts. The optimization problem is specified as:</w:t>
      </w:r>
    </w:p>
    <w:p w:rsidR="28C1B626" w:rsidRPr="00244161" w:rsidRDefault="00E20D58"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q</m:t>
        </m:r>
      </m:oMath>
      <w:r w:rsidRPr="00244161">
        <w:rPr>
          <w:rFonts w:eastAsia="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color w:val="000000" w:themeColor="text1"/>
        </w:rPr>
        <w:t xml:space="preserve">), </w:t>
      </w:r>
      <m:oMath>
        <m:r>
          <w:rPr>
            <w:rFonts w:ascii="Cambria Math" w:hAnsi="Cambria Math"/>
            <w:color w:val="000000" w:themeColor="text1"/>
          </w:rPr>
          <m:t>γ</m:t>
        </m:r>
      </m:oMath>
      <w:r w:rsidRPr="00244161">
        <w:rPr>
          <w:rFonts w:eastAsia="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color w:val="000000" w:themeColor="text1"/>
        </w:rPr>
        <w:t xml:space="preserve"> threshold, and </w:t>
      </w:r>
      <m:oMath>
        <m:r>
          <w:rPr>
            <w:rFonts w:ascii="Cambria Math" w:hAnsi="Cambria Math"/>
            <w:color w:val="000000" w:themeColor="text1"/>
          </w:rPr>
          <m:t>α</m:t>
        </m:r>
      </m:oMath>
      <w:r w:rsidRPr="00244161">
        <w:rPr>
          <w:rFonts w:eastAsia="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color w:val="000000" w:themeColor="text1"/>
        </w:rPr>
        <w:t>).</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Subject to the following empirical constraints:</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Target Return Constraint:</w:t>
      </w:r>
      <w:r w:rsidRPr="00244161">
        <w:rPr>
          <w:rFonts w:eastAsia="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color w:val="000000" w:themeColor="text1"/>
        </w:rPr>
        <w:t xml:space="preserve"> (The portfolio's expected return, leveraging the ML </w:t>
      </w:r>
      <w:proofErr w:type="gramStart"/>
      <w:r w:rsidRPr="00244161">
        <w:rPr>
          <w:rFonts w:eastAsia="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must meet or exceed a specified target).</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lastRenderedPageBreak/>
        <w:t>Budget Constraint:</w:t>
      </w:r>
      <w:r w:rsidRPr="00244161">
        <w:rPr>
          <w:rFonts w:eastAsia="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after="0" w:line="480" w:lineRule="auto"/>
        <w:jc w:val="both"/>
        <w:rPr>
          <w:rFonts w:eastAsia="Times New Roman"/>
          <w:color w:val="000000" w:themeColor="text1"/>
        </w:rPr>
      </w:pPr>
      <w:r w:rsidRPr="00244161">
        <w:rPr>
          <w:rFonts w:eastAsia="Times New Roman"/>
          <w:b/>
          <w:bCs/>
          <w:color w:val="000000" w:themeColor="text1"/>
        </w:rPr>
        <w:t>Long</w:t>
      </w:r>
      <w:r w:rsidR="3CB00BA7" w:rsidRPr="00244161">
        <w:rPr>
          <w:rFonts w:eastAsia="Times New Roman"/>
          <w:b/>
          <w:bCs/>
          <w:color w:val="000000" w:themeColor="text1"/>
        </w:rPr>
        <w:t>-</w:t>
      </w:r>
      <w:r w:rsidRPr="00244161">
        <w:rPr>
          <w:rFonts w:eastAsia="Times New Roman"/>
          <w:b/>
          <w:bCs/>
          <w:color w:val="000000" w:themeColor="text1"/>
        </w:rPr>
        <w:t>Only Constraint:</w:t>
      </w:r>
      <w:r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color w:val="000000" w:themeColor="text1"/>
        </w:rPr>
        <w:t xml:space="preserve"> (Short selling is prohibited, reflecting institutional realities on the NGX).</w:t>
      </w:r>
    </w:p>
    <w:p w:rsidR="59CFAAE6" w:rsidRPr="00244161" w:rsidRDefault="0EE42AF0" w:rsidP="00B61C71">
      <w:pPr>
        <w:spacing w:after="0" w:line="480" w:lineRule="auto"/>
        <w:ind w:firstLine="720"/>
        <w:jc w:val="both"/>
        <w:rPr>
          <w:rFonts w:eastAsia="Times New Roman"/>
          <w:color w:val="000000" w:themeColor="text1"/>
        </w:rPr>
      </w:pPr>
      <w:r w:rsidRPr="00244161">
        <w:rPr>
          <w:rFonts w:eastAsia="Times New Roman"/>
          <w:color w:val="000000" w:themeColor="text1"/>
        </w:rPr>
        <w:t>By directly feeding the non</w:t>
      </w:r>
      <w:r w:rsidR="3CB00BA7" w:rsidRPr="00244161">
        <w:rPr>
          <w:rFonts w:eastAsia="Times New Roman"/>
          <w:color w:val="000000" w:themeColor="text1"/>
        </w:rPr>
        <w:t>-</w:t>
      </w:r>
      <w:r w:rsidRPr="00244161">
        <w:rPr>
          <w:rFonts w:eastAsia="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color w:val="000000" w:themeColor="text1"/>
        </w:rPr>
        <w:t>) into this coherent risk</w:t>
      </w:r>
      <w:r w:rsidR="3CB00BA7" w:rsidRPr="00244161">
        <w:rPr>
          <w:rFonts w:eastAsia="Times New Roman"/>
          <w:color w:val="000000" w:themeColor="text1"/>
        </w:rPr>
        <w:t>-</w:t>
      </w:r>
      <w:r w:rsidRPr="00244161">
        <w:rPr>
          <w:rFonts w:eastAsia="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color w:val="000000" w:themeColor="text1"/>
        </w:rPr>
        <w:t>-</w:t>
      </w:r>
      <w:r w:rsidRPr="00244161">
        <w:rPr>
          <w:rFonts w:eastAsia="Times New Roman"/>
          <w:color w:val="000000" w:themeColor="text1"/>
        </w:rPr>
        <w:t>series over the period of 201</w:t>
      </w:r>
      <w:r w:rsidR="3FB10719" w:rsidRPr="00244161">
        <w:rPr>
          <w:rFonts w:eastAsia="Times New Roman"/>
          <w:color w:val="000000" w:themeColor="text1"/>
        </w:rPr>
        <w:t>0</w:t>
      </w:r>
      <w:r w:rsidRPr="00244161">
        <w:rPr>
          <w:rFonts w:eastAsia="Times New Roman"/>
          <w:color w:val="000000" w:themeColor="text1"/>
        </w:rPr>
        <w:t xml:space="preserve"> </w:t>
      </w:r>
      <w:r w:rsidR="3CB00BA7" w:rsidRPr="00244161">
        <w:rPr>
          <w:rFonts w:eastAsia="Times New Roman"/>
          <w:color w:val="000000" w:themeColor="text1"/>
        </w:rPr>
        <w:t>-</w:t>
      </w:r>
      <w:r w:rsidRPr="00244161">
        <w:rPr>
          <w:rFonts w:eastAsia="Times New Roman"/>
          <w:color w:val="000000" w:themeColor="text1"/>
        </w:rPr>
        <w:t xml:space="preserve">2025, it </w:t>
      </w:r>
      <w:r w:rsidR="3D27EA11" w:rsidRPr="00244161">
        <w:rPr>
          <w:rFonts w:eastAsia="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3.3.1 Time</w:t>
      </w:r>
      <w:r w:rsidR="3CB00BA7" w:rsidRPr="00244161">
        <w:rPr>
          <w:rFonts w:eastAsia="Times New Roman"/>
          <w:b/>
          <w:bCs/>
          <w:color w:val="000000" w:themeColor="text1"/>
        </w:rPr>
        <w:t>-</w:t>
      </w:r>
      <w:r w:rsidRPr="00244161">
        <w:rPr>
          <w:rFonts w:eastAsia="Times New Roman"/>
          <w:b/>
          <w:bCs/>
          <w:color w:val="000000" w:themeColor="text1"/>
        </w:rPr>
        <w:t>Series Data Partitioning (Train</w:t>
      </w:r>
      <w:r w:rsidR="3CB00BA7" w:rsidRPr="00244161">
        <w:rPr>
          <w:rFonts w:eastAsia="Times New Roman"/>
          <w:b/>
          <w:bCs/>
          <w:color w:val="000000" w:themeColor="text1"/>
        </w:rPr>
        <w:t>-</w:t>
      </w:r>
      <w:r w:rsidRPr="00244161">
        <w:rPr>
          <w:rFonts w:eastAsia="Times New Roman"/>
          <w:b/>
          <w:bCs/>
          <w:color w:val="000000" w:themeColor="text1"/>
        </w:rPr>
        <w:t>Test Split)</w:t>
      </w:r>
    </w:p>
    <w:p w:rsidR="2C45EFF5" w:rsidRPr="00244161" w:rsidRDefault="12EE1BE8" w:rsidP="00B61C71">
      <w:pPr>
        <w:spacing w:after="0" w:line="480" w:lineRule="auto"/>
        <w:ind w:firstLine="720"/>
        <w:jc w:val="both"/>
        <w:rPr>
          <w:rFonts w:eastAsia="Times New Roman"/>
          <w:color w:val="000000" w:themeColor="text1"/>
        </w:rPr>
      </w:pPr>
      <w:r w:rsidRPr="00244161">
        <w:rPr>
          <w:rFonts w:eastAsia="Times New Roman"/>
          <w:color w:val="000000" w:themeColor="text1"/>
        </w:rPr>
        <w:t>Evaluating machine learning models requires testing them on unseen, out</w:t>
      </w:r>
      <w:r w:rsidR="3CB00BA7" w:rsidRPr="00244161">
        <w:rPr>
          <w:rFonts w:eastAsia="Times New Roman"/>
          <w:color w:val="000000" w:themeColor="text1"/>
        </w:rPr>
        <w:t>-</w:t>
      </w:r>
      <w:r w:rsidRPr="00244161">
        <w:rPr>
          <w:rFonts w:eastAsia="Times New Roman"/>
          <w:color w:val="000000" w:themeColor="text1"/>
        </w:rPr>
        <w:t>of</w:t>
      </w:r>
      <w:r w:rsidR="3CB00BA7" w:rsidRPr="00244161">
        <w:rPr>
          <w:rFonts w:eastAsia="Times New Roman"/>
          <w:color w:val="000000" w:themeColor="text1"/>
        </w:rPr>
        <w:t>-</w:t>
      </w:r>
      <w:r w:rsidRPr="00244161">
        <w:rPr>
          <w:rFonts w:eastAsia="Times New Roman"/>
          <w:color w:val="000000" w:themeColor="text1"/>
        </w:rPr>
        <w:t>sample data. While traditional machine learning relies on randomized K</w:t>
      </w:r>
      <w:r w:rsidR="3CB00BA7" w:rsidRPr="00244161">
        <w:rPr>
          <w:rFonts w:eastAsia="Times New Roman"/>
          <w:color w:val="000000" w:themeColor="text1"/>
        </w:rPr>
        <w:t>-</w:t>
      </w:r>
      <w:r w:rsidRPr="00244161">
        <w:rPr>
          <w:rFonts w:eastAsia="Times New Roman"/>
          <w:color w:val="000000" w:themeColor="text1"/>
        </w:rPr>
        <w:t>fold cross</w:t>
      </w:r>
      <w:r w:rsidR="3CB00BA7" w:rsidRPr="00244161">
        <w:rPr>
          <w:rFonts w:eastAsia="Times New Roman"/>
          <w:color w:val="000000" w:themeColor="text1"/>
        </w:rPr>
        <w:t>-</w:t>
      </w:r>
      <w:r w:rsidRPr="00244161">
        <w:rPr>
          <w:rFonts w:eastAsia="Times New Roman"/>
          <w:color w:val="000000" w:themeColor="text1"/>
        </w:rPr>
        <w:t>validation, applying random splits to financial time</w:t>
      </w:r>
      <w:r w:rsidR="3CB00BA7" w:rsidRPr="00244161">
        <w:rPr>
          <w:rFonts w:eastAsia="Times New Roman"/>
          <w:color w:val="000000" w:themeColor="text1"/>
        </w:rPr>
        <w:t>-</w:t>
      </w:r>
      <w:r w:rsidRPr="00244161">
        <w:rPr>
          <w:rFonts w:eastAsia="Times New Roman"/>
          <w:color w:val="000000" w:themeColor="text1"/>
        </w:rPr>
        <w:t xml:space="preserve">series data introduces </w:t>
      </w:r>
      <w:r w:rsidRPr="00244161">
        <w:rPr>
          <w:rFonts w:eastAsia="Times New Roman"/>
          <w:i/>
          <w:iCs/>
          <w:color w:val="000000" w:themeColor="text1"/>
        </w:rPr>
        <w:t>look</w:t>
      </w:r>
      <w:r w:rsidR="3CB00BA7" w:rsidRPr="00244161">
        <w:rPr>
          <w:rFonts w:eastAsia="Times New Roman"/>
          <w:i/>
          <w:iCs/>
          <w:color w:val="000000" w:themeColor="text1"/>
        </w:rPr>
        <w:t>-</w:t>
      </w:r>
      <w:r w:rsidRPr="00244161">
        <w:rPr>
          <w:rFonts w:eastAsia="Times New Roman"/>
          <w:i/>
          <w:iCs/>
          <w:color w:val="000000" w:themeColor="text1"/>
        </w:rPr>
        <w:t>ahead bias</w:t>
      </w:r>
      <w:r w:rsidRPr="00244161">
        <w:rPr>
          <w:rFonts w:eastAsia="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color w:val="000000" w:themeColor="text1"/>
        </w:rPr>
        <w:t>events,</w:t>
      </w:r>
      <w:r w:rsidRPr="00244161">
        <w:rPr>
          <w:rFonts w:eastAsia="Times New Roman"/>
          <w:color w:val="000000" w:themeColor="text1"/>
        </w:rPr>
        <w:t xml:space="preserve"> and artificially inflating the model's predictive accuracy.</w:t>
      </w:r>
    </w:p>
    <w:p w:rsidR="25338D31" w:rsidRPr="00244161" w:rsidRDefault="20FB1E8A" w:rsidP="00B61C71">
      <w:pPr>
        <w:spacing w:after="0" w:line="480" w:lineRule="auto"/>
        <w:ind w:firstLine="720"/>
        <w:jc w:val="both"/>
        <w:rPr>
          <w:rFonts w:eastAsia="Times New Roman"/>
          <w:color w:val="000000" w:themeColor="text1"/>
        </w:rPr>
      </w:pPr>
      <w:r>
        <w:t xml:space="preserve">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w:t>
      </w:r>
      <w:r>
        <w:lastRenderedPageBreak/>
        <w:t>expanding historical windows and refit quarterly (every 13 weeks), generating dynamic, one-step-ahead out-of-sample weekly return forecasts.</w:t>
      </w:r>
    </w:p>
    <w:p w:rsidR="25338D31" w:rsidRPr="00244161" w:rsidRDefault="20FB1E8A" w:rsidP="00B61C71">
      <w:pPr>
        <w:spacing w:after="0" w:line="480" w:lineRule="auto"/>
        <w:ind w:firstLine="720"/>
        <w:jc w:val="both"/>
        <w:rPr>
          <w:rFonts w:eastAsia="Times New Roman"/>
          <w:color w:val="000000" w:themeColor="text1"/>
        </w:rPr>
      </w:pPr>
      <w: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 xml:space="preserve">3.3.2 Model Training and </w:t>
      </w:r>
      <w:proofErr w:type="spellStart"/>
      <w:r w:rsidRPr="00244161">
        <w:rPr>
          <w:rFonts w:eastAsia="Times New Roman"/>
          <w:b/>
          <w:bCs/>
          <w:color w:val="000000" w:themeColor="text1"/>
        </w:rPr>
        <w:t>Hyperparameter</w:t>
      </w:r>
      <w:proofErr w:type="spellEnd"/>
      <w:r w:rsidRPr="00244161">
        <w:rPr>
          <w:rFonts w:eastAsia="Times New Roman"/>
          <w:b/>
          <w:bCs/>
          <w:color w:val="000000" w:themeColor="text1"/>
        </w:rPr>
        <w:t xml:space="preserve"> Tuning</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Hyperparameters were tuned once on the 2010–2020 in-sample period using GridSearchCV with 5-fold TimeSeriesSplit, focusing on parameters that penalize model complexity:</w:t>
      </w:r>
    </w:p>
    <w:p w:rsidR="356FE488" w:rsidRPr="00244161" w:rsidRDefault="356FE488" w:rsidP="00B61C71">
      <w:pPr>
        <w:spacing w:after="0" w:line="480" w:lineRule="auto"/>
        <w:ind w:firstLine="720"/>
        <w:jc w:val="both"/>
        <w:rPr>
          <w:rFonts w:eastAsia="Times New Roman"/>
          <w:color w:val="000000" w:themeColor="text1"/>
        </w:rPr>
      </w:pP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r w:rsidRPr="00244161">
        <w:rPr>
          <w:rFonts w:eastAsia="Times New Roman"/>
          <w:b/>
          <w:bCs/>
          <w:color w:val="000000" w:themeColor="text1"/>
        </w:rPr>
        <w:t>Random Forest Parameters:</w:t>
      </w:r>
      <w:r w:rsidRPr="00244161">
        <w:rPr>
          <w:rFonts w:eastAsia="Times New Roman"/>
          <w:color w:val="000000" w:themeColor="text1"/>
        </w:rPr>
        <w:t xml:space="preserve"> The search optimizes the number of trees in the forest (</w:t>
      </w:r>
      <w:proofErr w:type="spellStart"/>
      <w:r w:rsidRPr="00244161">
        <w:rPr>
          <w:rFonts w:eastAsia="Times New Roman"/>
          <w:color w:val="000000" w:themeColor="text1"/>
        </w:rPr>
        <w:t>n_estimators</w:t>
      </w:r>
      <w:proofErr w:type="spellEnd"/>
      <w:r w:rsidRPr="00244161">
        <w:rPr>
          <w:rFonts w:eastAsia="Times New Roman"/>
          <w:color w:val="000000" w:themeColor="text1"/>
        </w:rPr>
        <w:t>), the maximum depth of each tree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number of samples required to split an internal node (</w:t>
      </w:r>
      <w:proofErr w:type="spellStart"/>
      <w:r w:rsidRPr="00244161">
        <w:rPr>
          <w:rFonts w:eastAsia="Times New Roman"/>
          <w:color w:val="000000" w:themeColor="text1"/>
        </w:rPr>
        <w:t>min_samples_split</w:t>
      </w:r>
      <w:proofErr w:type="spellEnd"/>
      <w:r w:rsidRPr="00244161">
        <w:rPr>
          <w:rFonts w:eastAsia="Times New Roman"/>
          <w:color w:val="000000" w:themeColor="text1"/>
        </w:rPr>
        <w:t>).</w:t>
      </w:r>
    </w:p>
    <w:p w:rsidR="356FE488" w:rsidRPr="00244161" w:rsidRDefault="6C38A122" w:rsidP="00D7573B">
      <w:pPr>
        <w:pStyle w:val="ListParagraph"/>
        <w:numPr>
          <w:ilvl w:val="0"/>
          <w:numId w:val="15"/>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Parameters:</w:t>
      </w:r>
      <w:r w:rsidRPr="00244161">
        <w:rPr>
          <w:rFonts w:eastAsia="Times New Roman"/>
          <w:color w:val="000000" w:themeColor="text1"/>
        </w:rPr>
        <w:t xml:space="preserve"> The search optimizes the learning rate or step size shrinkage (</w:t>
      </w:r>
      <w:proofErr w:type="spellStart"/>
      <w:r w:rsidRPr="00244161">
        <w:rPr>
          <w:rFonts w:eastAsia="Times New Roman"/>
          <w:color w:val="000000" w:themeColor="text1"/>
        </w:rPr>
        <w:t>learning_rate</w:t>
      </w:r>
      <w:proofErr w:type="spellEnd"/>
      <w:r w:rsidRPr="00244161">
        <w:rPr>
          <w:rFonts w:eastAsia="Times New Roman"/>
          <w:color w:val="000000" w:themeColor="text1"/>
        </w:rPr>
        <w:t>), the maximum tree depth (</w:t>
      </w:r>
      <w:proofErr w:type="spellStart"/>
      <w:r w:rsidRPr="00244161">
        <w:rPr>
          <w:rFonts w:eastAsia="Times New Roman"/>
          <w:color w:val="000000" w:themeColor="text1"/>
        </w:rPr>
        <w:t>max_depth</w:t>
      </w:r>
      <w:proofErr w:type="spellEnd"/>
      <w:r w:rsidRPr="00244161">
        <w:rPr>
          <w:rFonts w:eastAsia="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3.3.3 Portfolio Turnover and Transaction Costs</w:t>
      </w:r>
    </w:p>
    <w:p w:rsidR="55A86771" w:rsidRPr="00244161" w:rsidRDefault="55A86771" w:rsidP="00B61C71">
      <w:pPr>
        <w:spacing w:after="0" w:line="480" w:lineRule="auto"/>
        <w:ind w:firstLine="720"/>
        <w:jc w:val="both"/>
        <w:rPr>
          <w:rFonts w:eastAsia="Times New Roman"/>
          <w:color w:val="000000" w:themeColor="text1"/>
        </w:rPr>
      </w:pPr>
      <w:r>
        <w:t xml:space="preserve">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w:t>
      </w:r>
      <w:r>
        <w:t>costs at week t are mathematically defined as Costₜ = c × ∑ |wᵢ,ₜ − wᵢ,ₜ₋₁|,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5F0247A" w:rsidRPr="00244161">
        <w:rPr>
          <w:rFonts w:eastAsia="Times New Roman"/>
          <w:b/>
          <w:bCs/>
          <w:color w:val="000000" w:themeColor="text1"/>
        </w:rPr>
        <w:t>4</w:t>
      </w:r>
      <w:r w:rsidRPr="00244161">
        <w:rPr>
          <w:rFonts w:eastAsia="Times New Roman"/>
          <w:b/>
          <w:bCs/>
          <w:color w:val="000000" w:themeColor="text1"/>
        </w:rPr>
        <w:t xml:space="preserve"> Feature Importance Extraction</w:t>
      </w:r>
    </w:p>
    <w:p w:rsidR="356FE488" w:rsidRPr="00244161" w:rsidRDefault="6C38A122"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color w:val="000000" w:themeColor="text1"/>
        </w:rPr>
        <w:t>this study extracts the built</w:t>
      </w:r>
      <w:r w:rsidR="3CB00BA7" w:rsidRPr="00244161">
        <w:rPr>
          <w:rFonts w:eastAsia="Times New Roman"/>
          <w:color w:val="000000" w:themeColor="text1"/>
        </w:rPr>
        <w:t>-</w:t>
      </w:r>
      <w:r w:rsidR="774AC8EC" w:rsidRPr="00244161">
        <w:rPr>
          <w:rFonts w:eastAsia="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r w:rsidRPr="00244161">
        <w:rPr>
          <w:rFonts w:eastAsia="Times New Roman"/>
          <w:b/>
          <w:bCs/>
          <w:color w:val="000000" w:themeColor="text1"/>
        </w:rPr>
        <w:t>Random Forest Interpretation:</w:t>
      </w:r>
      <w:r w:rsidRPr="00244161">
        <w:rPr>
          <w:rFonts w:eastAsia="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after="0" w:line="480" w:lineRule="auto"/>
        <w:jc w:val="both"/>
        <w:rPr>
          <w:rFonts w:eastAsia="Times New Roman"/>
          <w:color w:val="000000" w:themeColor="text1"/>
        </w:rPr>
      </w:pPr>
      <w:proofErr w:type="spellStart"/>
      <w:r w:rsidRPr="00244161">
        <w:rPr>
          <w:rFonts w:eastAsia="Times New Roman"/>
          <w:b/>
          <w:bCs/>
          <w:color w:val="000000" w:themeColor="text1"/>
        </w:rPr>
        <w:t>XGBoost</w:t>
      </w:r>
      <w:proofErr w:type="spellEnd"/>
      <w:r w:rsidRPr="00244161">
        <w:rPr>
          <w:rFonts w:eastAsia="Times New Roman"/>
          <w:b/>
          <w:bCs/>
          <w:color w:val="000000" w:themeColor="text1"/>
        </w:rPr>
        <w:t xml:space="preserve"> Interpretation:</w:t>
      </w:r>
      <w:r w:rsidRPr="00244161">
        <w:rPr>
          <w:rFonts w:eastAsia="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3.3.</w:t>
      </w:r>
      <w:r w:rsidR="4213DE3F" w:rsidRPr="00244161">
        <w:rPr>
          <w:rFonts w:eastAsia="Times New Roman"/>
          <w:b/>
          <w:bCs/>
          <w:color w:val="000000" w:themeColor="text1"/>
        </w:rPr>
        <w:t>5</w:t>
      </w:r>
      <w:r w:rsidRPr="00244161">
        <w:rPr>
          <w:rFonts w:eastAsia="Times New Roman"/>
          <w:b/>
          <w:bCs/>
          <w:color w:val="000000" w:themeColor="text1"/>
        </w:rPr>
        <w:t xml:space="preserve"> Evaluation Metrics for Forecasting and Portfolio Performance</w:t>
      </w:r>
    </w:p>
    <w:p w:rsidR="057DBCA5" w:rsidRPr="00244161" w:rsidRDefault="0273BA0A"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methodology utilizes a dual</w:t>
      </w:r>
      <w:r w:rsidR="3CB00BA7" w:rsidRPr="00244161">
        <w:rPr>
          <w:rFonts w:eastAsia="Times New Roman"/>
          <w:color w:val="000000" w:themeColor="text1"/>
        </w:rPr>
        <w:t>-</w:t>
      </w:r>
      <w:r w:rsidRPr="00244161">
        <w:rPr>
          <w:rFonts w:eastAsia="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color w:val="000000" w:themeColor="text1"/>
        </w:rPr>
        <w:t>-</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optimized portfolio against the Mean</w:t>
      </w:r>
      <w:r w:rsidR="3CB00BA7" w:rsidRPr="00244161">
        <w:rPr>
          <w:rFonts w:eastAsia="Times New Roman"/>
          <w:color w:val="000000" w:themeColor="text1"/>
        </w:rPr>
        <w:t>-</w:t>
      </w:r>
      <w:r w:rsidRPr="00244161">
        <w:rPr>
          <w:rFonts w:eastAsia="Times New Roman"/>
          <w:color w:val="000000" w:themeColor="text1"/>
        </w:rPr>
        <w:t>Variance baseline (Stage 2).</w:t>
      </w:r>
    </w:p>
    <w:p w:rsidR="057DBCA5" w:rsidRPr="00244161" w:rsidRDefault="0273BA0A" w:rsidP="00B61C71">
      <w:pPr>
        <w:spacing w:after="0" w:line="480" w:lineRule="auto"/>
        <w:jc w:val="both"/>
        <w:rPr>
          <w:rFonts w:eastAsia="Times New Roman"/>
          <w:b/>
          <w:bCs/>
          <w:color w:val="000000" w:themeColor="text1"/>
        </w:rPr>
      </w:pPr>
      <w:r w:rsidRPr="00244161">
        <w:rPr>
          <w:rFonts w:eastAsia="Times New Roman"/>
          <w:b/>
          <w:bCs/>
          <w:color w:val="000000" w:themeColor="text1"/>
        </w:rPr>
        <w:t>1. Predictive Forecasting Metrics</w:t>
      </w:r>
    </w:p>
    <w:p w:rsidR="057DBCA5" w:rsidRPr="00244161" w:rsidRDefault="0273BA0A" w:rsidP="00B61C71">
      <w:pPr>
        <w:spacing w:after="0" w:line="480" w:lineRule="auto"/>
        <w:ind w:firstLine="720"/>
        <w:jc w:val="both"/>
        <w:rPr>
          <w:rFonts w:eastAsia="Times New Roman"/>
          <w:color w:val="000000" w:themeColor="text1"/>
        </w:rPr>
      </w:pPr>
      <w:r>
        <w:lastRenderedPageBreak/>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after="0" w:line="480" w:lineRule="auto"/>
        <w:jc w:val="both"/>
        <w:rPr>
          <w:rFonts w:eastAsia="Times New Roman"/>
          <w:color w:val="000000" w:themeColor="text1"/>
        </w:rPr>
      </w:pPr>
      <w:r w:rsidRPr="00244161">
        <w:rPr>
          <w:rFonts w:eastAsia="Times New Roman"/>
          <w:bCs/>
          <w:color w:val="000000" w:themeColor="text1"/>
        </w:rPr>
        <w:t>Root Mean Squared Error (RMSE):</w:t>
      </w:r>
      <w:r w:rsidRPr="00244161">
        <w:rPr>
          <w:rFonts w:eastAsia="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ind w:firstLine="720"/>
        <w:jc w:val="both"/>
        <w:rPr>
          <w:rFonts w:eastAsia="Times New Roman"/>
          <w:color w:val="000000" w:themeColor="text1"/>
        </w:rPr>
      </w:pPr>
      <w: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rsidR="00BD2B3E" w:rsidRDefault="000D2BF6">
      <w:pPr>
        <w:spacing w:after="0" w:line="480" w:lineRule="auto"/>
        <w:ind w:firstLine="720"/>
        <w:jc w:val="both"/>
      </w:pPr>
      <w: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rsidR="00BD2B3E" w:rsidRDefault="000D2BF6">
      <w:pPr>
        <w:spacing w:before="120" w:after="120" w:line="240" w:lineRule="auto"/>
        <w:jc w:val="center"/>
      </w:pPr>
      <m:oMathPara>
        <m:oMathParaPr>
          <m:jc m:val="center"/>
        </m:oMathParaPr>
        <m:oMath>
          <m:r>
            <w:rPr>
              <w:rFonts w:ascii="Cambria Math" w:hAnsi="Cambria Math"/>
            </w:rPr>
            <m:t xml:space="preserve">DA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1</m:t>
                  </m:r>
                </m:e>
                <m:sub>
                  <m:d>
                    <m:dPr>
                      <m:begChr m:val="{"/>
                      <m:endChr m:val="}"/>
                      <m:ctrlPr>
                        <w:rPr>
                          <w:rFonts w:ascii="Cambria Math" w:hAnsi="Cambria Math"/>
                        </w:rPr>
                      </m:ctrlPr>
                    </m:dPr>
                    <m:e>
                      <m:r>
                        <w:rPr>
                          <w:rFonts w:ascii="Cambria Math" w:hAnsi="Cambria Math"/>
                        </w:rPr>
                        <m:t>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r>
                        <w:rPr>
                          <w:rFonts w:ascii="Cambria Math" w:hAnsi="Cambria Math"/>
                        </w:rPr>
                        <m:t xml:space="preserve"> = sign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i,t+1</m:t>
                              </m:r>
                            </m:sub>
                          </m:sSub>
                        </m:e>
                      </m:d>
                    </m:e>
                  </m:d>
                </m:sub>
              </m:sSub>
            </m:e>
          </m:nary>
          <m:r>
            <w:rPr>
              <w:rFonts w:ascii="Cambria Math" w:hAnsi="Cambria Math"/>
            </w:rPr>
            <m:t xml:space="preserve"> × 100%</m:t>
          </m:r>
        </m:oMath>
      </m:oMathPara>
    </w:p>
    <w:p w:rsidR="41B0570A" w:rsidRPr="00244161" w:rsidRDefault="200210B0" w:rsidP="00B61C71">
      <w:pPr>
        <w:spacing w:after="0" w:line="480" w:lineRule="auto"/>
        <w:jc w:val="both"/>
        <w:rPr>
          <w:rFonts w:eastAsia="Times New Roman"/>
          <w:b/>
          <w:bCs/>
          <w:color w:val="000000" w:themeColor="text1"/>
        </w:rPr>
      </w:pPr>
      <w:r w:rsidRPr="00244161">
        <w:rPr>
          <w:rFonts w:eastAsia="Times New Roman"/>
          <w:b/>
          <w:bCs/>
          <w:color w:val="000000" w:themeColor="text1"/>
        </w:rPr>
        <w:t>2. Risk</w:t>
      </w:r>
      <w:r w:rsidR="3CB00BA7" w:rsidRPr="00244161">
        <w:rPr>
          <w:rFonts w:eastAsia="Times New Roman"/>
          <w:b/>
          <w:bCs/>
          <w:color w:val="000000" w:themeColor="text1"/>
        </w:rPr>
        <w:t>-</w:t>
      </w:r>
      <w:r w:rsidRPr="00244161">
        <w:rPr>
          <w:rFonts w:eastAsia="Times New Roman"/>
          <w:b/>
          <w:bCs/>
          <w:color w:val="000000" w:themeColor="text1"/>
        </w:rPr>
        <w:t>Adjusted Portfolio Metrics</w:t>
      </w:r>
    </w:p>
    <w:p w:rsidR="41B0570A" w:rsidRPr="00244161" w:rsidRDefault="200210B0" w:rsidP="00B61C71">
      <w:pPr>
        <w:spacing w:after="0" w:line="480" w:lineRule="auto"/>
        <w:ind w:firstLine="720"/>
        <w:jc w:val="both"/>
        <w:rPr>
          <w:rFonts w:eastAsia="Times New Roman"/>
          <w:color w:val="000000" w:themeColor="text1"/>
        </w:rPr>
      </w:pPr>
      <w:r w:rsidRPr="00244161">
        <w:rPr>
          <w:rFonts w:eastAsia="Times New Roman"/>
          <w:color w:val="000000" w:themeColor="text1"/>
        </w:rPr>
        <w:t>To evaluate the final portfolio allocation, performance is measured using risk</w:t>
      </w:r>
      <w:r w:rsidR="3CB00BA7" w:rsidRPr="00244161">
        <w:rPr>
          <w:rFonts w:eastAsia="Times New Roman"/>
          <w:color w:val="000000" w:themeColor="text1"/>
        </w:rPr>
        <w:t>-</w:t>
      </w:r>
      <w:r w:rsidRPr="00244161">
        <w:rPr>
          <w:rFonts w:eastAsia="Times New Roman"/>
          <w:color w:val="000000" w:themeColor="text1"/>
        </w:rPr>
        <w:t>adjusted return metrics. This requires a localized risk</w:t>
      </w:r>
      <w:r w:rsidR="3CB00BA7" w:rsidRPr="00244161">
        <w:rPr>
          <w:rFonts w:eastAsia="Times New Roman"/>
          <w:color w:val="000000" w:themeColor="text1"/>
        </w:rPr>
        <w:t>-</w:t>
      </w:r>
      <w:r w:rsidRPr="00244161">
        <w:rPr>
          <w:rFonts w:eastAsia="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for which the de</w:t>
      </w:r>
      <w:r w:rsidR="3CB00BA7" w:rsidRPr="00244161">
        <w:rPr>
          <w:rFonts w:eastAsia="Times New Roman"/>
          <w:color w:val="000000" w:themeColor="text1"/>
        </w:rPr>
        <w:t>-</w:t>
      </w:r>
      <w:r w:rsidRPr="00244161">
        <w:rPr>
          <w:rFonts w:eastAsia="Times New Roman"/>
          <w:color w:val="000000" w:themeColor="text1"/>
        </w:rPr>
        <w:t>annualized Central Bank of Nigeria (CBN) 91</w:t>
      </w:r>
      <w:r w:rsidR="3CB00BA7" w:rsidRPr="00244161">
        <w:rPr>
          <w:rFonts w:eastAsia="Times New Roman"/>
          <w:color w:val="000000" w:themeColor="text1"/>
        </w:rPr>
        <w:t>-</w:t>
      </w:r>
      <w:r w:rsidRPr="00244161">
        <w:rPr>
          <w:rFonts w:eastAsia="Times New Roman"/>
          <w:color w:val="000000" w:themeColor="text1"/>
        </w:rPr>
        <w:t xml:space="preserve">day Treasury </w:t>
      </w:r>
      <w:proofErr w:type="gramStart"/>
      <w:r w:rsidRPr="00244161">
        <w:rPr>
          <w:rFonts w:eastAsia="Times New Roman"/>
          <w:color w:val="000000" w:themeColor="text1"/>
        </w:rPr>
        <w:t>Bill</w:t>
      </w:r>
      <w:proofErr w:type="gramEnd"/>
      <w:r w:rsidRPr="00244161">
        <w:rPr>
          <w:rFonts w:eastAsia="Times New Roman"/>
          <w:color w:val="000000" w:themeColor="text1"/>
        </w:rPr>
        <w:t xml:space="preserve"> rate is utilized.</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w:lastRenderedPageBreak/>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ind w:firstLine="720"/>
        <w:jc w:val="both"/>
        <w:rPr>
          <w:rFonts w:eastAsia="Times New Roman"/>
          <w:color w:val="000000" w:themeColor="text1"/>
        </w:rPr>
      </w:pPr>
      <w:r w:rsidRPr="00244161">
        <w:rPr>
          <w:rFonts w:eastAsia="Times New Roman"/>
          <w:color w:val="000000" w:themeColor="text1"/>
        </w:rPr>
        <w:t xml:space="preserve">where </w:t>
      </w:r>
      <m:oMath>
        <m:r>
          <w:rPr>
            <w:rFonts w:ascii="Cambria Math" w:hAnsi="Cambria Math"/>
            <w:color w:val="000000" w:themeColor="text1"/>
          </w:rPr>
          <m:t>Sharpe</m:t>
        </m:r>
      </m:oMath>
      <w:r w:rsidRPr="00244161">
        <w:rPr>
          <w:rFonts w:eastAsia="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after="0" w:line="480" w:lineRule="auto"/>
        <w:jc w:val="both"/>
        <w:rPr>
          <w:rFonts w:eastAsia="Times New Roman"/>
          <w:color w:val="000000" w:themeColor="text1"/>
        </w:rPr>
      </w:pPr>
      <w:r w:rsidRPr="00244161">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Sortino</m:t>
        </m:r>
      </m:oMath>
      <w:r w:rsidRPr="00244161">
        <w:rPr>
          <w:rFonts w:eastAsia="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color w:val="000000" w:themeColor="text1"/>
        </w:rPr>
        <w:t xml:space="preserve"> is the annualized risk-free benchmark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after="0" w:line="480" w:lineRule="auto"/>
        <w:jc w:val="both"/>
        <w:rPr>
          <w:rFonts w:eastAsia="Times New Roman"/>
          <w:color w:val="000000" w:themeColor="text1"/>
        </w:rPr>
      </w:pPr>
      <w:r w:rsidRPr="00244161">
        <w:rPr>
          <w:rFonts w:eastAsia="Times New Roman"/>
          <w:bCs/>
          <w:color w:val="000000" w:themeColor="text1"/>
        </w:rPr>
        <w:t xml:space="preserve">Maximum </w:t>
      </w:r>
      <w:proofErr w:type="spellStart"/>
      <w:r w:rsidRPr="00244161">
        <w:rPr>
          <w:rFonts w:eastAsia="Times New Roman"/>
          <w:bCs/>
          <w:color w:val="000000" w:themeColor="text1"/>
        </w:rPr>
        <w:t>DrawD</w:t>
      </w:r>
      <w:r w:rsidR="30BE8766" w:rsidRPr="00244161">
        <w:rPr>
          <w:rFonts w:eastAsia="Times New Roman"/>
          <w:bCs/>
          <w:color w:val="000000" w:themeColor="text1"/>
        </w:rPr>
        <w:t>own</w:t>
      </w:r>
      <w:proofErr w:type="spellEnd"/>
      <w:r w:rsidR="30BE8766" w:rsidRPr="00244161">
        <w:rPr>
          <w:rFonts w:eastAsia="Times New Roman"/>
          <w:bCs/>
          <w:color w:val="000000" w:themeColor="text1"/>
        </w:rPr>
        <w:t xml:space="preserve"> (MDD):</w:t>
      </w:r>
      <w:r w:rsidR="30BE8766" w:rsidRPr="00244161">
        <w:rPr>
          <w:rFonts w:eastAsia="Times New Roman"/>
          <w:color w:val="000000" w:themeColor="text1"/>
        </w:rPr>
        <w:t xml:space="preserve"> Quantifies the portfolio's absolute worst</w:t>
      </w:r>
      <w:r w:rsidR="3CB00BA7" w:rsidRPr="00244161">
        <w:rPr>
          <w:rFonts w:eastAsia="Times New Roman"/>
          <w:color w:val="000000" w:themeColor="text1"/>
        </w:rPr>
        <w:t>-</w:t>
      </w:r>
      <w:r w:rsidR="30BE8766" w:rsidRPr="00244161">
        <w:rPr>
          <w:rFonts w:eastAsia="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where</w:t>
      </w:r>
      <w:proofErr w:type="gramEnd"/>
      <w:r w:rsidRPr="00244161">
        <w:rPr>
          <w:rFonts w:eastAsia="Times New Roman"/>
          <w:color w:val="000000" w:themeColor="text1"/>
        </w:rPr>
        <w:t xml:space="preserve"> </w:t>
      </w:r>
      <m:oMath>
        <m:r>
          <w:rPr>
            <w:rFonts w:ascii="Cambria Math" w:hAnsi="Cambria Math"/>
            <w:color w:val="000000" w:themeColor="text1"/>
          </w:rPr>
          <m:t>MDD</m:t>
        </m:r>
      </m:oMath>
      <w:r w:rsidRPr="00244161">
        <w:rPr>
          <w:rFonts w:eastAsia="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color w:val="000000" w:themeColor="text1"/>
        </w:rPr>
        <w:t>.</w:t>
      </w:r>
    </w:p>
    <w:p w:rsidR="00BD2B3E" w:rsidRDefault="000D2BF6" w:rsidP="00E20D58">
      <w:pPr>
        <w:pStyle w:val="ListParagraph"/>
        <w:numPr>
          <w:ilvl w:val="0"/>
          <w:numId w:val="18"/>
        </w:numPr>
        <w:spacing w:after="0" w:line="480" w:lineRule="auto"/>
        <w:jc w:val="both"/>
      </w:pPr>
      <w:bookmarkStart w:id="0" w:name="_GoBack"/>
      <w:bookmarkEnd w:id="0"/>
      <w:r>
        <w:lastRenderedPageBreak/>
        <w:t xml:space="preserve">Certainty Equivalent Return (CER): Measures the risk-free rate of return that an investor </w:t>
      </w:r>
      <w:proofErr w:type="gramStart"/>
      <w:r>
        <w:t>with</w:t>
      </w:r>
      <w:proofErr w:type="gramEnd"/>
      <w:r>
        <w:t xml:space="preserve"> risk-aversion coefficient γ would accept in lieu of holding the risky portfolio. Formally, CER is formulated as:</w:t>
      </w:r>
    </w:p>
    <w:p w:rsidR="00BD2B3E" w:rsidRDefault="000D2BF6">
      <w:pPr>
        <w:spacing w:before="120" w:after="120" w:line="240" w:lineRule="auto"/>
        <w:jc w:val="center"/>
      </w:pPr>
      <m:oMathPara>
        <m:oMathParaPr>
          <m:jc m:val="center"/>
        </m:oMathParaPr>
        <m:oMath>
          <m:r>
            <w:rPr>
              <w:rFonts w:ascii="Cambria Math" w:hAnsi="Cambria Math"/>
            </w:rPr>
            <m:t xml:space="preserve">CER = </m:t>
          </m:r>
          <m:sSub>
            <m:sSubPr>
              <m:ctrlPr>
                <w:rPr>
                  <w:rFonts w:ascii="Cambria Math" w:hAnsi="Cambria Math"/>
                </w:rPr>
              </m:ctrlPr>
            </m:sSubPr>
            <m:e>
              <m:r>
                <w:rPr>
                  <w:rFonts w:ascii="Cambria Math" w:hAnsi="Cambria Math"/>
                </w:rPr>
                <m:t>μ̂</m:t>
              </m:r>
            </m:e>
            <m:sub>
              <m:r>
                <w:rPr>
                  <w:rFonts w:ascii="Cambria Math" w:hAnsi="Cambria Math"/>
                </w:rPr>
                <m:t>p</m:t>
              </m:r>
            </m:sub>
          </m:sSub>
          <m:r>
            <w:rPr>
              <w:rFonts w:ascii="Cambria Math" w:hAnsi="Cambria Math"/>
            </w:rPr>
            <m:t xml:space="preserve"> - </m:t>
          </m:r>
          <m:f>
            <m:fPr>
              <m:ctrlPr>
                <w:rPr>
                  <w:rFonts w:ascii="Cambria Math" w:hAnsi="Cambria Math"/>
                </w:rPr>
              </m:ctrlPr>
            </m:fPr>
            <m:num>
              <m:r>
                <w:rPr>
                  <w:rFonts w:ascii="Cambria Math" w:hAnsi="Cambria Math"/>
                </w:rPr>
                <m:t>γ</m:t>
              </m:r>
            </m:num>
            <m:den>
              <m:r>
                <w:rPr>
                  <w:rFonts w:ascii="Cambria Math" w:hAnsi="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rPr>
                    <m:t>σ̂</m:t>
                  </m:r>
                </m:e>
                <m:sub>
                  <m:r>
                    <w:rPr>
                      <w:rFonts w:ascii="Cambria Math" w:hAnsi="Cambria Math"/>
                    </w:rPr>
                    <m:t>p</m:t>
                  </m:r>
                </m:sub>
              </m:sSub>
            </m:e>
            <m:sup>
              <m:r>
                <w:rPr>
                  <w:rFonts w:ascii="Cambria Math" w:hAnsi="Cambria Math"/>
                </w:rPr>
                <m:t>2</m:t>
              </m:r>
            </m:sup>
          </m:sSup>
        </m:oMath>
      </m:oMathPara>
    </w:p>
    <w:p>
      <w:pPr>
        <w:spacing w:line="480" w:lineRule="auto" w:before="0" w:after="0"/>
        <w:ind w:firstLine="720"/>
        <w:jc w:val="both"/>
      </w:pPr>
      <w:r>
        <w:rPr>
          <w:rFonts w:ascii="Times New Roman" w:hAnsi="Times New Roman"/>
          <w:color w:val="000000"/>
          <w:sz w:val="24"/>
        </w:rPr>
        <w:t>Here γ = 3.0 is the risk-aversion coefficient, consistent with the MVO utility specification.</w:t>
      </w:r>
    </w:p>
    <w:p w:rsidR="4ED2A560" w:rsidRPr="00244161" w:rsidRDefault="30BE8766" w:rsidP="00B61C71">
      <w:pPr>
        <w:spacing w:after="0" w:line="480" w:lineRule="auto"/>
        <w:ind w:firstLine="720"/>
        <w:jc w:val="both"/>
        <w:rPr>
          <w:rFonts w:eastAsia="Times New Roman"/>
          <w:color w:val="000000" w:themeColor="text1"/>
        </w:rPr>
      </w:pPr>
      <w:r w:rsidRPr="00244161">
        <w:t>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after="0" w:line="480" w:lineRule="auto"/>
        <w:rPr>
          <w:rFonts w:eastAsia="Times New Roman"/>
          <w:b/>
          <w:bCs/>
          <w:color w:val="000000" w:themeColor="text1"/>
        </w:rPr>
      </w:pPr>
      <w:r>
        <w:rPr>
          <w:b/>
        </w:rPr>
        <w:t>3.3.6 Benchmark Portfolios for Evaluation</w:t>
      </w:r>
    </w:p>
    <w:p w:rsidR="01E9B122" w:rsidRPr="00244161" w:rsidRDefault="01E9B122" w:rsidP="00B61C71">
      <w:pPr>
        <w:spacing w:after="0" w:line="480" w:lineRule="auto"/>
        <w:ind w:firstLine="720"/>
        <w:jc w:val="both"/>
        <w:rPr>
          <w:rFonts w:eastAsia="Times New Roman"/>
          <w:color w:val="000000" w:themeColor="text1"/>
        </w:rPr>
      </w:pPr>
      <w:r w:rsidRPr="00244161">
        <w:rPr>
          <w:rFonts w:eastAsia="Times New Roman"/>
          <w:color w:val="000000" w:themeColor="text1"/>
        </w:rPr>
        <w:t>To rigorously evaluate the economic value and true out-of-sample performance of the advanced ML-</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tail-risk constraints, genuinely deliver superior risk-adjusted performance on the Nigerian Exchange.</w:t>
      </w:r>
    </w:p>
    <w:p w:rsidR="00BD2B3E" w:rsidRDefault="000D2BF6">
      <w:pPr>
        <w:spacing w:after="0" w:line="480" w:lineRule="auto"/>
        <w:ind w:firstLine="720"/>
        <w:jc w:val="both"/>
      </w:pPr>
      <w:r>
        <w:t>To rigorously isolate the economic value-add of machine learning forecasts and tail-risk optimization, the active ML-CVaR portfolios are benchmarked against four distinct asset allocation strategies:</w:t>
      </w:r>
    </w:p>
    <w:p w:rsidR="00BD2B3E" w:rsidRDefault="000D2BF6">
      <w:pPr>
        <w:spacing w:after="0" w:line="480" w:lineRule="auto"/>
        <w:ind w:firstLine="720"/>
        <w:jc w:val="both"/>
      </w:pPr>
      <w:r>
        <w:lastRenderedPageBreak/>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w:rsidR="00BD2B3E" w:rsidRDefault="00E20D58">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hist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rsidR="00BD2B3E" w:rsidRDefault="000D2BF6">
      <w:pPr>
        <w:spacing w:after="0" w:line="480" w:lineRule="auto"/>
        <w:ind w:firstLine="720"/>
        <w:jc w:val="both"/>
      </w:pPr>
      <w:r>
        <w:t>2.  Long-Only Markowitz Mean-Variance Optimization (MVO): Solves the classical quadratic utility maximization problem under institutional risk-aversion coefficient λ = 3.0, representing the classical mean-variance paradigm without tail-risk awareness:</w:t>
      </w:r>
    </w:p>
    <w:p w:rsidR="00BD2B3E" w:rsidRDefault="00E20D58">
      <m:oMathPara>
        <m:oMathParaPr>
          <m:jc m:val="center"/>
        </m:oMathParaPr>
        <m:oMath>
          <m:sSub>
            <m:sSubPr>
              <m:ctrlPr>
                <w:rPr>
                  <w:rFonts w:ascii="Cambria Math" w:hAnsi="Cambria Math"/>
                </w:rPr>
              </m:ctrlPr>
            </m:sSubPr>
            <m:e>
              <m:r>
                <w:rPr>
                  <w:rFonts w:ascii="Cambria Math" w:hAnsi="Cambria Math"/>
                </w:rPr>
                <m:t>max</m:t>
              </m:r>
            </m:e>
            <m:sub>
              <m:r>
                <w:rPr>
                  <w:rFonts w:ascii="Cambria Math" w:hAnsi="Cambria Math"/>
                </w:rPr>
                <m:t>w</m:t>
              </m:r>
            </m:sub>
          </m:sSub>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 xml:space="preserve">μ̂ - </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Σw</m:t>
              </m:r>
            </m:e>
          </m:d>
          <m:r>
            <w:rPr>
              <w:rFonts w:ascii="Cambria Math" w:hAnsi="Cambria Math"/>
            </w:rPr>
            <m:t xml:space="preserve">  subject to  </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xml:space="preserve"> = 1,  0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p w:rsidR="00BD2B3E" w:rsidRDefault="000D2BF6">
      <w:pPr>
        <w:spacing w:after="0" w:line="480" w:lineRule="auto"/>
        <w:ind w:firstLine="720"/>
        <w:jc w:val="both"/>
      </w:pPr>
      <w:r>
        <w:t>3.  Naive 1/N Equal Weighting: Allocates equal capital (wᵢ = 1/28 ≈ 3.57%) across all eligible assets without parameter estimation or optimization, serving as the canonical DeMiguel et al. (2009) benchmark.</w:t>
      </w:r>
    </w:p>
    <w:p w:rsidR="00BD2B3E" w:rsidRDefault="000D2BF6">
      <w:pPr>
        <w:spacing w:after="0" w:line="480" w:lineRule="auto"/>
        <w:ind w:firstLine="720"/>
        <w:jc w:val="both"/>
      </w:pPr>
      <w:r>
        <w:t>4.  Passive NGX Pension Index Buy-and-Hold: A market proxy constructed from the 28 sample equities, initialized at equal weights (wᵢ = 1/N) at inception and left to drift passively with asset price returns, with zero rebalancing thereafter. Note that this benchmark proxies broad market performance using the study sample, and is not the official NGX Pension Index series.</w:t>
      </w:r>
    </w:p>
    <w:p w:rsidR="5CA5B7A4" w:rsidRPr="00244161" w:rsidRDefault="77D5E205"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3.4 Description and Measurement of Study Variables</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color w:val="000000" w:themeColor="text1"/>
        </w:rPr>
        <w:t>-</w:t>
      </w:r>
      <w:r w:rsidRPr="00244161">
        <w:rPr>
          <w:rFonts w:eastAsia="Times New Roman"/>
          <w:color w:val="000000" w:themeColor="text1"/>
        </w:rPr>
        <w:t>free rate parameter required for portfolio evaluation.</w:t>
      </w:r>
    </w:p>
    <w:p w:rsidR="5CA5B7A4" w:rsidRPr="00244161" w:rsidRDefault="77D5E205" w:rsidP="00B61C71">
      <w:pPr>
        <w:spacing w:after="0" w:line="480" w:lineRule="auto"/>
        <w:ind w:firstLine="720"/>
        <w:jc w:val="both"/>
        <w:rPr>
          <w:rFonts w:eastAsia="Times New Roman"/>
          <w:color w:val="000000" w:themeColor="text1"/>
        </w:rPr>
      </w:pPr>
      <w:r w:rsidRPr="00244161">
        <w:rPr>
          <w:rFonts w:eastAsia="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lastRenderedPageBreak/>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00BD2B3E" w:rsidRDefault="000D2BF6">
            <w:pPr>
              <w:spacing w:after="0" w:line="240" w:lineRule="auto"/>
            </w:pPr>
            <w: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E20D58"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rsidR="00BD2B3E" w:rsidRDefault="000D2BF6">
      <w:pPr>
        <w:keepNext/>
        <w:spacing w:after="0" w:line="480" w:lineRule="auto"/>
      </w:pPr>
      <w:r>
        <w:rPr>
          <w:b/>
          <w:sz w:val="22"/>
        </w:rPr>
        <w:t>Table 3.1: Description and Measurement of Study Variables</w:t>
      </w:r>
    </w:p>
    <w:p w:rsidR="5A43DC86" w:rsidRPr="00244161" w:rsidRDefault="775E3400" w:rsidP="00B61C71">
      <w:pPr>
        <w:spacing w:after="0" w:line="480" w:lineRule="auto"/>
        <w:ind w:firstLine="720"/>
        <w:jc w:val="both"/>
        <w:rPr>
          <w:rFonts w:eastAsia="Times New Roman"/>
          <w:i/>
          <w:iCs/>
          <w:color w:val="000000" w:themeColor="text1"/>
        </w:rPr>
      </w:pPr>
      <w:r w:rsidRPr="00244161">
        <w:rPr>
          <w:rFonts w:eastAsia="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i/>
          <w:iCs/>
          <w:color w:val="000000" w:themeColor="text1"/>
        </w:rPr>
        <w:t xml:space="preserve"> is the True Range).</w:t>
      </w:r>
    </w:p>
    <w:p w:rsidR="0A7E58F2" w:rsidRPr="00244161" w:rsidRDefault="42AC30E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3.5 Data Preprocessing and Feature Scaling</w:t>
      </w:r>
    </w:p>
    <w:p w:rsidR="0A7E58F2" w:rsidRPr="00244161" w:rsidRDefault="42AC30ED" w:rsidP="00B61C71">
      <w:pPr>
        <w:spacing w:after="0" w:line="480" w:lineRule="auto"/>
        <w:ind w:firstLine="720"/>
        <w:jc w:val="both"/>
        <w:rPr>
          <w:rFonts w:eastAsia="Times New Roman"/>
          <w:color w:val="000000" w:themeColor="text1"/>
        </w:rPr>
      </w:pPr>
      <w:r>
        <w:t>Prior to feeding the financial time-series data into the machine learning models, rigorous data preprocessing was conducted to ensure data integrity. First, missing values arising from market holidays or trading halts were handled using forward-fill (Pₜ = Pₜ₋₁ ⇒ Rₜ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ind w:firstLine="720"/>
        <w:jc w:val="both"/>
        <w:rPr>
          <w:rFonts w:eastAsia="Times New Roman"/>
          <w:color w:val="000000" w:themeColor="text1"/>
        </w:rPr>
      </w:pPr>
      <w:r w:rsidRPr="00244161">
        <w:rPr>
          <w:rFonts w:eastAsia="Times New Roman"/>
          <w:color w:val="000000" w:themeColor="text1"/>
        </w:rPr>
        <w:t>The Min-Max scaling formula utilized is expressed as:</w:t>
      </w:r>
    </w:p>
    <w:p w:rsidR="0A7E58F2" w:rsidRPr="00244161" w:rsidRDefault="00E20D58"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ind w:firstLine="720"/>
        <w:jc w:val="both"/>
        <w:rPr>
          <w:rFonts w:eastAsia="Times New Roman"/>
          <w:color w:val="000000" w:themeColor="text1"/>
        </w:rPr>
      </w:pPr>
      <w:proofErr w:type="gramStart"/>
      <w:r w:rsidRPr="00244161">
        <w:rPr>
          <w:rFonts w:eastAsia="Times New Roman"/>
          <w:color w:val="000000" w:themeColor="text1"/>
        </w:rPr>
        <w:t>w</w:t>
      </w:r>
      <w:r w:rsidR="074E4A77" w:rsidRPr="00244161">
        <w:rPr>
          <w:rFonts w:eastAsia="Times New Roman"/>
          <w:color w:val="000000" w:themeColor="text1"/>
        </w:rPr>
        <w:t>here</w:t>
      </w:r>
      <w:proofErr w:type="gramEnd"/>
      <w:r w:rsidR="074E4A77" w:rsidRPr="00244161">
        <w:rPr>
          <w:rFonts w:eastAsia="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color w:val="000000" w:themeColor="text1"/>
        </w:rPr>
        <w:t>, and min(</w:t>
      </w:r>
      <w:r w:rsidR="074E4A77" w:rsidRPr="00244161">
        <w:rPr>
          <w:rFonts w:eastAsia="Times New Roman"/>
          <w:i/>
          <w:iCs/>
          <w:color w:val="000000" w:themeColor="text1"/>
        </w:rPr>
        <w:t>x</w:t>
      </w:r>
      <w:r w:rsidR="074E4A77" w:rsidRPr="00244161">
        <w:rPr>
          <w:rFonts w:eastAsia="Times New Roman"/>
          <w:color w:val="000000" w:themeColor="text1"/>
        </w:rPr>
        <w:t>) and max(</w:t>
      </w:r>
      <w:r w:rsidR="074E4A77" w:rsidRPr="00244161">
        <w:rPr>
          <w:rFonts w:eastAsia="Times New Roman"/>
          <w:i/>
          <w:iCs/>
          <w:color w:val="000000" w:themeColor="text1"/>
        </w:rPr>
        <w:t>x</w:t>
      </w:r>
      <w:r w:rsidR="074E4A77" w:rsidRPr="00244161">
        <w:rPr>
          <w:rFonts w:eastAsia="Times New Roman"/>
          <w:color w:val="000000" w:themeColor="text1"/>
        </w:rPr>
        <w:t>) represent the minimum and maximum values of that specific feature over the defined period, respectively</w:t>
      </w:r>
      <w:r w:rsidR="2431ADCF" w:rsidRPr="00244161">
        <w:rPr>
          <w:rFonts w:eastAsia="Times New Roman"/>
          <w:color w:val="000000" w:themeColor="text1"/>
        </w:rPr>
        <w:t>.</w:t>
      </w:r>
    </w:p>
    <w:p w:rsidR="00E20654" w:rsidRPr="00244161" w:rsidRDefault="00E20654"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Although decision tree ensembles (Random Forest and </w:t>
      </w:r>
      <w:proofErr w:type="spellStart"/>
      <w:r w:rsidRPr="00244161">
        <w:rPr>
          <w:rFonts w:eastAsia="Times New Roman"/>
          <w:color w:val="000000" w:themeColor="text1"/>
        </w:rPr>
        <w:t>XGBoost</w:t>
      </w:r>
      <w:proofErr w:type="spellEnd"/>
      <w:r w:rsidRPr="00244161">
        <w:rPr>
          <w:rFonts w:eastAsia="Times New Roman"/>
          <w:color w:val="000000" w:themeColor="text1"/>
        </w:rPr>
        <w:t xml:space="preserve">)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w:t>
      </w:r>
      <w:r w:rsidRPr="00244161">
        <w:rPr>
          <w:rFonts w:eastAsia="Times New Roman"/>
          <w:color w:val="000000" w:themeColor="text1"/>
        </w:rPr>
        <w:lastRenderedPageBreak/>
        <w:t>quarterly windows, ensuring that no future distributional information contaminated the feature matrix.</w:t>
      </w:r>
    </w:p>
    <w:p w:rsidR="0A7E58F2" w:rsidRPr="00244161" w:rsidRDefault="2B85EB2D" w:rsidP="00B61C71">
      <w:pPr>
        <w:keepNext/>
        <w:spacing w:after="0" w:line="480" w:lineRule="auto"/>
        <w:jc w:val="both"/>
        <w:rPr>
          <w:rFonts w:eastAsia="Times New Roman"/>
          <w:color w:val="000000" w:themeColor="text1"/>
        </w:rPr>
      </w:pPr>
      <w:r w:rsidRPr="00244161">
        <w:rPr>
          <w:rFonts w:eastAsia="Times New Roman"/>
          <w:b/>
          <w:bCs/>
          <w:color w:val="000000" w:themeColor="text1"/>
        </w:rPr>
        <w:t>3.6 Software and Implementation Tools</w:t>
      </w:r>
    </w:p>
    <w:p w:rsidR="0A7E58F2" w:rsidRPr="00244161" w:rsidRDefault="2B85EB2D" w:rsidP="00B61C71">
      <w:pPr>
        <w:spacing w:after="0" w:line="480" w:lineRule="auto"/>
        <w:ind w:firstLine="720"/>
        <w:jc w:val="both"/>
        <w:rPr>
          <w:rFonts w:eastAsia="Times New Roman"/>
          <w:color w:val="000000" w:themeColor="text1"/>
        </w:rPr>
      </w:pPr>
      <w:r w:rsidRPr="00244161">
        <w:rPr>
          <w:rFonts w:eastAsia="Times New Roman"/>
          <w:color w:val="000000" w:themeColor="text1"/>
        </w:rPr>
        <w:t xml:space="preserve">To ensure the complete reproducibility and accuracy of the empirical pipeline - from data preprocessing and </w:t>
      </w:r>
      <w:proofErr w:type="spellStart"/>
      <w:r w:rsidRPr="00244161">
        <w:rPr>
          <w:rFonts w:eastAsia="Times New Roman"/>
          <w:color w:val="000000" w:themeColor="text1"/>
        </w:rPr>
        <w:t>hyperparameter</w:t>
      </w:r>
      <w:proofErr w:type="spellEnd"/>
      <w:r w:rsidRPr="00244161">
        <w:rPr>
          <w:rFonts w:eastAsia="Times New Roman"/>
          <w:color w:val="000000" w:themeColor="text1"/>
        </w:rPr>
        <w:t xml:space="preserve"> tuning to the machine learning predictions and Mean-</w:t>
      </w:r>
      <w:proofErr w:type="spellStart"/>
      <w:r w:rsidRPr="00244161">
        <w:rPr>
          <w:rFonts w:eastAsia="Times New Roman"/>
          <w:color w:val="000000" w:themeColor="text1"/>
        </w:rPr>
        <w:t>CVaR</w:t>
      </w:r>
      <w:proofErr w:type="spellEnd"/>
      <w:r w:rsidRPr="00244161">
        <w:rPr>
          <w:rFonts w:eastAsia="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i/>
          <w:iCs/>
          <w:color w:val="000000" w:themeColor="text1"/>
        </w:rPr>
        <w:t>pandas</w:t>
      </w:r>
      <w:r w:rsidRPr="00244161">
        <w:rPr>
          <w:rFonts w:eastAsia="Times New Roman"/>
          <w:color w:val="000000" w:themeColor="text1"/>
        </w:rPr>
        <w:t xml:space="preserve"> and </w:t>
      </w:r>
      <w:proofErr w:type="spellStart"/>
      <w:r w:rsidRPr="00244161">
        <w:rPr>
          <w:rFonts w:eastAsia="Times New Roman"/>
          <w:i/>
          <w:iCs/>
          <w:color w:val="000000" w:themeColor="text1"/>
        </w:rPr>
        <w:t>NumPy</w:t>
      </w:r>
      <w:proofErr w:type="spellEnd"/>
      <w:r w:rsidRPr="00244161">
        <w:rPr>
          <w:rFonts w:eastAsia="Times New Roman"/>
          <w:color w:val="000000" w:themeColor="text1"/>
        </w:rPr>
        <w:t xml:space="preserve"> libraries, while model training, cross-validation, and evaluation rely on the </w:t>
      </w:r>
      <w:proofErr w:type="spellStart"/>
      <w:r w:rsidRPr="00244161">
        <w:rPr>
          <w:rFonts w:eastAsia="Times New Roman"/>
          <w:i/>
          <w:iCs/>
          <w:color w:val="000000" w:themeColor="text1"/>
        </w:rPr>
        <w:t>scikit</w:t>
      </w:r>
      <w:proofErr w:type="spellEnd"/>
      <w:r w:rsidRPr="00244161">
        <w:rPr>
          <w:rFonts w:eastAsia="Times New Roman"/>
          <w:i/>
          <w:iCs/>
          <w:color w:val="000000" w:themeColor="text1"/>
        </w:rPr>
        <w:t>-learn</w:t>
      </w:r>
      <w:r w:rsidRPr="00244161">
        <w:rPr>
          <w:rFonts w:eastAsia="Times New Roman"/>
          <w:color w:val="000000" w:themeColor="text1"/>
        </w:rPr>
        <w:t xml:space="preserve"> machine learning library</w:t>
      </w:r>
      <w:r w:rsidR="768B51D0" w:rsidRPr="00244161">
        <w:rPr>
          <w:rFonts w:eastAsia="Times New Roman"/>
          <w:color w:val="000000" w:themeColor="text1"/>
        </w:rPr>
        <w:t xml:space="preserve"> Furthermore, the gradient boosting framework is implemented utilizing the highly scalable </w:t>
      </w:r>
      <w:proofErr w:type="spellStart"/>
      <w:r w:rsidR="768B51D0" w:rsidRPr="00244161">
        <w:rPr>
          <w:rFonts w:eastAsia="Times New Roman"/>
          <w:i/>
          <w:iCs/>
          <w:color w:val="000000" w:themeColor="text1"/>
        </w:rPr>
        <w:t>XGBoost</w:t>
      </w:r>
      <w:proofErr w:type="spellEnd"/>
      <w:r w:rsidR="768B51D0" w:rsidRPr="00244161">
        <w:rPr>
          <w:rFonts w:eastAsia="Times New Roman"/>
          <w:color w:val="000000" w:themeColor="text1"/>
        </w:rPr>
        <w:t xml:space="preserve"> library. This unified computational pipeline guarantees that the complex asset allocation strategy can be </w:t>
      </w:r>
      <w:r w:rsidR="3D0C0481" w:rsidRPr="00244161">
        <w:rPr>
          <w:rFonts w:eastAsia="Times New Roman"/>
          <w:color w:val="000000" w:themeColor="text1"/>
        </w:rPr>
        <w:t>robust</w:t>
      </w:r>
      <w:r w:rsidR="768B51D0" w:rsidRPr="00244161">
        <w:rPr>
          <w:rFonts w:eastAsia="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ind w:firstLine="720"/>
        <w:jc w:val="both"/>
        <w:rPr>
          <w:rFonts w:eastAsia="Times New Roman"/>
          <w:color w:val="000000" w:themeColor="text1"/>
        </w:rPr>
      </w:pPr>
      <w: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p>
      <w:pPr>
        <w:keepNext/>
        <w:pageBreakBefore/>
        <w:spacing w:line="480" w:lineRule="auto" w:before="0" w:after="0"/>
        <w:jc w:val="center"/>
      </w:pPr>
      <w:r>
        <w:rPr>
          <w:rFonts w:ascii="Times New Roman" w:hAnsi="Times New Roman"/>
          <w:b/>
          <w:color w:val="000000"/>
          <w:sz w:val="28"/>
        </w:rPr>
        <w:t>CHAPTER FOUR</w:t>
      </w:r>
    </w:p>
    <w:p>
      <w:pPr>
        <w:keepNext/>
        <w:spacing w:line="480" w:lineRule="auto" w:before="0" w:after="0"/>
        <w:jc w:val="center"/>
      </w:pPr>
      <w:r>
        <w:rPr>
          <w:rFonts w:ascii="Times New Roman" w:hAnsi="Times New Roman"/>
          <w:b/>
          <w:color w:val="000000"/>
          <w:sz w:val="24"/>
        </w:rPr>
        <w:t>DATA ANALYSIS, PRESENTATION AND DISCUSSION OF FINDINGS</w:t>
      </w:r>
    </w:p>
    <w:p>
      <w:pPr>
        <w:keepNext/>
        <w:spacing w:line="480" w:lineRule="auto" w:before="0" w:after="0"/>
        <w:jc w:val="left"/>
      </w:pPr>
      <w:r>
        <w:rPr>
          <w:rFonts w:ascii="Times New Roman" w:hAnsi="Times New Roman"/>
          <w:b/>
          <w:color w:val="000000"/>
          <w:sz w:val="24"/>
        </w:rPr>
        <w:t>4.1 Empirical Results</w:t>
      </w:r>
    </w:p>
    <w:p>
      <w:pPr>
        <w:spacing w:line="480" w:lineRule="auto" w:before="0" w:after="0"/>
        <w:ind w:firstLine="72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16-year historical period from January 2010 through December 2025 (835 weekly observations per asset). The dataset encompasses asset universe selection breakdowns, statistical non-normality diagnostics, machine learning return forecasting under Expanding-Window Walk-Forward Validation, feature importance analysis, and out-of-sample portfolio optimization backtests.</w:t>
      </w:r>
    </w:p>
    <w:p>
      <w:pPr>
        <w:keepNext/>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ind w:firstLine="720"/>
        <w:jc w:val="both"/>
      </w:pPr>
      <w:r>
        <w:rPr>
          <w:rFonts w:ascii="Times New Roman" w:hAnsi="Times New Roman"/>
          <w:color w:val="000000"/>
          <w:sz w:val="24"/>
        </w:rPr>
        <w:t>To construct a balanced historical panel without imputing missing price histories, the constituent equities of the NGX Pension Index were evaluated for sample inclusion. A total of 38 equities were audited. To guarantee a complete 16-year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keepNext/>
        <w:spacing w:line="276" w:lineRule="auto" w:before="160" w:after="40"/>
        <w:jc w:val="left"/>
      </w:pPr>
      <w:r>
        <w:rPr>
          <w:rFonts w:ascii="Times New Roman" w:hAnsi="Times New Roman"/>
          <w:b/>
          <w:color w:val="000000"/>
          <w:sz w:val="22"/>
        </w:rPr>
        <w:t>Table 4.0: NGX Pension Index Asset Universe Breakdown &amp; Exclusion Rationale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872"/>
        <w:gridCol w:w="1872"/>
        <w:gridCol w:w="1872"/>
        <w:gridCol w:w="1872"/>
        <w:gridCol w:w="1872"/>
      </w:tblGrid>
      <w:tr>
        <w:trPr>
          <w:cantSplit/>
          <w:tblHeader/>
        </w:trPr>
        <w:tc>
          <w:tcPr>
            <w:tcW w:type="dxa" w:w="1872"/>
          </w:tcPr>
          <w:p>
            <w:pPr>
              <w:spacing w:line="240" w:lineRule="auto" w:before="0" w:after="0"/>
              <w:jc w:val="center"/>
            </w:pPr>
            <w:r>
              <w:rPr>
                <w:rFonts w:ascii="Times New Roman" w:hAnsi="Times New Roman"/>
                <w:b/>
                <w:color w:val="000000"/>
                <w:sz w:val="19"/>
              </w:rPr>
              <w:t>Ticker</w:t>
            </w:r>
          </w:p>
        </w:tc>
        <w:tc>
          <w:tcPr>
            <w:tcW w:type="dxa" w:w="1872"/>
          </w:tcPr>
          <w:p>
            <w:pPr>
              <w:spacing w:line="240" w:lineRule="auto" w:before="0" w:after="0"/>
              <w:jc w:val="center"/>
            </w:pPr>
            <w:r>
              <w:rPr>
                <w:rFonts w:ascii="Times New Roman" w:hAnsi="Times New Roman"/>
                <w:b/>
                <w:color w:val="000000"/>
                <w:sz w:val="19"/>
              </w:rPr>
              <w:t>Company Name</w:t>
            </w:r>
          </w:p>
        </w:tc>
        <w:tc>
          <w:tcPr>
            <w:tcW w:type="dxa" w:w="1872"/>
          </w:tcPr>
          <w:p>
            <w:pPr>
              <w:spacing w:line="240" w:lineRule="auto" w:before="0" w:after="0"/>
              <w:jc w:val="center"/>
            </w:pPr>
            <w:r>
              <w:rPr>
                <w:rFonts w:ascii="Times New Roman" w:hAnsi="Times New Roman"/>
                <w:b/>
                <w:color w:val="000000"/>
                <w:sz w:val="19"/>
              </w:rPr>
              <w:t>Sector</w:t>
            </w:r>
          </w:p>
        </w:tc>
        <w:tc>
          <w:tcPr>
            <w:tcW w:type="dxa" w:w="1872"/>
          </w:tcPr>
          <w:p>
            <w:pPr>
              <w:spacing w:line="240" w:lineRule="auto" w:before="0" w:after="0"/>
              <w:jc w:val="center"/>
            </w:pPr>
            <w:r>
              <w:rPr>
                <w:rFonts w:ascii="Times New Roman" w:hAnsi="Times New Roman"/>
                <w:b/>
                <w:color w:val="000000"/>
                <w:sz w:val="19"/>
              </w:rPr>
              <w:t>Status</w:t>
            </w:r>
          </w:p>
        </w:tc>
        <w:tc>
          <w:tcPr>
            <w:tcW w:type="dxa" w:w="1872"/>
          </w:tcPr>
          <w:p>
            <w:pPr>
              <w:spacing w:line="240" w:lineRule="auto" w:before="0" w:after="0"/>
              <w:jc w:val="center"/>
            </w:pPr>
            <w:r>
              <w:rPr>
                <w:rFonts w:ascii="Times New Roman" w:hAnsi="Times New Roman"/>
                <w:b/>
                <w:color w:val="000000"/>
                <w:sz w:val="19"/>
              </w:rPr>
              <w:t>Inclusion / Exclusion Rationale</w:t>
            </w:r>
          </w:p>
        </w:tc>
      </w:tr>
      <w:tr>
        <w:trPr>
          <w:cantSplit/>
        </w:trPr>
        <w:tc>
          <w:tcPr>
            <w:tcW w:type="dxa" w:w="1872"/>
          </w:tcPr>
          <w:p>
            <w:pPr>
              <w:spacing w:line="240" w:lineRule="auto" w:before="0" w:after="0"/>
              <w:jc w:val="center"/>
            </w:pPr>
            <w:r>
              <w:rPr>
                <w:rFonts w:ascii="Times New Roman" w:hAnsi="Times New Roman"/>
                <w:color w:val="000000"/>
                <w:sz w:val="18"/>
              </w:rPr>
              <w:t>CONOIL</w:t>
            </w:r>
          </w:p>
        </w:tc>
        <w:tc>
          <w:tcPr>
            <w:tcW w:type="dxa" w:w="1872"/>
          </w:tcPr>
          <w:p>
            <w:pPr>
              <w:spacing w:line="240" w:lineRule="auto" w:before="0" w:after="0"/>
              <w:jc w:val="center"/>
            </w:pPr>
            <w:r>
              <w:rPr>
                <w:rFonts w:ascii="Times New Roman" w:hAnsi="Times New Roman"/>
                <w:color w:val="000000"/>
                <w:sz w:val="18"/>
              </w:rPr>
              <w:t>Conoil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CUSTODIAN</w:t>
            </w:r>
          </w:p>
        </w:tc>
        <w:tc>
          <w:tcPr>
            <w:tcW w:type="dxa" w:w="1872"/>
          </w:tcPr>
          <w:p>
            <w:pPr>
              <w:spacing w:line="240" w:lineRule="auto" w:before="0" w:after="0"/>
              <w:jc w:val="center"/>
            </w:pPr>
            <w:r>
              <w:rPr>
                <w:rFonts w:ascii="Times New Roman" w:hAnsi="Times New Roman"/>
                <w:color w:val="000000"/>
                <w:sz w:val="18"/>
              </w:rPr>
              <w:t>Custodian Investment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DANGCEM</w:t>
            </w:r>
          </w:p>
        </w:tc>
        <w:tc>
          <w:tcPr>
            <w:tcW w:type="dxa" w:w="1872"/>
          </w:tcPr>
          <w:p>
            <w:pPr>
              <w:spacing w:line="240" w:lineRule="auto" w:before="0" w:after="0"/>
              <w:jc w:val="center"/>
            </w:pPr>
            <w:r>
              <w:rPr>
                <w:rFonts w:ascii="Times New Roman" w:hAnsi="Times New Roman"/>
                <w:color w:val="000000"/>
                <w:sz w:val="18"/>
              </w:rPr>
              <w:t>Dangote Cement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DANGSUGAR</w:t>
            </w:r>
          </w:p>
        </w:tc>
        <w:tc>
          <w:tcPr>
            <w:tcW w:type="dxa" w:w="1872"/>
          </w:tcPr>
          <w:p>
            <w:pPr>
              <w:spacing w:line="240" w:lineRule="auto" w:before="0" w:after="0"/>
              <w:jc w:val="center"/>
            </w:pPr>
            <w:r>
              <w:rPr>
                <w:rFonts w:ascii="Times New Roman" w:hAnsi="Times New Roman"/>
                <w:color w:val="000000"/>
                <w:sz w:val="18"/>
              </w:rPr>
              <w:t>Dangote Sugar Refinery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ETI</w:t>
            </w:r>
          </w:p>
        </w:tc>
        <w:tc>
          <w:tcPr>
            <w:tcW w:type="dxa" w:w="1872"/>
          </w:tcPr>
          <w:p>
            <w:pPr>
              <w:spacing w:line="240" w:lineRule="auto" w:before="0" w:after="0"/>
              <w:jc w:val="center"/>
            </w:pPr>
            <w:r>
              <w:rPr>
                <w:rFonts w:ascii="Times New Roman" w:hAnsi="Times New Roman"/>
                <w:color w:val="000000"/>
                <w:sz w:val="18"/>
              </w:rPr>
              <w:t>Ecobank Transnational Inc.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FCMB</w:t>
            </w:r>
          </w:p>
        </w:tc>
        <w:tc>
          <w:tcPr>
            <w:tcW w:type="dxa" w:w="1872"/>
          </w:tcPr>
          <w:p>
            <w:pPr>
              <w:spacing w:line="240" w:lineRule="auto" w:before="0" w:after="0"/>
              <w:jc w:val="center"/>
            </w:pPr>
            <w:r>
              <w:rPr>
                <w:rFonts w:ascii="Times New Roman" w:hAnsi="Times New Roman"/>
                <w:color w:val="000000"/>
                <w:sz w:val="18"/>
              </w:rPr>
              <w:t>FCMB Group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FIDELITYBK</w:t>
            </w:r>
          </w:p>
        </w:tc>
        <w:tc>
          <w:tcPr>
            <w:tcW w:type="dxa" w:w="1872"/>
          </w:tcPr>
          <w:p>
            <w:pPr>
              <w:spacing w:line="240" w:lineRule="auto" w:before="0" w:after="0"/>
              <w:jc w:val="center"/>
            </w:pPr>
            <w:r>
              <w:rPr>
                <w:rFonts w:ascii="Times New Roman" w:hAnsi="Times New Roman"/>
                <w:color w:val="000000"/>
                <w:sz w:val="18"/>
              </w:rPr>
              <w:t>Fidelity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FIDSON</w:t>
            </w:r>
          </w:p>
        </w:tc>
        <w:tc>
          <w:tcPr>
            <w:tcW w:type="dxa" w:w="1872"/>
          </w:tcPr>
          <w:p>
            <w:pPr>
              <w:spacing w:line="240" w:lineRule="auto" w:before="0" w:after="0"/>
              <w:jc w:val="center"/>
            </w:pPr>
            <w:r>
              <w:rPr>
                <w:rFonts w:ascii="Times New Roman" w:hAnsi="Times New Roman"/>
                <w:color w:val="000000"/>
                <w:sz w:val="18"/>
              </w:rPr>
              <w:t>Fidson Healthcare Plc</w:t>
            </w:r>
          </w:p>
        </w:tc>
        <w:tc>
          <w:tcPr>
            <w:tcW w:type="dxa" w:w="1872"/>
          </w:tcPr>
          <w:p>
            <w:pPr>
              <w:spacing w:line="240" w:lineRule="auto" w:before="0" w:after="0"/>
              <w:jc w:val="center"/>
            </w:pPr>
            <w:r>
              <w:rPr>
                <w:rFonts w:ascii="Times New Roman" w:hAnsi="Times New Roman"/>
                <w:color w:val="000000"/>
                <w:sz w:val="18"/>
              </w:rPr>
              <w:t>Healthcare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FBNH</w:t>
            </w:r>
          </w:p>
        </w:tc>
        <w:tc>
          <w:tcPr>
            <w:tcW w:type="dxa" w:w="1872"/>
          </w:tcPr>
          <w:p>
            <w:pPr>
              <w:spacing w:line="240" w:lineRule="auto" w:before="0" w:after="0"/>
              <w:jc w:val="center"/>
            </w:pPr>
            <w:r>
              <w:rPr>
                <w:rFonts w:ascii="Times New Roman" w:hAnsi="Times New Roman"/>
                <w:color w:val="000000"/>
                <w:sz w:val="18"/>
              </w:rPr>
              <w:t>First HoldCo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GTCO</w:t>
            </w:r>
          </w:p>
        </w:tc>
        <w:tc>
          <w:tcPr>
            <w:tcW w:type="dxa" w:w="1872"/>
          </w:tcPr>
          <w:p>
            <w:pPr>
              <w:spacing w:line="240" w:lineRule="auto" w:before="0" w:after="0"/>
              <w:jc w:val="center"/>
            </w:pPr>
            <w:r>
              <w:rPr>
                <w:rFonts w:ascii="Times New Roman" w:hAnsi="Times New Roman"/>
                <w:color w:val="000000"/>
                <w:sz w:val="18"/>
              </w:rPr>
              <w:t>Guaranty Trust Holding Co</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GUINNESS</w:t>
            </w:r>
          </w:p>
        </w:tc>
        <w:tc>
          <w:tcPr>
            <w:tcW w:type="dxa" w:w="1872"/>
          </w:tcPr>
          <w:p>
            <w:pPr>
              <w:spacing w:line="240" w:lineRule="auto" w:before="0" w:after="0"/>
              <w:jc w:val="center"/>
            </w:pPr>
            <w:r>
              <w:rPr>
                <w:rFonts w:ascii="Times New Roman" w:hAnsi="Times New Roman"/>
                <w:color w:val="000000"/>
                <w:sz w:val="18"/>
              </w:rPr>
              <w:t>Guinness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JBERGER</w:t>
            </w:r>
          </w:p>
        </w:tc>
        <w:tc>
          <w:tcPr>
            <w:tcW w:type="dxa" w:w="1872"/>
          </w:tcPr>
          <w:p>
            <w:pPr>
              <w:spacing w:line="240" w:lineRule="auto" w:before="0" w:after="0"/>
              <w:jc w:val="center"/>
            </w:pPr>
            <w:r>
              <w:rPr>
                <w:rFonts w:ascii="Times New Roman" w:hAnsi="Times New Roman"/>
                <w:color w:val="000000"/>
                <w:sz w:val="18"/>
              </w:rPr>
              <w:t>Julius Berger Nigeria Plc</w:t>
            </w:r>
          </w:p>
        </w:tc>
        <w:tc>
          <w:tcPr>
            <w:tcW w:type="dxa" w:w="1872"/>
          </w:tcPr>
          <w:p>
            <w:pPr>
              <w:spacing w:line="240" w:lineRule="auto" w:before="0" w:after="0"/>
              <w:jc w:val="center"/>
            </w:pPr>
            <w:r>
              <w:rPr>
                <w:rFonts w:ascii="Times New Roman" w:hAnsi="Times New Roman"/>
                <w:color w:val="000000"/>
                <w:sz w:val="18"/>
              </w:rPr>
              <w:t>Construction</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WAPCO</w:t>
            </w:r>
          </w:p>
        </w:tc>
        <w:tc>
          <w:tcPr>
            <w:tcW w:type="dxa" w:w="1872"/>
          </w:tcPr>
          <w:p>
            <w:pPr>
              <w:spacing w:line="240" w:lineRule="auto" w:before="0" w:after="0"/>
              <w:jc w:val="center"/>
            </w:pPr>
            <w:r>
              <w:rPr>
                <w:rFonts w:ascii="Times New Roman" w:hAnsi="Times New Roman"/>
                <w:color w:val="000000"/>
                <w:sz w:val="18"/>
              </w:rPr>
              <w:t>Lafarge Africa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MANSARD</w:t>
            </w:r>
          </w:p>
        </w:tc>
        <w:tc>
          <w:tcPr>
            <w:tcW w:type="dxa" w:w="1872"/>
          </w:tcPr>
          <w:p>
            <w:pPr>
              <w:spacing w:line="240" w:lineRule="auto" w:before="0" w:after="0"/>
              <w:jc w:val="center"/>
            </w:pPr>
            <w:r>
              <w:rPr>
                <w:rFonts w:ascii="Times New Roman" w:hAnsi="Times New Roman"/>
                <w:color w:val="000000"/>
                <w:sz w:val="18"/>
              </w:rPr>
              <w:t>AXA Mansard Insurance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NAHCO</w:t>
            </w:r>
          </w:p>
        </w:tc>
        <w:tc>
          <w:tcPr>
            <w:tcW w:type="dxa" w:w="1872"/>
          </w:tcPr>
          <w:p>
            <w:pPr>
              <w:spacing w:line="240" w:lineRule="auto" w:before="0" w:after="0"/>
              <w:jc w:val="center"/>
            </w:pPr>
            <w:r>
              <w:rPr>
                <w:rFonts w:ascii="Times New Roman" w:hAnsi="Times New Roman"/>
                <w:color w:val="000000"/>
                <w:sz w:val="18"/>
              </w:rPr>
              <w:t>Nigerian Aviation Handling</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NASCON</w:t>
            </w:r>
          </w:p>
        </w:tc>
        <w:tc>
          <w:tcPr>
            <w:tcW w:type="dxa" w:w="1872"/>
          </w:tcPr>
          <w:p>
            <w:pPr>
              <w:spacing w:line="240" w:lineRule="auto" w:before="0" w:after="0"/>
              <w:jc w:val="center"/>
            </w:pPr>
            <w:r>
              <w:rPr>
                <w:rFonts w:ascii="Times New Roman" w:hAnsi="Times New Roman"/>
                <w:color w:val="000000"/>
                <w:sz w:val="18"/>
              </w:rPr>
              <w:t>Nascon Allied Industries</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NESTLE</w:t>
            </w:r>
          </w:p>
        </w:tc>
        <w:tc>
          <w:tcPr>
            <w:tcW w:type="dxa" w:w="1872"/>
          </w:tcPr>
          <w:p>
            <w:pPr>
              <w:spacing w:line="240" w:lineRule="auto" w:before="0" w:after="0"/>
              <w:jc w:val="center"/>
            </w:pPr>
            <w:r>
              <w:rPr>
                <w:rFonts w:ascii="Times New Roman" w:hAnsi="Times New Roman"/>
                <w:color w:val="000000"/>
                <w:sz w:val="18"/>
              </w:rPr>
              <w:t>Nestle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NB</w:t>
            </w:r>
          </w:p>
        </w:tc>
        <w:tc>
          <w:tcPr>
            <w:tcW w:type="dxa" w:w="1872"/>
          </w:tcPr>
          <w:p>
            <w:pPr>
              <w:spacing w:line="240" w:lineRule="auto" w:before="0" w:after="0"/>
              <w:jc w:val="center"/>
            </w:pPr>
            <w:r>
              <w:rPr>
                <w:rFonts w:ascii="Times New Roman" w:hAnsi="Times New Roman"/>
                <w:color w:val="000000"/>
                <w:sz w:val="18"/>
              </w:rPr>
              <w:t>Nigerian Breweries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OKOMUOIL</w:t>
            </w:r>
          </w:p>
        </w:tc>
        <w:tc>
          <w:tcPr>
            <w:tcW w:type="dxa" w:w="1872"/>
          </w:tcPr>
          <w:p>
            <w:pPr>
              <w:spacing w:line="240" w:lineRule="auto" w:before="0" w:after="0"/>
              <w:jc w:val="center"/>
            </w:pPr>
            <w:r>
              <w:rPr>
                <w:rFonts w:ascii="Times New Roman" w:hAnsi="Times New Roman"/>
                <w:color w:val="000000"/>
                <w:sz w:val="18"/>
              </w:rPr>
              <w:t>Okomu Oil Palm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PRESCO</w:t>
            </w:r>
          </w:p>
        </w:tc>
        <w:tc>
          <w:tcPr>
            <w:tcW w:type="dxa" w:w="1872"/>
          </w:tcPr>
          <w:p>
            <w:pPr>
              <w:spacing w:line="240" w:lineRule="auto" w:before="0" w:after="0"/>
              <w:jc w:val="center"/>
            </w:pPr>
            <w:r>
              <w:rPr>
                <w:rFonts w:ascii="Times New Roman" w:hAnsi="Times New Roman"/>
                <w:color w:val="000000"/>
                <w:sz w:val="18"/>
              </w:rPr>
              <w:t>Presco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STANBIC</w:t>
            </w:r>
          </w:p>
        </w:tc>
        <w:tc>
          <w:tcPr>
            <w:tcW w:type="dxa" w:w="1872"/>
          </w:tcPr>
          <w:p>
            <w:pPr>
              <w:spacing w:line="240" w:lineRule="auto" w:before="0" w:after="0"/>
              <w:jc w:val="center"/>
            </w:pPr>
            <w:r>
              <w:rPr>
                <w:rFonts w:ascii="Times New Roman" w:hAnsi="Times New Roman"/>
                <w:color w:val="000000"/>
                <w:sz w:val="18"/>
              </w:rPr>
              <w:t>Stanbic IBTC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STERLINGNG</w:t>
            </w:r>
          </w:p>
        </w:tc>
        <w:tc>
          <w:tcPr>
            <w:tcW w:type="dxa" w:w="1872"/>
          </w:tcPr>
          <w:p>
            <w:pPr>
              <w:spacing w:line="240" w:lineRule="auto" w:before="0" w:after="0"/>
              <w:jc w:val="center"/>
            </w:pPr>
            <w:r>
              <w:rPr>
                <w:rFonts w:ascii="Times New Roman" w:hAnsi="Times New Roman"/>
                <w:color w:val="000000"/>
                <w:sz w:val="18"/>
              </w:rPr>
              <w:t>Sterling Financial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TRANSCORP</w:t>
            </w:r>
          </w:p>
        </w:tc>
        <w:tc>
          <w:tcPr>
            <w:tcW w:type="dxa" w:w="1872"/>
          </w:tcPr>
          <w:p>
            <w:pPr>
              <w:spacing w:line="240" w:lineRule="auto" w:before="0" w:after="0"/>
              <w:jc w:val="center"/>
            </w:pPr>
            <w:r>
              <w:rPr>
                <w:rFonts w:ascii="Times New Roman" w:hAnsi="Times New Roman"/>
                <w:color w:val="000000"/>
                <w:sz w:val="18"/>
              </w:rPr>
              <w:t>Transnational Corp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UACN</w:t>
            </w:r>
          </w:p>
        </w:tc>
        <w:tc>
          <w:tcPr>
            <w:tcW w:type="dxa" w:w="1872"/>
          </w:tcPr>
          <w:p>
            <w:pPr>
              <w:spacing w:line="240" w:lineRule="auto" w:before="0" w:after="0"/>
              <w:jc w:val="center"/>
            </w:pPr>
            <w:r>
              <w:rPr>
                <w:rFonts w:ascii="Times New Roman" w:hAnsi="Times New Roman"/>
                <w:color w:val="000000"/>
                <w:sz w:val="18"/>
              </w:rPr>
              <w:t>UAC of Nigeria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UBA</w:t>
            </w:r>
          </w:p>
        </w:tc>
        <w:tc>
          <w:tcPr>
            <w:tcW w:type="dxa" w:w="1872"/>
          </w:tcPr>
          <w:p>
            <w:pPr>
              <w:spacing w:line="240" w:lineRule="auto" w:before="0" w:after="0"/>
              <w:jc w:val="center"/>
            </w:pPr>
            <w:r>
              <w:rPr>
                <w:rFonts w:ascii="Times New Roman" w:hAnsi="Times New Roman"/>
                <w:color w:val="000000"/>
                <w:sz w:val="18"/>
              </w:rPr>
              <w:t>United Bank for Africa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UNILEVER</w:t>
            </w:r>
          </w:p>
        </w:tc>
        <w:tc>
          <w:tcPr>
            <w:tcW w:type="dxa" w:w="1872"/>
          </w:tcPr>
          <w:p>
            <w:pPr>
              <w:spacing w:line="240" w:lineRule="auto" w:before="0" w:after="0"/>
              <w:jc w:val="center"/>
            </w:pPr>
            <w:r>
              <w:rPr>
                <w:rFonts w:ascii="Times New Roman" w:hAnsi="Times New Roman"/>
                <w:color w:val="000000"/>
                <w:sz w:val="18"/>
              </w:rPr>
              <w:t>Unilever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WEMABANK</w:t>
            </w:r>
          </w:p>
        </w:tc>
        <w:tc>
          <w:tcPr>
            <w:tcW w:type="dxa" w:w="1872"/>
          </w:tcPr>
          <w:p>
            <w:pPr>
              <w:spacing w:line="240" w:lineRule="auto" w:before="0" w:after="0"/>
              <w:jc w:val="center"/>
            </w:pPr>
            <w:r>
              <w:rPr>
                <w:rFonts w:ascii="Times New Roman" w:hAnsi="Times New Roman"/>
                <w:color w:val="000000"/>
                <w:sz w:val="18"/>
              </w:rPr>
              <w:t>Wema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ZENITHBANK</w:t>
            </w:r>
          </w:p>
        </w:tc>
        <w:tc>
          <w:tcPr>
            <w:tcW w:type="dxa" w:w="1872"/>
          </w:tcPr>
          <w:p>
            <w:pPr>
              <w:spacing w:line="240" w:lineRule="auto" w:before="0" w:after="0"/>
              <w:jc w:val="center"/>
            </w:pPr>
            <w:r>
              <w:rPr>
                <w:rFonts w:ascii="Times New Roman" w:hAnsi="Times New Roman"/>
                <w:color w:val="000000"/>
                <w:sz w:val="18"/>
              </w:rPr>
              <w:t>Zenith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ACCESSCORP</w:t>
            </w:r>
          </w:p>
        </w:tc>
        <w:tc>
          <w:tcPr>
            <w:tcW w:type="dxa" w:w="1872"/>
          </w:tcPr>
          <w:p>
            <w:pPr>
              <w:spacing w:line="240" w:lineRule="auto" w:before="0" w:after="0"/>
              <w:jc w:val="center"/>
            </w:pPr>
            <w:r>
              <w:rPr>
                <w:rFonts w:ascii="Times New Roman" w:hAnsi="Times New Roman"/>
                <w:color w:val="000000"/>
                <w:sz w:val="18"/>
              </w:rPr>
              <w:t>Access Holdings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Post-2010 restructuring</w:t>
            </w:r>
          </w:p>
        </w:tc>
      </w:tr>
      <w:tr>
        <w:trPr>
          <w:cantSplit/>
        </w:trPr>
        <w:tc>
          <w:tcPr>
            <w:tcW w:type="dxa" w:w="1872"/>
          </w:tcPr>
          <w:p>
            <w:pPr>
              <w:spacing w:line="240" w:lineRule="auto" w:before="0" w:after="0"/>
              <w:jc w:val="center"/>
            </w:pPr>
            <w:r>
              <w:rPr>
                <w:rFonts w:ascii="Times New Roman" w:hAnsi="Times New Roman"/>
                <w:color w:val="000000"/>
                <w:sz w:val="18"/>
              </w:rPr>
              <w:t>AIRTELAFRI</w:t>
            </w:r>
          </w:p>
        </w:tc>
        <w:tc>
          <w:tcPr>
            <w:tcW w:type="dxa" w:w="1872"/>
          </w:tcPr>
          <w:p>
            <w:pPr>
              <w:spacing w:line="240" w:lineRule="auto" w:before="0" w:after="0"/>
              <w:jc w:val="center"/>
            </w:pPr>
            <w:r>
              <w:rPr>
                <w:rFonts w:ascii="Times New Roman" w:hAnsi="Times New Roman"/>
                <w:color w:val="000000"/>
                <w:sz w:val="18"/>
              </w:rPr>
              <w:t>Airtel Africa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June 2019 (&lt; 16-yr history)</w:t>
            </w:r>
          </w:p>
        </w:tc>
      </w:tr>
      <w:tr>
        <w:trPr>
          <w:cantSplit/>
        </w:trPr>
        <w:tc>
          <w:tcPr>
            <w:tcW w:type="dxa" w:w="1872"/>
          </w:tcPr>
          <w:p>
            <w:pPr>
              <w:spacing w:line="240" w:lineRule="auto" w:before="0" w:after="0"/>
              <w:jc w:val="center"/>
            </w:pPr>
            <w:r>
              <w:rPr>
                <w:rFonts w:ascii="Times New Roman" w:hAnsi="Times New Roman"/>
                <w:color w:val="000000"/>
                <w:sz w:val="18"/>
              </w:rPr>
              <w:t>ARADEL</w:t>
            </w:r>
          </w:p>
        </w:tc>
        <w:tc>
          <w:tcPr>
            <w:tcW w:type="dxa" w:w="1872"/>
          </w:tcPr>
          <w:p>
            <w:pPr>
              <w:spacing w:line="240" w:lineRule="auto" w:before="0" w:after="0"/>
              <w:jc w:val="center"/>
            </w:pPr>
            <w:r>
              <w:rPr>
                <w:rFonts w:ascii="Times New Roman" w:hAnsi="Times New Roman"/>
                <w:color w:val="000000"/>
                <w:sz w:val="18"/>
              </w:rPr>
              <w:t>Aradel Holdings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2024 (&lt; 16-yr history)</w:t>
            </w:r>
          </w:p>
        </w:tc>
      </w:tr>
      <w:tr>
        <w:trPr>
          <w:cantSplit/>
        </w:trPr>
        <w:tc>
          <w:tcPr>
            <w:tcW w:type="dxa" w:w="1872"/>
          </w:tcPr>
          <w:p>
            <w:pPr>
              <w:spacing w:line="240" w:lineRule="auto" w:before="0" w:after="0"/>
              <w:jc w:val="center"/>
            </w:pPr>
            <w:r>
              <w:rPr>
                <w:rFonts w:ascii="Times New Roman" w:hAnsi="Times New Roman"/>
                <w:color w:val="000000"/>
                <w:sz w:val="18"/>
              </w:rPr>
              <w:t>BUAFOODS</w:t>
            </w:r>
          </w:p>
        </w:tc>
        <w:tc>
          <w:tcPr>
            <w:tcW w:type="dxa" w:w="1872"/>
          </w:tcPr>
          <w:p>
            <w:pPr>
              <w:spacing w:line="240" w:lineRule="auto" w:before="0" w:after="0"/>
              <w:jc w:val="center"/>
            </w:pPr>
            <w:r>
              <w:rPr>
                <w:rFonts w:ascii="Times New Roman" w:hAnsi="Times New Roman"/>
                <w:color w:val="000000"/>
                <w:sz w:val="18"/>
              </w:rPr>
              <w:t>BUA Foods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2022 (&lt; 16-yr history)</w:t>
            </w:r>
          </w:p>
        </w:tc>
      </w:tr>
      <w:tr>
        <w:trPr>
          <w:cantSplit/>
        </w:trPr>
        <w:tc>
          <w:tcPr>
            <w:tcW w:type="dxa" w:w="1872"/>
          </w:tcPr>
          <w:p>
            <w:pPr>
              <w:spacing w:line="240" w:lineRule="auto" w:before="0" w:after="0"/>
              <w:jc w:val="center"/>
            </w:pPr>
            <w:r>
              <w:rPr>
                <w:rFonts w:ascii="Times New Roman" w:hAnsi="Times New Roman"/>
                <w:color w:val="000000"/>
                <w:sz w:val="18"/>
              </w:rPr>
              <w:t>GEREGU</w:t>
            </w:r>
          </w:p>
        </w:tc>
        <w:tc>
          <w:tcPr>
            <w:tcW w:type="dxa" w:w="1872"/>
          </w:tcPr>
          <w:p>
            <w:pPr>
              <w:spacing w:line="240" w:lineRule="auto" w:before="0" w:after="0"/>
              <w:jc w:val="center"/>
            </w:pPr>
            <w:r>
              <w:rPr>
                <w:rFonts w:ascii="Times New Roman" w:hAnsi="Times New Roman"/>
                <w:color w:val="000000"/>
                <w:sz w:val="18"/>
              </w:rPr>
              <w:t>Geregu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2022 (&lt; 16-yr history)</w:t>
            </w:r>
          </w:p>
        </w:tc>
      </w:tr>
      <w:tr>
        <w:trPr>
          <w:cantSplit/>
        </w:trPr>
        <w:tc>
          <w:tcPr>
            <w:tcW w:type="dxa" w:w="1872"/>
          </w:tcPr>
          <w:p>
            <w:pPr>
              <w:spacing w:line="240" w:lineRule="auto" w:before="0" w:after="0"/>
              <w:jc w:val="center"/>
            </w:pPr>
            <w:r>
              <w:rPr>
                <w:rFonts w:ascii="Times New Roman" w:hAnsi="Times New Roman"/>
                <w:color w:val="000000"/>
                <w:sz w:val="18"/>
              </w:rPr>
              <w:t>MTNN</w:t>
            </w:r>
          </w:p>
        </w:tc>
        <w:tc>
          <w:tcPr>
            <w:tcW w:type="dxa" w:w="1872"/>
          </w:tcPr>
          <w:p>
            <w:pPr>
              <w:spacing w:line="240" w:lineRule="auto" w:before="0" w:after="0"/>
              <w:jc w:val="center"/>
            </w:pPr>
            <w:r>
              <w:rPr>
                <w:rFonts w:ascii="Times New Roman" w:hAnsi="Times New Roman"/>
                <w:color w:val="000000"/>
                <w:sz w:val="18"/>
              </w:rPr>
              <w:t>MTN Nigeria Comms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May 2019 (&lt; 16-yr history)</w:t>
            </w:r>
          </w:p>
        </w:tc>
      </w:tr>
      <w:tr>
        <w:trPr>
          <w:cantSplit/>
        </w:trPr>
        <w:tc>
          <w:tcPr>
            <w:tcW w:type="dxa" w:w="1872"/>
          </w:tcPr>
          <w:p>
            <w:pPr>
              <w:spacing w:line="240" w:lineRule="auto" w:before="0" w:after="0"/>
              <w:jc w:val="center"/>
            </w:pPr>
            <w:r>
              <w:rPr>
                <w:rFonts w:ascii="Times New Roman" w:hAnsi="Times New Roman"/>
                <w:color w:val="000000"/>
                <w:sz w:val="18"/>
              </w:rPr>
              <w:t>SEPLAT</w:t>
            </w:r>
          </w:p>
        </w:tc>
        <w:tc>
          <w:tcPr>
            <w:tcW w:type="dxa" w:w="1872"/>
          </w:tcPr>
          <w:p>
            <w:pPr>
              <w:spacing w:line="240" w:lineRule="auto" w:before="0" w:after="0"/>
              <w:jc w:val="center"/>
            </w:pPr>
            <w:r>
              <w:rPr>
                <w:rFonts w:ascii="Times New Roman" w:hAnsi="Times New Roman"/>
                <w:color w:val="000000"/>
                <w:sz w:val="18"/>
              </w:rPr>
              <w:t>Seplat Energy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April 2014 (&lt; 16-yr history)</w:t>
            </w:r>
          </w:p>
        </w:tc>
      </w:tr>
      <w:tr>
        <w:trPr>
          <w:cantSplit/>
        </w:trPr>
        <w:tc>
          <w:tcPr>
            <w:tcW w:type="dxa" w:w="1872"/>
          </w:tcPr>
          <w:p>
            <w:pPr>
              <w:spacing w:line="240" w:lineRule="auto" w:before="0" w:after="0"/>
              <w:jc w:val="center"/>
            </w:pPr>
            <w:r>
              <w:rPr>
                <w:rFonts w:ascii="Times New Roman" w:hAnsi="Times New Roman"/>
                <w:color w:val="000000"/>
                <w:sz w:val="18"/>
              </w:rPr>
              <w:t>TRANSCOHOT</w:t>
            </w:r>
          </w:p>
        </w:tc>
        <w:tc>
          <w:tcPr>
            <w:tcW w:type="dxa" w:w="1872"/>
          </w:tcPr>
          <w:p>
            <w:pPr>
              <w:spacing w:line="240" w:lineRule="auto" w:before="0" w:after="0"/>
              <w:jc w:val="center"/>
            </w:pPr>
            <w:r>
              <w:rPr>
                <w:rFonts w:ascii="Times New Roman" w:hAnsi="Times New Roman"/>
                <w:color w:val="000000"/>
                <w:sz w:val="18"/>
              </w:rPr>
              <w:t>Transcorp Hotels Plc</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2015 (&lt; 16-yr history)</w:t>
            </w:r>
          </w:p>
        </w:tc>
      </w:tr>
      <w:tr>
        <w:trPr>
          <w:cantSplit/>
        </w:trPr>
        <w:tc>
          <w:tcPr>
            <w:tcW w:type="dxa" w:w="1872"/>
          </w:tcPr>
          <w:p>
            <w:pPr>
              <w:spacing w:line="240" w:lineRule="auto" w:before="0" w:after="0"/>
              <w:jc w:val="center"/>
            </w:pPr>
            <w:r>
              <w:rPr>
                <w:rFonts w:ascii="Times New Roman" w:hAnsi="Times New Roman"/>
                <w:color w:val="000000"/>
                <w:sz w:val="18"/>
              </w:rPr>
              <w:t>TRANSPOWER</w:t>
            </w:r>
          </w:p>
        </w:tc>
        <w:tc>
          <w:tcPr>
            <w:tcW w:type="dxa" w:w="1872"/>
          </w:tcPr>
          <w:p>
            <w:pPr>
              <w:spacing w:line="240" w:lineRule="auto" w:before="0" w:after="0"/>
              <w:jc w:val="center"/>
            </w:pPr>
            <w:r>
              <w:rPr>
                <w:rFonts w:ascii="Times New Roman" w:hAnsi="Times New Roman"/>
                <w:color w:val="000000"/>
                <w:sz w:val="18"/>
              </w:rPr>
              <w:t>Transcorp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March 2024 (&lt; 16-yr history)</w:t>
            </w:r>
          </w:p>
        </w:tc>
      </w:tr>
      <w:tr>
        <w:trPr>
          <w:cantSplit/>
        </w:trPr>
        <w:tc>
          <w:tcPr>
            <w:tcW w:type="dxa" w:w="1872"/>
          </w:tcPr>
          <w:p>
            <w:pPr>
              <w:spacing w:line="240" w:lineRule="auto" w:before="0" w:after="0"/>
              <w:jc w:val="center"/>
            </w:pPr>
            <w:r>
              <w:rPr>
                <w:rFonts w:ascii="Times New Roman" w:hAnsi="Times New Roman"/>
                <w:color w:val="000000"/>
                <w:sz w:val="18"/>
              </w:rPr>
              <w:t>UCAP</w:t>
            </w:r>
          </w:p>
        </w:tc>
        <w:tc>
          <w:tcPr>
            <w:tcW w:type="dxa" w:w="1872"/>
          </w:tcPr>
          <w:p>
            <w:pPr>
              <w:spacing w:line="240" w:lineRule="auto" w:before="0" w:after="0"/>
              <w:jc w:val="center"/>
            </w:pPr>
            <w:r>
              <w:rPr>
                <w:rFonts w:ascii="Times New Roman" w:hAnsi="Times New Roman"/>
                <w:color w:val="000000"/>
                <w:sz w:val="18"/>
              </w:rPr>
              <w:t>United Capital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2013 (&lt; 16-yr history)</w:t>
            </w:r>
          </w:p>
        </w:tc>
      </w:tr>
    </w:tbl>
    <w:p>
      <w:pPr>
        <w:keepNext/>
        <w:spacing w:line="276" w:lineRule="auto" w:before="40" w:after="160"/>
        <w:jc w:val="left"/>
      </w:pPr>
      <w:r>
        <w:rPr>
          <w:rFonts w:ascii="Times New Roman" w:hAnsi="Times New Roman"/>
          <w:i/>
          <w:color w:val="000000"/>
          <w:sz w:val="20"/>
        </w:rPr>
        <w:t>Source: Author's classification based on NGX listing records (2026).</w:t>
      </w:r>
    </w:p>
    <w:p>
      <w:pPr>
        <w:keepNext/>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ind w:firstLine="72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 Extreme weekly log return realizations (specifically MANSARD at -127.16%, TRANSCORP at +139.61%, and WEMABANK at +106.29%) arise from historical exchange corporate actions such as share capital reconstructions and low-priced equity re-pricings. Prices were not adjusted for corporate actions; these observations reflect mechanical price changes rather than economic returns and inflate the reported kurtosis for these three assets.</w:t>
      </w:r>
    </w:p>
    <w:p>
      <w:pPr>
        <w:keepNext/>
        <w:spacing w:line="276" w:lineRule="auto" w:before="160" w:after="40"/>
        <w:jc w:val="left"/>
      </w:pPr>
      <w:r>
        <w:rPr>
          <w:rFonts w:ascii="Times New Roman" w:hAnsi="Times New Roman"/>
          <w:b/>
          <w:color w:val="000000"/>
          <w:sz w:val="22"/>
        </w:rPr>
        <w:t>Table 4.1: Descriptive Statistics of 28 NGX Equity Log Returns (2010-2025)</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Mean (%)</w:t>
            </w:r>
          </w:p>
        </w:tc>
        <w:tc>
          <w:tcPr>
            <w:tcW w:type="dxa" w:w="1337"/>
          </w:tcPr>
          <w:p>
            <w:pPr>
              <w:spacing w:line="240" w:lineRule="auto" w:before="0" w:after="0"/>
              <w:jc w:val="center"/>
            </w:pPr>
            <w:r>
              <w:rPr>
                <w:rFonts w:ascii="Times New Roman" w:hAnsi="Times New Roman"/>
                <w:b/>
                <w:color w:val="000000"/>
                <w:sz w:val="19"/>
              </w:rPr>
              <w:t>Std Dev (%)</w:t>
            </w:r>
          </w:p>
        </w:tc>
        <w:tc>
          <w:tcPr>
            <w:tcW w:type="dxa" w:w="1337"/>
          </w:tcPr>
          <w:p>
            <w:pPr>
              <w:spacing w:line="240" w:lineRule="auto" w:before="0" w:after="0"/>
              <w:jc w:val="center"/>
            </w:pPr>
            <w:r>
              <w:rPr>
                <w:rFonts w:ascii="Times New Roman" w:hAnsi="Times New Roman"/>
                <w:b/>
                <w:color w:val="000000"/>
                <w:sz w:val="19"/>
              </w:rPr>
              <w:t>Min (%)</w:t>
            </w:r>
          </w:p>
        </w:tc>
        <w:tc>
          <w:tcPr>
            <w:tcW w:type="dxa" w:w="1337"/>
          </w:tcPr>
          <w:p>
            <w:pPr>
              <w:spacing w:line="240" w:lineRule="auto" w:before="0" w:after="0"/>
              <w:jc w:val="center"/>
            </w:pPr>
            <w:r>
              <w:rPr>
                <w:rFonts w:ascii="Times New Roman" w:hAnsi="Times New Roman"/>
                <w:b/>
                <w:color w:val="000000"/>
                <w:sz w:val="19"/>
              </w:rPr>
              <w:t>Max (%)</w:t>
            </w:r>
          </w:p>
        </w:tc>
        <w:tc>
          <w:tcPr>
            <w:tcW w:type="dxa" w:w="1337"/>
          </w:tcPr>
          <w:p>
            <w:pPr>
              <w:spacing w:line="240" w:lineRule="auto" w:before="0" w:after="0"/>
              <w:jc w:val="center"/>
            </w:pPr>
            <w:r>
              <w:rPr>
                <w:rFonts w:ascii="Times New Roman" w:hAnsi="Times New Roman"/>
                <w:b/>
                <w:color w:val="000000"/>
                <w:sz w:val="19"/>
              </w:rPr>
              <w:t>Skewness</w:t>
            </w:r>
          </w:p>
        </w:tc>
        <w:tc>
          <w:tcPr>
            <w:tcW w:type="dxa" w:w="1337"/>
          </w:tcPr>
          <w:p>
            <w:pPr>
              <w:spacing w:line="240" w:lineRule="auto" w:before="0" w:after="0"/>
              <w:jc w:val="center"/>
            </w:pPr>
            <w:r>
              <w:rPr>
                <w:rFonts w:ascii="Times New Roman" w:hAnsi="Times New Roman"/>
                <w:b/>
                <w:color w:val="000000"/>
                <w:sz w:val="19"/>
              </w:rPr>
              <w:t>Kurtosis</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0.218</w:t>
            </w:r>
          </w:p>
        </w:tc>
        <w:tc>
          <w:tcPr>
            <w:tcW w:type="dxa" w:w="1337"/>
          </w:tcPr>
          <w:p>
            <w:pPr>
              <w:spacing w:line="240" w:lineRule="auto" w:before="0" w:after="0"/>
              <w:jc w:val="center"/>
            </w:pPr>
            <w:r>
              <w:rPr>
                <w:rFonts w:ascii="Times New Roman" w:hAnsi="Times New Roman"/>
                <w:color w:val="000000"/>
                <w:sz w:val="18"/>
              </w:rPr>
              <w:t>6.66</w:t>
            </w:r>
          </w:p>
        </w:tc>
        <w:tc>
          <w:tcPr>
            <w:tcW w:type="dxa" w:w="1337"/>
          </w:tcPr>
          <w:p>
            <w:pPr>
              <w:spacing w:line="240" w:lineRule="auto" w:before="0" w:after="0"/>
              <w:jc w:val="center"/>
            </w:pPr>
            <w:r>
              <w:rPr>
                <w:rFonts w:ascii="Times New Roman" w:hAnsi="Times New Roman"/>
                <w:color w:val="000000"/>
                <w:sz w:val="18"/>
              </w:rPr>
              <w:t>-20.94</w:t>
            </w:r>
          </w:p>
        </w:tc>
        <w:tc>
          <w:tcPr>
            <w:tcW w:type="dxa" w:w="1337"/>
          </w:tcPr>
          <w:p>
            <w:pPr>
              <w:spacing w:line="240" w:lineRule="auto" w:before="0" w:after="0"/>
              <w:jc w:val="center"/>
            </w:pPr>
            <w:r>
              <w:rPr>
                <w:rFonts w:ascii="Times New Roman" w:hAnsi="Times New Roman"/>
                <w:color w:val="000000"/>
                <w:sz w:val="18"/>
              </w:rPr>
              <w:t>38.95</w:t>
            </w:r>
          </w:p>
        </w:tc>
        <w:tc>
          <w:tcPr>
            <w:tcW w:type="dxa" w:w="1337"/>
          </w:tcPr>
          <w:p>
            <w:pPr>
              <w:spacing w:line="240" w:lineRule="auto" w:before="0" w:after="0"/>
              <w:jc w:val="center"/>
            </w:pPr>
            <w:r>
              <w:rPr>
                <w:rFonts w:ascii="Times New Roman" w:hAnsi="Times New Roman"/>
                <w:color w:val="000000"/>
                <w:sz w:val="18"/>
              </w:rPr>
              <w:t>1.41</w:t>
            </w:r>
          </w:p>
        </w:tc>
        <w:tc>
          <w:tcPr>
            <w:tcW w:type="dxa" w:w="1337"/>
          </w:tcPr>
          <w:p>
            <w:pPr>
              <w:spacing w:line="240" w:lineRule="auto" w:before="0" w:after="0"/>
              <w:jc w:val="center"/>
            </w:pPr>
            <w:r>
              <w:rPr>
                <w:rFonts w:ascii="Times New Roman" w:hAnsi="Times New Roman"/>
                <w:color w:val="000000"/>
                <w:sz w:val="18"/>
              </w:rPr>
              <w:t>7.22</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0.324</w:t>
            </w:r>
          </w:p>
        </w:tc>
        <w:tc>
          <w:tcPr>
            <w:tcW w:type="dxa" w:w="1337"/>
          </w:tcPr>
          <w:p>
            <w:pPr>
              <w:spacing w:line="240" w:lineRule="auto" w:before="0" w:after="0"/>
              <w:jc w:val="center"/>
            </w:pPr>
            <w:r>
              <w:rPr>
                <w:rFonts w:ascii="Times New Roman" w:hAnsi="Times New Roman"/>
                <w:color w:val="000000"/>
                <w:sz w:val="18"/>
              </w:rPr>
              <w:t>5.57</w:t>
            </w:r>
          </w:p>
        </w:tc>
        <w:tc>
          <w:tcPr>
            <w:tcW w:type="dxa" w:w="1337"/>
          </w:tcPr>
          <w:p>
            <w:pPr>
              <w:spacing w:line="240" w:lineRule="auto" w:before="0" w:after="0"/>
              <w:jc w:val="center"/>
            </w:pPr>
            <w:r>
              <w:rPr>
                <w:rFonts w:ascii="Times New Roman" w:hAnsi="Times New Roman"/>
                <w:color w:val="000000"/>
                <w:sz w:val="18"/>
              </w:rPr>
              <w:t>-24.03</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0.30</w:t>
            </w:r>
          </w:p>
        </w:tc>
        <w:tc>
          <w:tcPr>
            <w:tcW w:type="dxa" w:w="1337"/>
          </w:tcPr>
          <w:p>
            <w:pPr>
              <w:spacing w:line="240" w:lineRule="auto" w:before="0" w:after="0"/>
              <w:jc w:val="center"/>
            </w:pPr>
            <w:r>
              <w:rPr>
                <w:rFonts w:ascii="Times New Roman" w:hAnsi="Times New Roman"/>
                <w:color w:val="000000"/>
                <w:sz w:val="18"/>
              </w:rPr>
              <w:t>2.20</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0.192</w:t>
            </w:r>
          </w:p>
        </w:tc>
        <w:tc>
          <w:tcPr>
            <w:tcW w:type="dxa" w:w="1337"/>
          </w:tcPr>
          <w:p>
            <w:pPr>
              <w:spacing w:line="240" w:lineRule="auto" w:before="0" w:after="0"/>
              <w:jc w:val="center"/>
            </w:pPr>
            <w:r>
              <w:rPr>
                <w:rFonts w:ascii="Times New Roman" w:hAnsi="Times New Roman"/>
                <w:color w:val="000000"/>
                <w:sz w:val="18"/>
              </w:rPr>
              <w:t>4.55</w:t>
            </w:r>
          </w:p>
        </w:tc>
        <w:tc>
          <w:tcPr>
            <w:tcW w:type="dxa" w:w="1337"/>
          </w:tcPr>
          <w:p>
            <w:pPr>
              <w:spacing w:line="240" w:lineRule="auto" w:before="0" w:after="0"/>
              <w:jc w:val="center"/>
            </w:pPr>
            <w:r>
              <w:rPr>
                <w:rFonts w:ascii="Times New Roman" w:hAnsi="Times New Roman"/>
                <w:color w:val="000000"/>
                <w:sz w:val="18"/>
              </w:rPr>
              <w:t>-23.16</w:t>
            </w:r>
          </w:p>
        </w:tc>
        <w:tc>
          <w:tcPr>
            <w:tcW w:type="dxa" w:w="1337"/>
          </w:tcPr>
          <w:p>
            <w:pPr>
              <w:spacing w:line="240" w:lineRule="auto" w:before="0" w:after="0"/>
              <w:jc w:val="center"/>
            </w:pPr>
            <w:r>
              <w:rPr>
                <w:rFonts w:ascii="Times New Roman" w:hAnsi="Times New Roman"/>
                <w:color w:val="000000"/>
                <w:sz w:val="18"/>
              </w:rPr>
              <w:t>43.14</w:t>
            </w:r>
          </w:p>
        </w:tc>
        <w:tc>
          <w:tcPr>
            <w:tcW w:type="dxa" w:w="1337"/>
          </w:tcPr>
          <w:p>
            <w:pPr>
              <w:spacing w:line="240" w:lineRule="auto" w:before="0" w:after="0"/>
              <w:jc w:val="center"/>
            </w:pPr>
            <w:r>
              <w:rPr>
                <w:rFonts w:ascii="Times New Roman" w:hAnsi="Times New Roman"/>
                <w:color w:val="000000"/>
                <w:sz w:val="18"/>
              </w:rPr>
              <w:t>1.66</w:t>
            </w:r>
          </w:p>
        </w:tc>
        <w:tc>
          <w:tcPr>
            <w:tcW w:type="dxa" w:w="1337"/>
          </w:tcPr>
          <w:p>
            <w:pPr>
              <w:spacing w:line="240" w:lineRule="auto" w:before="0" w:after="0"/>
              <w:jc w:val="center"/>
            </w:pPr>
            <w:r>
              <w:rPr>
                <w:rFonts w:ascii="Times New Roman" w:hAnsi="Times New Roman"/>
                <w:color w:val="000000"/>
                <w:sz w:val="18"/>
              </w:rPr>
              <w:t>14.47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0.167</w:t>
            </w:r>
          </w:p>
        </w:tc>
        <w:tc>
          <w:tcPr>
            <w:tcW w:type="dxa" w:w="1337"/>
          </w:tcPr>
          <w:p>
            <w:pPr>
              <w:spacing w:line="240" w:lineRule="auto" w:before="0" w:after="0"/>
              <w:jc w:val="center"/>
            </w:pPr>
            <w:r>
              <w:rPr>
                <w:rFonts w:ascii="Times New Roman" w:hAnsi="Times New Roman"/>
                <w:color w:val="000000"/>
                <w:sz w:val="18"/>
              </w:rPr>
              <w:t>6.54</w:t>
            </w:r>
          </w:p>
        </w:tc>
        <w:tc>
          <w:tcPr>
            <w:tcW w:type="dxa" w:w="1337"/>
          </w:tcPr>
          <w:p>
            <w:pPr>
              <w:spacing w:line="240" w:lineRule="auto" w:before="0" w:after="0"/>
              <w:jc w:val="center"/>
            </w:pPr>
            <w:r>
              <w:rPr>
                <w:rFonts w:ascii="Times New Roman" w:hAnsi="Times New Roman"/>
                <w:color w:val="000000"/>
                <w:sz w:val="18"/>
              </w:rPr>
              <w:t>-34.25</w:t>
            </w:r>
          </w:p>
        </w:tc>
        <w:tc>
          <w:tcPr>
            <w:tcW w:type="dxa" w:w="1337"/>
          </w:tcPr>
          <w:p>
            <w:pPr>
              <w:spacing w:line="240" w:lineRule="auto" w:before="0" w:after="0"/>
              <w:jc w:val="center"/>
            </w:pPr>
            <w:r>
              <w:rPr>
                <w:rFonts w:ascii="Times New Roman" w:hAnsi="Times New Roman"/>
                <w:color w:val="000000"/>
                <w:sz w:val="18"/>
              </w:rPr>
              <w:t>31.69</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0.126</w:t>
            </w:r>
          </w:p>
        </w:tc>
        <w:tc>
          <w:tcPr>
            <w:tcW w:type="dxa" w:w="1337"/>
          </w:tcPr>
          <w:p>
            <w:pPr>
              <w:spacing w:line="240" w:lineRule="auto" w:before="0" w:after="0"/>
              <w:jc w:val="center"/>
            </w:pPr>
            <w:r>
              <w:rPr>
                <w:rFonts w:ascii="Times New Roman" w:hAnsi="Times New Roman"/>
                <w:color w:val="000000"/>
                <w:sz w:val="18"/>
              </w:rPr>
              <w:t>6.04</w:t>
            </w:r>
          </w:p>
        </w:tc>
        <w:tc>
          <w:tcPr>
            <w:tcW w:type="dxa" w:w="1337"/>
          </w:tcPr>
          <w:p>
            <w:pPr>
              <w:spacing w:line="240" w:lineRule="auto" w:before="0" w:after="0"/>
              <w:jc w:val="center"/>
            </w:pPr>
            <w:r>
              <w:rPr>
                <w:rFonts w:ascii="Times New Roman" w:hAnsi="Times New Roman"/>
                <w:color w:val="000000"/>
                <w:sz w:val="18"/>
              </w:rPr>
              <w:t>-26.18</w:t>
            </w:r>
          </w:p>
        </w:tc>
        <w:tc>
          <w:tcPr>
            <w:tcW w:type="dxa" w:w="1337"/>
          </w:tcPr>
          <w:p>
            <w:pPr>
              <w:spacing w:line="240" w:lineRule="auto" w:before="0" w:after="0"/>
              <w:jc w:val="center"/>
            </w:pPr>
            <w:r>
              <w:rPr>
                <w:rFonts w:ascii="Times New Roman" w:hAnsi="Times New Roman"/>
                <w:color w:val="000000"/>
                <w:sz w:val="18"/>
              </w:rPr>
              <w:t>36.98</w:t>
            </w:r>
          </w:p>
        </w:tc>
        <w:tc>
          <w:tcPr>
            <w:tcW w:type="dxa" w:w="1337"/>
          </w:tcPr>
          <w:p>
            <w:pPr>
              <w:spacing w:line="240" w:lineRule="auto" w:before="0" w:after="0"/>
              <w:jc w:val="center"/>
            </w:pPr>
            <w:r>
              <w:rPr>
                <w:rFonts w:ascii="Times New Roman" w:hAnsi="Times New Roman"/>
                <w:color w:val="000000"/>
                <w:sz w:val="18"/>
              </w:rPr>
              <w:t>0.39</w:t>
            </w:r>
          </w:p>
        </w:tc>
        <w:tc>
          <w:tcPr>
            <w:tcW w:type="dxa" w:w="1337"/>
          </w:tcPr>
          <w:p>
            <w:pPr>
              <w:spacing w:line="240" w:lineRule="auto" w:before="0" w:after="0"/>
              <w:jc w:val="center"/>
            </w:pPr>
            <w:r>
              <w:rPr>
                <w:rFonts w:ascii="Times New Roman" w:hAnsi="Times New Roman"/>
                <w:color w:val="000000"/>
                <w:sz w:val="18"/>
              </w:rPr>
              <w:t>4.21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0.073</w:t>
            </w:r>
          </w:p>
        </w:tc>
        <w:tc>
          <w:tcPr>
            <w:tcW w:type="dxa" w:w="1337"/>
          </w:tcPr>
          <w:p>
            <w:pPr>
              <w:spacing w:line="240" w:lineRule="auto" w:before="0" w:after="0"/>
              <w:jc w:val="center"/>
            </w:pPr>
            <w:r>
              <w:rPr>
                <w:rFonts w:ascii="Times New Roman" w:hAnsi="Times New Roman"/>
                <w:color w:val="000000"/>
                <w:sz w:val="18"/>
              </w:rPr>
              <w:t>6.45</w:t>
            </w:r>
          </w:p>
        </w:tc>
        <w:tc>
          <w:tcPr>
            <w:tcW w:type="dxa" w:w="1337"/>
          </w:tcPr>
          <w:p>
            <w:pPr>
              <w:spacing w:line="240" w:lineRule="auto" w:before="0" w:after="0"/>
              <w:jc w:val="center"/>
            </w:pPr>
            <w:r>
              <w:rPr>
                <w:rFonts w:ascii="Times New Roman" w:hAnsi="Times New Roman"/>
                <w:color w:val="000000"/>
                <w:sz w:val="18"/>
              </w:rPr>
              <w:t>-24.00</w:t>
            </w:r>
          </w:p>
        </w:tc>
        <w:tc>
          <w:tcPr>
            <w:tcW w:type="dxa" w:w="1337"/>
          </w:tcPr>
          <w:p>
            <w:pPr>
              <w:spacing w:line="240" w:lineRule="auto" w:before="0" w:after="0"/>
              <w:jc w:val="center"/>
            </w:pPr>
            <w:r>
              <w:rPr>
                <w:rFonts w:ascii="Times New Roman" w:hAnsi="Times New Roman"/>
                <w:color w:val="000000"/>
                <w:sz w:val="18"/>
              </w:rPr>
              <w:t>31.77</w:t>
            </w:r>
          </w:p>
        </w:tc>
        <w:tc>
          <w:tcPr>
            <w:tcW w:type="dxa" w:w="1337"/>
          </w:tcPr>
          <w:p>
            <w:pPr>
              <w:spacing w:line="240" w:lineRule="auto" w:before="0" w:after="0"/>
              <w:jc w:val="center"/>
            </w:pPr>
            <w:r>
              <w:rPr>
                <w:rFonts w:ascii="Times New Roman" w:hAnsi="Times New Roman"/>
                <w:color w:val="000000"/>
                <w:sz w:val="18"/>
              </w:rPr>
              <w:t>0.69</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0.245</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-28.73</w:t>
            </w:r>
          </w:p>
        </w:tc>
        <w:tc>
          <w:tcPr>
            <w:tcW w:type="dxa" w:w="1337"/>
          </w:tcPr>
          <w:p>
            <w:pPr>
              <w:spacing w:line="240" w:lineRule="auto" w:before="0" w:after="0"/>
              <w:jc w:val="center"/>
            </w:pPr>
            <w:r>
              <w:rPr>
                <w:rFonts w:ascii="Times New Roman" w:hAnsi="Times New Roman"/>
                <w:color w:val="000000"/>
                <w:sz w:val="18"/>
              </w:rPr>
              <w:t>32.21</w:t>
            </w:r>
          </w:p>
        </w:tc>
        <w:tc>
          <w:tcPr>
            <w:tcW w:type="dxa" w:w="1337"/>
          </w:tcPr>
          <w:p>
            <w:pPr>
              <w:spacing w:line="240" w:lineRule="auto" w:before="0" w:after="0"/>
              <w:jc w:val="center"/>
            </w:pPr>
            <w:r>
              <w:rPr>
                <w:rFonts w:ascii="Times New Roman" w:hAnsi="Times New Roman"/>
                <w:color w:val="000000"/>
                <w:sz w:val="18"/>
              </w:rPr>
              <w:t>0.52</w:t>
            </w:r>
          </w:p>
        </w:tc>
        <w:tc>
          <w:tcPr>
            <w:tcW w:type="dxa" w:w="1337"/>
          </w:tcPr>
          <w:p>
            <w:pPr>
              <w:spacing w:line="240" w:lineRule="auto" w:before="0" w:after="0"/>
              <w:jc w:val="center"/>
            </w:pPr>
            <w:r>
              <w:rPr>
                <w:rFonts w:ascii="Times New Roman" w:hAnsi="Times New Roman"/>
                <w:color w:val="000000"/>
                <w:sz w:val="18"/>
              </w:rPr>
              <w:t>3.11</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0.401</w:t>
            </w:r>
          </w:p>
        </w:tc>
        <w:tc>
          <w:tcPr>
            <w:tcW w:type="dxa" w:w="1337"/>
          </w:tcPr>
          <w:p>
            <w:pPr>
              <w:spacing w:line="240" w:lineRule="auto" w:before="0" w:after="0"/>
              <w:jc w:val="center"/>
            </w:pPr>
            <w:r>
              <w:rPr>
                <w:rFonts w:ascii="Times New Roman" w:hAnsi="Times New Roman"/>
                <w:color w:val="000000"/>
                <w:sz w:val="18"/>
              </w:rPr>
              <w:t>7.14</w:t>
            </w:r>
          </w:p>
        </w:tc>
        <w:tc>
          <w:tcPr>
            <w:tcW w:type="dxa" w:w="1337"/>
          </w:tcPr>
          <w:p>
            <w:pPr>
              <w:spacing w:line="240" w:lineRule="auto" w:before="0" w:after="0"/>
              <w:jc w:val="center"/>
            </w:pPr>
            <w:r>
              <w:rPr>
                <w:rFonts w:ascii="Times New Roman" w:hAnsi="Times New Roman"/>
                <w:color w:val="000000"/>
                <w:sz w:val="18"/>
              </w:rPr>
              <w:t>-35.19</w:t>
            </w:r>
          </w:p>
        </w:tc>
        <w:tc>
          <w:tcPr>
            <w:tcW w:type="dxa" w:w="1337"/>
          </w:tcPr>
          <w:p>
            <w:pPr>
              <w:spacing w:line="240" w:lineRule="auto" w:before="0" w:after="0"/>
              <w:jc w:val="center"/>
            </w:pPr>
            <w:r>
              <w:rPr>
                <w:rFonts w:ascii="Times New Roman" w:hAnsi="Times New Roman"/>
                <w:color w:val="000000"/>
                <w:sz w:val="18"/>
              </w:rPr>
              <w:t>38.89</w:t>
            </w:r>
          </w:p>
        </w:tc>
        <w:tc>
          <w:tcPr>
            <w:tcW w:type="dxa" w:w="1337"/>
          </w:tcPr>
          <w:p>
            <w:pPr>
              <w:spacing w:line="240" w:lineRule="auto" w:before="0" w:after="0"/>
              <w:jc w:val="center"/>
            </w:pPr>
            <w:r>
              <w:rPr>
                <w:rFonts w:ascii="Times New Roman" w:hAnsi="Times New Roman"/>
                <w:color w:val="000000"/>
                <w:sz w:val="18"/>
              </w:rPr>
              <w:t>0.51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0.157</w:t>
            </w:r>
          </w:p>
        </w:tc>
        <w:tc>
          <w:tcPr>
            <w:tcW w:type="dxa" w:w="1337"/>
          </w:tcPr>
          <w:p>
            <w:pPr>
              <w:spacing w:line="240" w:lineRule="auto" w:before="0" w:after="0"/>
              <w:jc w:val="center"/>
            </w:pPr>
            <w:r>
              <w:rPr>
                <w:rFonts w:ascii="Times New Roman" w:hAnsi="Times New Roman"/>
                <w:color w:val="000000"/>
                <w:sz w:val="18"/>
              </w:rPr>
              <w:t>6.46</w:t>
            </w:r>
          </w:p>
        </w:tc>
        <w:tc>
          <w:tcPr>
            <w:tcW w:type="dxa" w:w="1337"/>
          </w:tcPr>
          <w:p>
            <w:pPr>
              <w:spacing w:line="240" w:lineRule="auto" w:before="0" w:after="0"/>
              <w:jc w:val="center"/>
            </w:pPr>
            <w:r>
              <w:rPr>
                <w:rFonts w:ascii="Times New Roman" w:hAnsi="Times New Roman"/>
                <w:color w:val="000000"/>
                <w:sz w:val="18"/>
              </w:rPr>
              <w:t>-29.02</w:t>
            </w:r>
          </w:p>
        </w:tc>
        <w:tc>
          <w:tcPr>
            <w:tcW w:type="dxa" w:w="1337"/>
          </w:tcPr>
          <w:p>
            <w:pPr>
              <w:spacing w:line="240" w:lineRule="auto" w:before="0" w:after="0"/>
              <w:jc w:val="center"/>
            </w:pPr>
            <w:r>
              <w:rPr>
                <w:rFonts w:ascii="Times New Roman" w:hAnsi="Times New Roman"/>
                <w:color w:val="000000"/>
                <w:sz w:val="18"/>
              </w:rPr>
              <w:t>35.72</w:t>
            </w:r>
          </w:p>
        </w:tc>
        <w:tc>
          <w:tcPr>
            <w:tcW w:type="dxa" w:w="1337"/>
          </w:tcPr>
          <w:p>
            <w:pPr>
              <w:spacing w:line="240" w:lineRule="auto" w:before="0" w:after="0"/>
              <w:jc w:val="center"/>
            </w:pPr>
            <w:r>
              <w:rPr>
                <w:rFonts w:ascii="Times New Roman" w:hAnsi="Times New Roman"/>
                <w:color w:val="000000"/>
                <w:sz w:val="18"/>
              </w:rPr>
              <w:t>0.64</w:t>
            </w:r>
          </w:p>
        </w:tc>
        <w:tc>
          <w:tcPr>
            <w:tcW w:type="dxa" w:w="1337"/>
          </w:tcPr>
          <w:p>
            <w:pPr>
              <w:spacing w:line="240" w:lineRule="auto" w:before="0" w:after="0"/>
              <w:jc w:val="center"/>
            </w:pPr>
            <w:r>
              <w:rPr>
                <w:rFonts w:ascii="Times New Roman" w:hAnsi="Times New Roman"/>
                <w:color w:val="000000"/>
                <w:sz w:val="18"/>
              </w:rPr>
              <w:t>4.01</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0.264</w:t>
            </w:r>
          </w:p>
        </w:tc>
        <w:tc>
          <w:tcPr>
            <w:tcW w:type="dxa" w:w="1337"/>
          </w:tcPr>
          <w:p>
            <w:pPr>
              <w:spacing w:line="240" w:lineRule="auto" w:before="0" w:after="0"/>
              <w:jc w:val="center"/>
            </w:pPr>
            <w:r>
              <w:rPr>
                <w:rFonts w:ascii="Times New Roman" w:hAnsi="Times New Roman"/>
                <w:color w:val="000000"/>
                <w:sz w:val="18"/>
              </w:rPr>
              <w:t>5.02</w:t>
            </w:r>
          </w:p>
        </w:tc>
        <w:tc>
          <w:tcPr>
            <w:tcW w:type="dxa" w:w="1337"/>
          </w:tcPr>
          <w:p>
            <w:pPr>
              <w:spacing w:line="240" w:lineRule="auto" w:before="0" w:after="0"/>
              <w:jc w:val="center"/>
            </w:pPr>
            <w:r>
              <w:rPr>
                <w:rFonts w:ascii="Times New Roman" w:hAnsi="Times New Roman"/>
                <w:color w:val="000000"/>
                <w:sz w:val="18"/>
              </w:rPr>
              <w:t>-29.18</w:t>
            </w:r>
          </w:p>
        </w:tc>
        <w:tc>
          <w:tcPr>
            <w:tcW w:type="dxa" w:w="1337"/>
          </w:tcPr>
          <w:p>
            <w:pPr>
              <w:spacing w:line="240" w:lineRule="auto" w:before="0" w:after="0"/>
              <w:jc w:val="center"/>
            </w:pPr>
            <w:r>
              <w:rPr>
                <w:rFonts w:ascii="Times New Roman" w:hAnsi="Times New Roman"/>
                <w:color w:val="000000"/>
                <w:sz w:val="18"/>
              </w:rPr>
              <w:t>26.90</w:t>
            </w:r>
          </w:p>
        </w:tc>
        <w:tc>
          <w:tcPr>
            <w:tcW w:type="dxa" w:w="1337"/>
          </w:tcPr>
          <w:p>
            <w:pPr>
              <w:spacing w:line="240" w:lineRule="auto" w:before="0" w:after="0"/>
              <w:jc w:val="center"/>
            </w:pPr>
            <w:r>
              <w:rPr>
                <w:rFonts w:ascii="Times New Roman" w:hAnsi="Times New Roman"/>
                <w:color w:val="000000"/>
                <w:sz w:val="18"/>
              </w:rPr>
              <w:t>-0.19</w:t>
            </w:r>
          </w:p>
        </w:tc>
        <w:tc>
          <w:tcPr>
            <w:tcW w:type="dxa" w:w="1337"/>
          </w:tcPr>
          <w:p>
            <w:pPr>
              <w:spacing w:line="240" w:lineRule="auto" w:before="0" w:after="0"/>
              <w:jc w:val="center"/>
            </w:pPr>
            <w:r>
              <w:rPr>
                <w:rFonts w:ascii="Times New Roman" w:hAnsi="Times New Roman"/>
                <w:color w:val="000000"/>
                <w:sz w:val="18"/>
              </w:rPr>
              <w:t>5.01</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0.120</w:t>
            </w:r>
          </w:p>
        </w:tc>
        <w:tc>
          <w:tcPr>
            <w:tcW w:type="dxa" w:w="1337"/>
          </w:tcPr>
          <w:p>
            <w:pPr>
              <w:spacing w:line="240" w:lineRule="auto" w:before="0" w:after="0"/>
              <w:jc w:val="center"/>
            </w:pPr>
            <w:r>
              <w:rPr>
                <w:rFonts w:ascii="Times New Roman" w:hAnsi="Times New Roman"/>
                <w:color w:val="000000"/>
                <w:sz w:val="18"/>
              </w:rPr>
              <w:t>5.93</w:t>
            </w:r>
          </w:p>
        </w:tc>
        <w:tc>
          <w:tcPr>
            <w:tcW w:type="dxa" w:w="1337"/>
          </w:tcPr>
          <w:p>
            <w:pPr>
              <w:spacing w:line="240" w:lineRule="auto" w:before="0" w:after="0"/>
              <w:jc w:val="center"/>
            </w:pPr>
            <w:r>
              <w:rPr>
                <w:rFonts w:ascii="Times New Roman" w:hAnsi="Times New Roman"/>
                <w:color w:val="000000"/>
                <w:sz w:val="18"/>
              </w:rPr>
              <w:t>-25.57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0.49</w:t>
            </w:r>
          </w:p>
        </w:tc>
        <w:tc>
          <w:tcPr>
            <w:tcW w:type="dxa" w:w="1337"/>
          </w:tcPr>
          <w:p>
            <w:pPr>
              <w:spacing w:line="240" w:lineRule="auto" w:before="0" w:after="0"/>
              <w:jc w:val="center"/>
            </w:pPr>
            <w:r>
              <w:rPr>
                <w:rFonts w:ascii="Times New Roman" w:hAnsi="Times New Roman"/>
                <w:color w:val="000000"/>
                <w:sz w:val="18"/>
              </w:rPr>
              <w:t>4.14</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0.217</w:t>
            </w:r>
          </w:p>
        </w:tc>
        <w:tc>
          <w:tcPr>
            <w:tcW w:type="dxa" w:w="1337"/>
          </w:tcPr>
          <w:p>
            <w:pPr>
              <w:spacing w:line="240" w:lineRule="auto" w:before="0" w:after="0"/>
              <w:jc w:val="center"/>
            </w:pPr>
            <w:r>
              <w:rPr>
                <w:rFonts w:ascii="Times New Roman" w:hAnsi="Times New Roman"/>
                <w:color w:val="000000"/>
                <w:sz w:val="18"/>
              </w:rPr>
              <w:t>5.85</w:t>
            </w:r>
          </w:p>
        </w:tc>
        <w:tc>
          <w:tcPr>
            <w:tcW w:type="dxa" w:w="1337"/>
          </w:tcPr>
          <w:p>
            <w:pPr>
              <w:spacing w:line="240" w:lineRule="auto" w:before="0" w:after="0"/>
              <w:jc w:val="center"/>
            </w:pPr>
            <w:r>
              <w:rPr>
                <w:rFonts w:ascii="Times New Roman" w:hAnsi="Times New Roman"/>
                <w:color w:val="000000"/>
                <w:sz w:val="18"/>
              </w:rPr>
              <w:t>-20.07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0.77</w:t>
            </w:r>
          </w:p>
        </w:tc>
        <w:tc>
          <w:tcPr>
            <w:tcW w:type="dxa" w:w="1337"/>
          </w:tcPr>
          <w:p>
            <w:pPr>
              <w:spacing w:line="240" w:lineRule="auto" w:before="0" w:after="0"/>
              <w:jc w:val="center"/>
            </w:pPr>
            <w:r>
              <w:rPr>
                <w:rFonts w:ascii="Times New Roman" w:hAnsi="Times New Roman"/>
                <w:color w:val="000000"/>
                <w:sz w:val="18"/>
              </w:rPr>
              <w:t>4.31</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0.181</w:t>
            </w:r>
          </w:p>
        </w:tc>
        <w:tc>
          <w:tcPr>
            <w:tcW w:type="dxa" w:w="1337"/>
          </w:tcPr>
          <w:p>
            <w:pPr>
              <w:spacing w:line="240" w:lineRule="auto" w:before="0" w:after="0"/>
              <w:jc w:val="center"/>
            </w:pPr>
            <w:r>
              <w:rPr>
                <w:rFonts w:ascii="Times New Roman" w:hAnsi="Times New Roman"/>
                <w:color w:val="000000"/>
                <w:sz w:val="18"/>
              </w:rPr>
              <w:t>5.65</w:t>
            </w:r>
          </w:p>
        </w:tc>
        <w:tc>
          <w:tcPr>
            <w:tcW w:type="dxa" w:w="1337"/>
          </w:tcPr>
          <w:p>
            <w:pPr>
              <w:spacing w:line="240" w:lineRule="auto" w:before="0" w:after="0"/>
              <w:jc w:val="center"/>
            </w:pPr>
            <w:r>
              <w:rPr>
                <w:rFonts w:ascii="Times New Roman" w:hAnsi="Times New Roman"/>
                <w:color w:val="000000"/>
                <w:sz w:val="18"/>
              </w:rPr>
              <w:t>-35.85</w:t>
            </w:r>
          </w:p>
        </w:tc>
        <w:tc>
          <w:tcPr>
            <w:tcW w:type="dxa" w:w="1337"/>
          </w:tcPr>
          <w:p>
            <w:pPr>
              <w:spacing w:line="240" w:lineRule="auto" w:before="0" w:after="0"/>
              <w:jc w:val="center"/>
            </w:pPr>
            <w:r>
              <w:rPr>
                <w:rFonts w:ascii="Times New Roman" w:hAnsi="Times New Roman"/>
                <w:color w:val="000000"/>
                <w:sz w:val="18"/>
              </w:rPr>
              <w:t>34.60</w:t>
            </w:r>
          </w:p>
        </w:tc>
        <w:tc>
          <w:tcPr>
            <w:tcW w:type="dxa" w:w="1337"/>
          </w:tcPr>
          <w:p>
            <w:pPr>
              <w:spacing w:line="240" w:lineRule="auto" w:before="0" w:after="0"/>
              <w:jc w:val="center"/>
            </w:pPr>
            <w:r>
              <w:rPr>
                <w:rFonts w:ascii="Times New Roman" w:hAnsi="Times New Roman"/>
                <w:color w:val="000000"/>
                <w:sz w:val="18"/>
              </w:rPr>
              <w:t>0.13</w:t>
            </w:r>
          </w:p>
        </w:tc>
        <w:tc>
          <w:tcPr>
            <w:tcW w:type="dxa" w:w="1337"/>
          </w:tcPr>
          <w:p>
            <w:pPr>
              <w:spacing w:line="240" w:lineRule="auto" w:before="0" w:after="0"/>
              <w:jc w:val="center"/>
            </w:pPr>
            <w:r>
              <w:rPr>
                <w:rFonts w:ascii="Times New Roman" w:hAnsi="Times New Roman"/>
                <w:color w:val="000000"/>
                <w:sz w:val="18"/>
              </w:rPr>
              <w:t>5.15</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0.225</w:t>
            </w:r>
          </w:p>
        </w:tc>
        <w:tc>
          <w:tcPr>
            <w:tcW w:type="dxa" w:w="1337"/>
          </w:tcPr>
          <w:p>
            <w:pPr>
              <w:spacing w:line="240" w:lineRule="auto" w:before="0" w:after="0"/>
              <w:jc w:val="center"/>
            </w:pPr>
            <w:r>
              <w:rPr>
                <w:rFonts w:ascii="Times New Roman" w:hAnsi="Times New Roman"/>
                <w:color w:val="000000"/>
                <w:sz w:val="18"/>
              </w:rPr>
              <w:t>8.77</w:t>
            </w:r>
          </w:p>
        </w:tc>
        <w:tc>
          <w:tcPr>
            <w:tcW w:type="dxa" w:w="1337"/>
          </w:tcPr>
          <w:p>
            <w:pPr>
              <w:spacing w:line="240" w:lineRule="auto" w:before="0" w:after="0"/>
              <w:jc w:val="center"/>
            </w:pPr>
            <w:r>
              <w:rPr>
                <w:rFonts w:ascii="Times New Roman" w:hAnsi="Times New Roman"/>
                <w:color w:val="000000"/>
                <w:sz w:val="18"/>
              </w:rPr>
              <w:t>-127.16</w:t>
            </w:r>
          </w:p>
        </w:tc>
        <w:tc>
          <w:tcPr>
            <w:tcW w:type="dxa" w:w="1337"/>
          </w:tcPr>
          <w:p>
            <w:pPr>
              <w:spacing w:line="240" w:lineRule="auto" w:before="0" w:after="0"/>
              <w:jc w:val="center"/>
            </w:pPr>
            <w:r>
              <w:rPr>
                <w:rFonts w:ascii="Times New Roman" w:hAnsi="Times New Roman"/>
                <w:color w:val="000000"/>
                <w:sz w:val="18"/>
              </w:rPr>
              <w:t>103.22</w:t>
            </w:r>
          </w:p>
        </w:tc>
        <w:tc>
          <w:tcPr>
            <w:tcW w:type="dxa" w:w="1337"/>
          </w:tcPr>
          <w:p>
            <w:pPr>
              <w:spacing w:line="240" w:lineRule="auto" w:before="0" w:after="0"/>
              <w:jc w:val="center"/>
            </w:pPr>
            <w:r>
              <w:rPr>
                <w:rFonts w:ascii="Times New Roman" w:hAnsi="Times New Roman"/>
                <w:color w:val="000000"/>
                <w:sz w:val="18"/>
              </w:rPr>
              <w:t>-1.55</w:t>
            </w:r>
          </w:p>
        </w:tc>
        <w:tc>
          <w:tcPr>
            <w:tcW w:type="dxa" w:w="1337"/>
          </w:tcPr>
          <w:p>
            <w:pPr>
              <w:spacing w:line="240" w:lineRule="auto" w:before="0" w:after="0"/>
              <w:jc w:val="center"/>
            </w:pPr>
            <w:r>
              <w:rPr>
                <w:rFonts w:ascii="Times New Roman" w:hAnsi="Times New Roman"/>
                <w:color w:val="000000"/>
                <w:sz w:val="18"/>
              </w:rPr>
              <w:t>75.04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0.370</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-27.79</w:t>
            </w:r>
          </w:p>
        </w:tc>
        <w:tc>
          <w:tcPr>
            <w:tcW w:type="dxa" w:w="1337"/>
          </w:tcPr>
          <w:p>
            <w:pPr>
              <w:spacing w:line="240" w:lineRule="auto" w:before="0" w:after="0"/>
              <w:jc w:val="center"/>
            </w:pPr>
            <w:r>
              <w:rPr>
                <w:rFonts w:ascii="Times New Roman" w:hAnsi="Times New Roman"/>
                <w:color w:val="000000"/>
                <w:sz w:val="18"/>
              </w:rPr>
              <w:t>34.92</w:t>
            </w:r>
          </w:p>
        </w:tc>
        <w:tc>
          <w:tcPr>
            <w:tcW w:type="dxa" w:w="1337"/>
          </w:tcPr>
          <w:p>
            <w:pPr>
              <w:spacing w:line="240" w:lineRule="auto" w:before="0" w:after="0"/>
              <w:jc w:val="center"/>
            </w:pPr>
            <w:r>
              <w:rPr>
                <w:rFonts w:ascii="Times New Roman" w:hAnsi="Times New Roman"/>
                <w:color w:val="000000"/>
                <w:sz w:val="18"/>
              </w:rPr>
              <w:t>0.42</w:t>
            </w:r>
          </w:p>
        </w:tc>
        <w:tc>
          <w:tcPr>
            <w:tcW w:type="dxa" w:w="1337"/>
          </w:tcPr>
          <w:p>
            <w:pPr>
              <w:spacing w:line="240" w:lineRule="auto" w:before="0" w:after="0"/>
              <w:jc w:val="center"/>
            </w:pPr>
            <w:r>
              <w:rPr>
                <w:rFonts w:ascii="Times New Roman" w:hAnsi="Times New Roman"/>
                <w:color w:val="000000"/>
                <w:sz w:val="18"/>
              </w:rPr>
              <w:t>3.13</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0.356</w:t>
            </w:r>
          </w:p>
        </w:tc>
        <w:tc>
          <w:tcPr>
            <w:tcW w:type="dxa" w:w="1337"/>
          </w:tcPr>
          <w:p>
            <w:pPr>
              <w:spacing w:line="240" w:lineRule="auto" w:before="0" w:after="0"/>
              <w:jc w:val="center"/>
            </w:pPr>
            <w:r>
              <w:rPr>
                <w:rFonts w:ascii="Times New Roman" w:hAnsi="Times New Roman"/>
                <w:color w:val="000000"/>
                <w:sz w:val="18"/>
              </w:rPr>
              <w:t>6.38</w:t>
            </w:r>
          </w:p>
        </w:tc>
        <w:tc>
          <w:tcPr>
            <w:tcW w:type="dxa" w:w="1337"/>
          </w:tcPr>
          <w:p>
            <w:pPr>
              <w:spacing w:line="240" w:lineRule="auto" w:before="0" w:after="0"/>
              <w:jc w:val="center"/>
            </w:pPr>
            <w:r>
              <w:rPr>
                <w:rFonts w:ascii="Times New Roman" w:hAnsi="Times New Roman"/>
                <w:color w:val="000000"/>
                <w:sz w:val="18"/>
              </w:rPr>
              <w:t>-31.44</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0.21</w:t>
            </w:r>
          </w:p>
        </w:tc>
        <w:tc>
          <w:tcPr>
            <w:tcW w:type="dxa" w:w="1337"/>
          </w:tcPr>
          <w:p>
            <w:pPr>
              <w:spacing w:line="240" w:lineRule="auto" w:before="0" w:after="0"/>
              <w:jc w:val="center"/>
            </w:pPr>
            <w:r>
              <w:rPr>
                <w:rFonts w:ascii="Times New Roman" w:hAnsi="Times New Roman"/>
                <w:color w:val="000000"/>
                <w:sz w:val="18"/>
              </w:rPr>
              <w:t>2.98</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0.271</w:t>
            </w:r>
          </w:p>
        </w:tc>
        <w:tc>
          <w:tcPr>
            <w:tcW w:type="dxa" w:w="1337"/>
          </w:tcPr>
          <w:p>
            <w:pPr>
              <w:spacing w:line="240" w:lineRule="auto" w:before="0" w:after="0"/>
              <w:jc w:val="center"/>
            </w:pPr>
            <w:r>
              <w:rPr>
                <w:rFonts w:ascii="Times New Roman" w:hAnsi="Times New Roman"/>
                <w:color w:val="000000"/>
                <w:sz w:val="18"/>
              </w:rPr>
              <w:t>4.37</w:t>
            </w:r>
          </w:p>
        </w:tc>
        <w:tc>
          <w:tcPr>
            <w:tcW w:type="dxa" w:w="1337"/>
          </w:tcPr>
          <w:p>
            <w:pPr>
              <w:spacing w:line="240" w:lineRule="auto" w:before="0" w:after="0"/>
              <w:jc w:val="center"/>
            </w:pPr>
            <w:r>
              <w:rPr>
                <w:rFonts w:ascii="Times New Roman" w:hAnsi="Times New Roman"/>
                <w:color w:val="000000"/>
                <w:sz w:val="18"/>
              </w:rPr>
              <w:t>-23.15</w:t>
            </w:r>
          </w:p>
        </w:tc>
        <w:tc>
          <w:tcPr>
            <w:tcW w:type="dxa" w:w="1337"/>
          </w:tcPr>
          <w:p>
            <w:pPr>
              <w:spacing w:line="240" w:lineRule="auto" w:before="0" w:after="0"/>
              <w:jc w:val="center"/>
            </w:pPr>
            <w:r>
              <w:rPr>
                <w:rFonts w:ascii="Times New Roman" w:hAnsi="Times New Roman"/>
                <w:color w:val="000000"/>
                <w:sz w:val="18"/>
              </w:rPr>
              <w:t>19.06</w:t>
            </w:r>
          </w:p>
        </w:tc>
        <w:tc>
          <w:tcPr>
            <w:tcW w:type="dxa" w:w="1337"/>
          </w:tcPr>
          <w:p>
            <w:pPr>
              <w:spacing w:line="240" w:lineRule="auto" w:before="0" w:after="0"/>
              <w:jc w:val="center"/>
            </w:pPr>
            <w:r>
              <w:rPr>
                <w:rFonts w:ascii="Times New Roman" w:hAnsi="Times New Roman"/>
                <w:color w:val="000000"/>
                <w:sz w:val="18"/>
              </w:rPr>
              <w:t>0.02</w:t>
            </w:r>
          </w:p>
        </w:tc>
        <w:tc>
          <w:tcPr>
            <w:tcW w:type="dxa" w:w="1337"/>
          </w:tcPr>
          <w:p>
            <w:pPr>
              <w:spacing w:line="240" w:lineRule="auto" w:before="0" w:after="0"/>
              <w:jc w:val="center"/>
            </w:pPr>
            <w:r>
              <w:rPr>
                <w:rFonts w:ascii="Times New Roman" w:hAnsi="Times New Roman"/>
                <w:color w:val="000000"/>
                <w:sz w:val="18"/>
              </w:rPr>
              <w:t>4.90</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w:t>
            </w:r>
          </w:p>
        </w:tc>
        <w:tc>
          <w:tcPr>
            <w:tcW w:type="dxa" w:w="1337"/>
          </w:tcPr>
          <w:p>
            <w:pPr>
              <w:spacing w:line="240" w:lineRule="auto" w:before="0" w:after="0"/>
              <w:jc w:val="center"/>
            </w:pPr>
            <w:r>
              <w:rPr>
                <w:rFonts w:ascii="Times New Roman" w:hAnsi="Times New Roman"/>
                <w:color w:val="000000"/>
                <w:sz w:val="18"/>
              </w:rPr>
              <w:t>5.71</w:t>
            </w:r>
          </w:p>
        </w:tc>
        <w:tc>
          <w:tcPr>
            <w:tcW w:type="dxa" w:w="1337"/>
          </w:tcPr>
          <w:p>
            <w:pPr>
              <w:spacing w:line="240" w:lineRule="auto" w:before="0" w:after="0"/>
              <w:jc w:val="center"/>
            </w:pPr>
            <w:r>
              <w:rPr>
                <w:rFonts w:ascii="Times New Roman" w:hAnsi="Times New Roman"/>
                <w:color w:val="000000"/>
                <w:sz w:val="18"/>
              </w:rPr>
              <w:t>-37.65</w:t>
            </w:r>
          </w:p>
        </w:tc>
        <w:tc>
          <w:tcPr>
            <w:tcW w:type="dxa" w:w="1337"/>
          </w:tcPr>
          <w:p>
            <w:pPr>
              <w:spacing w:line="240" w:lineRule="auto" w:before="0" w:after="0"/>
              <w:jc w:val="center"/>
            </w:pPr>
            <w:r>
              <w:rPr>
                <w:rFonts w:ascii="Times New Roman" w:hAnsi="Times New Roman"/>
                <w:color w:val="000000"/>
                <w:sz w:val="18"/>
              </w:rPr>
              <w:t>37.68</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5.78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0.554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-20.46</w:t>
            </w:r>
          </w:p>
        </w:tc>
        <w:tc>
          <w:tcPr>
            <w:tcW w:type="dxa" w:w="1337"/>
          </w:tcPr>
          <w:p>
            <w:pPr>
              <w:spacing w:line="240" w:lineRule="auto" w:before="0" w:after="0"/>
              <w:jc w:val="center"/>
            </w:pPr>
            <w:r>
              <w:rPr>
                <w:rFonts w:ascii="Times New Roman" w:hAnsi="Times New Roman"/>
                <w:color w:val="000000"/>
                <w:sz w:val="18"/>
              </w:rPr>
              <w:t>27.03</w:t>
            </w:r>
          </w:p>
        </w:tc>
        <w:tc>
          <w:tcPr>
            <w:tcW w:type="dxa" w:w="1337"/>
          </w:tcPr>
          <w:p>
            <w:pPr>
              <w:spacing w:line="240" w:lineRule="auto" w:before="0" w:after="0"/>
              <w:jc w:val="center"/>
            </w:pPr>
            <w:r>
              <w:rPr>
                <w:rFonts w:ascii="Times New Roman" w:hAnsi="Times New Roman"/>
                <w:color w:val="000000"/>
                <w:sz w:val="18"/>
              </w:rPr>
              <w:t>0.46</w:t>
            </w:r>
          </w:p>
        </w:tc>
        <w:tc>
          <w:tcPr>
            <w:tcW w:type="dxa" w:w="1337"/>
          </w:tcPr>
          <w:p>
            <w:pPr>
              <w:spacing w:line="240" w:lineRule="auto" w:before="0" w:after="0"/>
              <w:jc w:val="center"/>
            </w:pPr>
            <w:r>
              <w:rPr>
                <w:rFonts w:ascii="Times New Roman" w:hAnsi="Times New Roman"/>
                <w:color w:val="000000"/>
                <w:sz w:val="18"/>
              </w:rPr>
              <w:t>3.22</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0.672</w:t>
            </w:r>
          </w:p>
        </w:tc>
        <w:tc>
          <w:tcPr>
            <w:tcW w:type="dxa" w:w="1337"/>
          </w:tcPr>
          <w:p>
            <w:pPr>
              <w:spacing w:line="240" w:lineRule="auto" w:before="0" w:after="0"/>
              <w:jc w:val="center"/>
            </w:pPr>
            <w:r>
              <w:rPr>
                <w:rFonts w:ascii="Times New Roman" w:hAnsi="Times New Roman"/>
                <w:color w:val="000000"/>
                <w:sz w:val="18"/>
              </w:rPr>
              <w:t>5.48</w:t>
            </w:r>
          </w:p>
        </w:tc>
        <w:tc>
          <w:tcPr>
            <w:tcW w:type="dxa" w:w="1337"/>
          </w:tcPr>
          <w:p>
            <w:pPr>
              <w:spacing w:line="240" w:lineRule="auto" w:before="0" w:after="0"/>
              <w:jc w:val="center"/>
            </w:pPr>
            <w:r>
              <w:rPr>
                <w:rFonts w:ascii="Times New Roman" w:hAnsi="Times New Roman"/>
                <w:color w:val="000000"/>
                <w:sz w:val="18"/>
              </w:rPr>
              <w:t>-25.36</w:t>
            </w:r>
          </w:p>
        </w:tc>
        <w:tc>
          <w:tcPr>
            <w:tcW w:type="dxa" w:w="1337"/>
          </w:tcPr>
          <w:p>
            <w:pPr>
              <w:spacing w:line="240" w:lineRule="auto" w:before="0" w:after="0"/>
              <w:jc w:val="center"/>
            </w:pPr>
            <w:r>
              <w:rPr>
                <w:rFonts w:ascii="Times New Roman" w:hAnsi="Times New Roman"/>
                <w:color w:val="000000"/>
                <w:sz w:val="18"/>
              </w:rPr>
              <w:t>23.38</w:t>
            </w:r>
          </w:p>
        </w:tc>
        <w:tc>
          <w:tcPr>
            <w:tcW w:type="dxa" w:w="1337"/>
          </w:tcPr>
          <w:p>
            <w:pPr>
              <w:spacing w:line="240" w:lineRule="auto" w:before="0" w:after="0"/>
              <w:jc w:val="center"/>
            </w:pPr>
            <w:r>
              <w:rPr>
                <w:rFonts w:ascii="Times New Roman" w:hAnsi="Times New Roman"/>
                <w:color w:val="000000"/>
                <w:sz w:val="18"/>
              </w:rPr>
              <w:t>0.44</w:t>
            </w:r>
          </w:p>
        </w:tc>
        <w:tc>
          <w:tcPr>
            <w:tcW w:type="dxa" w:w="1337"/>
          </w:tcPr>
          <w:p>
            <w:pPr>
              <w:spacing w:line="240" w:lineRule="auto" w:before="0" w:after="0"/>
              <w:jc w:val="center"/>
            </w:pPr>
            <w:r>
              <w:rPr>
                <w:rFonts w:ascii="Times New Roman" w:hAnsi="Times New Roman"/>
                <w:color w:val="000000"/>
                <w:sz w:val="18"/>
              </w:rPr>
              <w:t>2.94</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0.244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-20.91</w:t>
            </w:r>
          </w:p>
        </w:tc>
        <w:tc>
          <w:tcPr>
            <w:tcW w:type="dxa" w:w="1337"/>
          </w:tcPr>
          <w:p>
            <w:pPr>
              <w:spacing w:line="240" w:lineRule="auto" w:before="0" w:after="0"/>
              <w:jc w:val="center"/>
            </w:pPr>
            <w:r>
              <w:rPr>
                <w:rFonts w:ascii="Times New Roman" w:hAnsi="Times New Roman"/>
                <w:color w:val="000000"/>
                <w:sz w:val="18"/>
              </w:rPr>
              <w:t>26.22</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3.24</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0.199</w:t>
            </w:r>
          </w:p>
        </w:tc>
        <w:tc>
          <w:tcPr>
            <w:tcW w:type="dxa" w:w="1337"/>
          </w:tcPr>
          <w:p>
            <w:pPr>
              <w:spacing w:line="240" w:lineRule="auto" w:before="0" w:after="0"/>
              <w:jc w:val="center"/>
            </w:pPr>
            <w:r>
              <w:rPr>
                <w:rFonts w:ascii="Times New Roman" w:hAnsi="Times New Roman"/>
                <w:color w:val="000000"/>
                <w:sz w:val="18"/>
              </w:rPr>
              <w:t>6.95</w:t>
            </w:r>
          </w:p>
        </w:tc>
        <w:tc>
          <w:tcPr>
            <w:tcW w:type="dxa" w:w="1337"/>
          </w:tcPr>
          <w:p>
            <w:pPr>
              <w:spacing w:line="240" w:lineRule="auto" w:before="0" w:after="0"/>
              <w:jc w:val="center"/>
            </w:pPr>
            <w:r>
              <w:rPr>
                <w:rFonts w:ascii="Times New Roman" w:hAnsi="Times New Roman"/>
                <w:color w:val="000000"/>
                <w:sz w:val="18"/>
              </w:rPr>
              <w:t>-34.94</w:t>
            </w:r>
          </w:p>
        </w:tc>
        <w:tc>
          <w:tcPr>
            <w:tcW w:type="dxa" w:w="1337"/>
          </w:tcPr>
          <w:p>
            <w:pPr>
              <w:spacing w:line="240" w:lineRule="auto" w:before="0" w:after="0"/>
              <w:jc w:val="center"/>
            </w:pPr>
            <w:r>
              <w:rPr>
                <w:rFonts w:ascii="Times New Roman" w:hAnsi="Times New Roman"/>
                <w:color w:val="000000"/>
                <w:sz w:val="18"/>
              </w:rPr>
              <w:t>30.35</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3.74</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0.538</w:t>
            </w:r>
          </w:p>
        </w:tc>
        <w:tc>
          <w:tcPr>
            <w:tcW w:type="dxa" w:w="1337"/>
          </w:tcPr>
          <w:p>
            <w:pPr>
              <w:spacing w:line="240" w:lineRule="auto" w:before="0" w:after="0"/>
              <w:jc w:val="center"/>
            </w:pPr>
            <w:r>
              <w:rPr>
                <w:rFonts w:ascii="Times New Roman" w:hAnsi="Times New Roman"/>
                <w:color w:val="000000"/>
                <w:sz w:val="18"/>
              </w:rPr>
              <w:t>10.20</w:t>
            </w:r>
          </w:p>
        </w:tc>
        <w:tc>
          <w:tcPr>
            <w:tcW w:type="dxa" w:w="1337"/>
          </w:tcPr>
          <w:p>
            <w:pPr>
              <w:spacing w:line="240" w:lineRule="auto" w:before="0" w:after="0"/>
              <w:jc w:val="center"/>
            </w:pPr>
            <w:r>
              <w:rPr>
                <w:rFonts w:ascii="Times New Roman" w:hAnsi="Times New Roman"/>
                <w:color w:val="000000"/>
                <w:sz w:val="18"/>
              </w:rPr>
              <w:t>-50.01</w:t>
            </w:r>
          </w:p>
        </w:tc>
        <w:tc>
          <w:tcPr>
            <w:tcW w:type="dxa" w:w="1337"/>
          </w:tcPr>
          <w:p>
            <w:pPr>
              <w:spacing w:line="240" w:lineRule="auto" w:before="0" w:after="0"/>
              <w:jc w:val="center"/>
            </w:pPr>
            <w:r>
              <w:rPr>
                <w:rFonts w:ascii="Times New Roman" w:hAnsi="Times New Roman"/>
                <w:color w:val="000000"/>
                <w:sz w:val="18"/>
              </w:rPr>
              <w:t>139.61</w:t>
            </w:r>
          </w:p>
        </w:tc>
        <w:tc>
          <w:tcPr>
            <w:tcW w:type="dxa" w:w="1337"/>
          </w:tcPr>
          <w:p>
            <w:pPr>
              <w:spacing w:line="240" w:lineRule="auto" w:before="0" w:after="0"/>
              <w:jc w:val="center"/>
            </w:pPr>
            <w:r>
              <w:rPr>
                <w:rFonts w:ascii="Times New Roman" w:hAnsi="Times New Roman"/>
                <w:color w:val="000000"/>
                <w:sz w:val="18"/>
              </w:rPr>
              <w:t>3.41</w:t>
            </w:r>
          </w:p>
        </w:tc>
        <w:tc>
          <w:tcPr>
            <w:tcW w:type="dxa" w:w="1337"/>
          </w:tcPr>
          <w:p>
            <w:pPr>
              <w:spacing w:line="240" w:lineRule="auto" w:before="0" w:after="0"/>
              <w:jc w:val="center"/>
            </w:pPr>
            <w:r>
              <w:rPr>
                <w:rFonts w:ascii="Times New Roman" w:hAnsi="Times New Roman"/>
                <w:color w:val="000000"/>
                <w:sz w:val="18"/>
              </w:rPr>
              <w:t>43.07</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0.156</w:t>
            </w:r>
          </w:p>
        </w:tc>
        <w:tc>
          <w:tcPr>
            <w:tcW w:type="dxa" w:w="1337"/>
          </w:tcPr>
          <w:p>
            <w:pPr>
              <w:spacing w:line="240" w:lineRule="auto" w:before="0" w:after="0"/>
              <w:jc w:val="center"/>
            </w:pPr>
            <w:r>
              <w:rPr>
                <w:rFonts w:ascii="Times New Roman" w:hAnsi="Times New Roman"/>
                <w:color w:val="000000"/>
                <w:sz w:val="18"/>
              </w:rPr>
              <w:t>6.71</w:t>
            </w:r>
          </w:p>
        </w:tc>
        <w:tc>
          <w:tcPr>
            <w:tcW w:type="dxa" w:w="1337"/>
          </w:tcPr>
          <w:p>
            <w:pPr>
              <w:spacing w:line="240" w:lineRule="auto" w:before="0" w:after="0"/>
              <w:jc w:val="center"/>
            </w:pPr>
            <w:r>
              <w:rPr>
                <w:rFonts w:ascii="Times New Roman" w:hAnsi="Times New Roman"/>
                <w:color w:val="000000"/>
                <w:sz w:val="18"/>
              </w:rPr>
              <w:t>-31.59</w:t>
            </w:r>
          </w:p>
        </w:tc>
        <w:tc>
          <w:tcPr>
            <w:tcW w:type="dxa" w:w="1337"/>
          </w:tcPr>
          <w:p>
            <w:pPr>
              <w:spacing w:line="240" w:lineRule="auto" w:before="0" w:after="0"/>
              <w:jc w:val="center"/>
            </w:pPr>
            <w:r>
              <w:rPr>
                <w:rFonts w:ascii="Times New Roman" w:hAnsi="Times New Roman"/>
                <w:color w:val="000000"/>
                <w:sz w:val="18"/>
              </w:rPr>
              <w:t>47.43</w:t>
            </w:r>
          </w:p>
        </w:tc>
        <w:tc>
          <w:tcPr>
            <w:tcW w:type="dxa" w:w="1337"/>
          </w:tcPr>
          <w:p>
            <w:pPr>
              <w:spacing w:line="240" w:lineRule="auto" w:before="0" w:after="0"/>
              <w:jc w:val="center"/>
            </w:pPr>
            <w:r>
              <w:rPr>
                <w:rFonts w:ascii="Times New Roman" w:hAnsi="Times New Roman"/>
                <w:color w:val="000000"/>
                <w:sz w:val="18"/>
              </w:rPr>
              <w:t>0.38</w:t>
            </w:r>
          </w:p>
        </w:tc>
        <w:tc>
          <w:tcPr>
            <w:tcW w:type="dxa" w:w="1337"/>
          </w:tcPr>
          <w:p>
            <w:pPr>
              <w:spacing w:line="240" w:lineRule="auto" w:before="0" w:after="0"/>
              <w:jc w:val="center"/>
            </w:pPr>
            <w:r>
              <w:rPr>
                <w:rFonts w:ascii="Times New Roman" w:hAnsi="Times New Roman"/>
                <w:color w:val="000000"/>
                <w:sz w:val="18"/>
              </w:rPr>
              <w:t>4.74</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0.216</w:t>
            </w:r>
          </w:p>
        </w:tc>
        <w:tc>
          <w:tcPr>
            <w:tcW w:type="dxa" w:w="1337"/>
          </w:tcPr>
          <w:p>
            <w:pPr>
              <w:spacing w:line="240" w:lineRule="auto" w:before="0" w:after="0"/>
              <w:jc w:val="center"/>
            </w:pPr>
            <w:r>
              <w:rPr>
                <w:rFonts w:ascii="Times New Roman" w:hAnsi="Times New Roman"/>
                <w:color w:val="000000"/>
                <w:sz w:val="18"/>
              </w:rPr>
              <w:t>6.18</w:t>
            </w:r>
          </w:p>
        </w:tc>
        <w:tc>
          <w:tcPr>
            <w:tcW w:type="dxa" w:w="1337"/>
          </w:tcPr>
          <w:p>
            <w:pPr>
              <w:spacing w:line="240" w:lineRule="auto" w:before="0" w:after="0"/>
              <w:jc w:val="center"/>
            </w:pPr>
            <w:r>
              <w:rPr>
                <w:rFonts w:ascii="Times New Roman" w:hAnsi="Times New Roman"/>
                <w:color w:val="000000"/>
                <w:sz w:val="18"/>
              </w:rPr>
              <w:t>-21.67</w:t>
            </w:r>
          </w:p>
        </w:tc>
        <w:tc>
          <w:tcPr>
            <w:tcW w:type="dxa" w:w="1337"/>
          </w:tcPr>
          <w:p>
            <w:pPr>
              <w:spacing w:line="240" w:lineRule="auto" w:before="0" w:after="0"/>
              <w:jc w:val="center"/>
            </w:pPr>
            <w:r>
              <w:rPr>
                <w:rFonts w:ascii="Times New Roman" w:hAnsi="Times New Roman"/>
                <w:color w:val="000000"/>
                <w:sz w:val="18"/>
              </w:rPr>
              <w:t>29.45</w:t>
            </w:r>
          </w:p>
        </w:tc>
        <w:tc>
          <w:tcPr>
            <w:tcW w:type="dxa" w:w="1337"/>
          </w:tcPr>
          <w:p>
            <w:pPr>
              <w:spacing w:line="240" w:lineRule="auto" w:before="0" w:after="0"/>
              <w:jc w:val="center"/>
            </w:pPr>
            <w:r>
              <w:rPr>
                <w:rFonts w:ascii="Times New Roman" w:hAnsi="Times New Roman"/>
                <w:color w:val="000000"/>
                <w:sz w:val="18"/>
              </w:rPr>
              <w:t>0.35</w:t>
            </w:r>
          </w:p>
        </w:tc>
        <w:tc>
          <w:tcPr>
            <w:tcW w:type="dxa" w:w="1337"/>
          </w:tcPr>
          <w:p>
            <w:pPr>
              <w:spacing w:line="240" w:lineRule="auto" w:before="0" w:after="0"/>
              <w:jc w:val="center"/>
            </w:pPr>
            <w:r>
              <w:rPr>
                <w:rFonts w:ascii="Times New Roman" w:hAnsi="Times New Roman"/>
                <w:color w:val="000000"/>
                <w:sz w:val="18"/>
              </w:rPr>
              <w:t>2.82</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0.147</w:t>
            </w:r>
          </w:p>
        </w:tc>
        <w:tc>
          <w:tcPr>
            <w:tcW w:type="dxa" w:w="1337"/>
          </w:tcPr>
          <w:p>
            <w:pPr>
              <w:spacing w:line="240" w:lineRule="auto" w:before="0" w:after="0"/>
              <w:jc w:val="center"/>
            </w:pPr>
            <w:r>
              <w:rPr>
                <w:rFonts w:ascii="Times New Roman" w:hAnsi="Times New Roman"/>
                <w:color w:val="000000"/>
                <w:sz w:val="18"/>
              </w:rPr>
              <w:t>5.84</w:t>
            </w:r>
          </w:p>
        </w:tc>
        <w:tc>
          <w:tcPr>
            <w:tcW w:type="dxa" w:w="1337"/>
          </w:tcPr>
          <w:p>
            <w:pPr>
              <w:spacing w:line="240" w:lineRule="auto" w:before="0" w:after="0"/>
              <w:jc w:val="center"/>
            </w:pPr>
            <w:r>
              <w:rPr>
                <w:rFonts w:ascii="Times New Roman" w:hAnsi="Times New Roman"/>
                <w:color w:val="000000"/>
                <w:sz w:val="18"/>
              </w:rPr>
              <w:t>-30.91</w:t>
            </w:r>
          </w:p>
        </w:tc>
        <w:tc>
          <w:tcPr>
            <w:tcW w:type="dxa" w:w="1337"/>
          </w:tcPr>
          <w:p>
            <w:pPr>
              <w:spacing w:line="240" w:lineRule="auto" w:before="0" w:after="0"/>
              <w:jc w:val="center"/>
            </w:pPr>
            <w:r>
              <w:rPr>
                <w:rFonts w:ascii="Times New Roman" w:hAnsi="Times New Roman"/>
                <w:color w:val="000000"/>
                <w:sz w:val="18"/>
              </w:rPr>
              <w:t>29.16</w:t>
            </w:r>
          </w:p>
        </w:tc>
        <w:tc>
          <w:tcPr>
            <w:tcW w:type="dxa" w:w="1337"/>
          </w:tcPr>
          <w:p>
            <w:pPr>
              <w:spacing w:line="240" w:lineRule="auto" w:before="0" w:after="0"/>
              <w:jc w:val="center"/>
            </w:pPr>
            <w:r>
              <w:rPr>
                <w:rFonts w:ascii="Times New Roman" w:hAnsi="Times New Roman"/>
                <w:color w:val="000000"/>
                <w:sz w:val="18"/>
              </w:rPr>
              <w:t>-0.04</w:t>
            </w:r>
          </w:p>
        </w:tc>
        <w:tc>
          <w:tcPr>
            <w:tcW w:type="dxa" w:w="1337"/>
          </w:tcPr>
          <w:p>
            <w:pPr>
              <w:spacing w:line="240" w:lineRule="auto" w:before="0" w:after="0"/>
              <w:jc w:val="center"/>
            </w:pPr>
            <w:r>
              <w:rPr>
                <w:rFonts w:ascii="Times New Roman" w:hAnsi="Times New Roman"/>
                <w:color w:val="000000"/>
                <w:sz w:val="18"/>
              </w:rPr>
              <w:t>3.30</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0.350</w:t>
            </w:r>
          </w:p>
        </w:tc>
        <w:tc>
          <w:tcPr>
            <w:tcW w:type="dxa" w:w="1337"/>
          </w:tcPr>
          <w:p>
            <w:pPr>
              <w:spacing w:line="240" w:lineRule="auto" w:before="0" w:after="0"/>
              <w:jc w:val="center"/>
            </w:pPr>
            <w:r>
              <w:rPr>
                <w:rFonts w:ascii="Times New Roman" w:hAnsi="Times New Roman"/>
                <w:color w:val="000000"/>
                <w:sz w:val="18"/>
              </w:rPr>
              <w:t>8.60</w:t>
            </w:r>
          </w:p>
        </w:tc>
        <w:tc>
          <w:tcPr>
            <w:tcW w:type="dxa" w:w="1337"/>
          </w:tcPr>
          <w:p>
            <w:pPr>
              <w:spacing w:line="240" w:lineRule="auto" w:before="0" w:after="0"/>
              <w:jc w:val="center"/>
            </w:pPr>
            <w:r>
              <w:rPr>
                <w:rFonts w:ascii="Times New Roman" w:hAnsi="Times New Roman"/>
                <w:color w:val="000000"/>
                <w:sz w:val="18"/>
              </w:rPr>
              <w:t>-33.00</w:t>
            </w:r>
          </w:p>
        </w:tc>
        <w:tc>
          <w:tcPr>
            <w:tcW w:type="dxa" w:w="1337"/>
          </w:tcPr>
          <w:p>
            <w:pPr>
              <w:spacing w:line="240" w:lineRule="auto" w:before="0" w:after="0"/>
              <w:jc w:val="center"/>
            </w:pPr>
            <w:r>
              <w:rPr>
                <w:rFonts w:ascii="Times New Roman" w:hAnsi="Times New Roman"/>
                <w:color w:val="000000"/>
                <w:sz w:val="18"/>
              </w:rPr>
              <w:t>106.29</w:t>
            </w:r>
          </w:p>
        </w:tc>
        <w:tc>
          <w:tcPr>
            <w:tcW w:type="dxa" w:w="1337"/>
          </w:tcPr>
          <w:p>
            <w:pPr>
              <w:spacing w:line="240" w:lineRule="auto" w:before="0" w:after="0"/>
              <w:jc w:val="center"/>
            </w:pPr>
            <w:r>
              <w:rPr>
                <w:rFonts w:ascii="Times New Roman" w:hAnsi="Times New Roman"/>
                <w:color w:val="000000"/>
                <w:sz w:val="18"/>
              </w:rPr>
              <w:t>2.86</w:t>
            </w:r>
          </w:p>
        </w:tc>
        <w:tc>
          <w:tcPr>
            <w:tcW w:type="dxa" w:w="1337"/>
          </w:tcPr>
          <w:p>
            <w:pPr>
              <w:spacing w:line="240" w:lineRule="auto" w:before="0" w:after="0"/>
              <w:jc w:val="center"/>
            </w:pPr>
            <w:r>
              <w:rPr>
                <w:rFonts w:ascii="Times New Roman" w:hAnsi="Times New Roman"/>
                <w:color w:val="000000"/>
                <w:sz w:val="18"/>
              </w:rPr>
              <w:t>29.82</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0.205</w:t>
            </w:r>
          </w:p>
        </w:tc>
        <w:tc>
          <w:tcPr>
            <w:tcW w:type="dxa" w:w="1337"/>
          </w:tcPr>
          <w:p>
            <w:pPr>
              <w:spacing w:line="240" w:lineRule="auto" w:before="0" w:after="0"/>
              <w:jc w:val="center"/>
            </w:pPr>
            <w:r>
              <w:rPr>
                <w:rFonts w:ascii="Times New Roman" w:hAnsi="Times New Roman"/>
                <w:color w:val="000000"/>
                <w:sz w:val="18"/>
              </w:rPr>
              <w:t>5.28</w:t>
            </w:r>
          </w:p>
        </w:tc>
        <w:tc>
          <w:tcPr>
            <w:tcW w:type="dxa" w:w="1337"/>
          </w:tcPr>
          <w:p>
            <w:pPr>
              <w:spacing w:line="240" w:lineRule="auto" w:before="0" w:after="0"/>
              <w:jc w:val="center"/>
            </w:pPr>
            <w:r>
              <w:rPr>
                <w:rFonts w:ascii="Times New Roman" w:hAnsi="Times New Roman"/>
                <w:color w:val="000000"/>
                <w:sz w:val="18"/>
              </w:rPr>
              <w:t>-45.70</w:t>
            </w:r>
          </w:p>
        </w:tc>
        <w:tc>
          <w:tcPr>
            <w:tcW w:type="dxa" w:w="1337"/>
          </w:tcPr>
          <w:p>
            <w:pPr>
              <w:spacing w:line="240" w:lineRule="auto" w:before="0" w:after="0"/>
              <w:jc w:val="center"/>
            </w:pPr>
            <w:r>
              <w:rPr>
                <w:rFonts w:ascii="Times New Roman" w:hAnsi="Times New Roman"/>
                <w:color w:val="000000"/>
                <w:sz w:val="18"/>
              </w:rPr>
              <w:t>28.17</w:t>
            </w:r>
          </w:p>
        </w:tc>
        <w:tc>
          <w:tcPr>
            <w:tcW w:type="dxa" w:w="1337"/>
          </w:tcPr>
          <w:p>
            <w:pPr>
              <w:spacing w:line="240" w:lineRule="auto" w:before="0" w:after="0"/>
              <w:jc w:val="center"/>
            </w:pPr>
            <w:r>
              <w:rPr>
                <w:rFonts w:ascii="Times New Roman" w:hAnsi="Times New Roman"/>
                <w:color w:val="000000"/>
                <w:sz w:val="18"/>
              </w:rPr>
              <w:t>-0.80</w:t>
            </w:r>
          </w:p>
        </w:tc>
        <w:tc>
          <w:tcPr>
            <w:tcW w:type="dxa" w:w="1337"/>
          </w:tcPr>
          <w:p>
            <w:pPr>
              <w:spacing w:line="240" w:lineRule="auto" w:before="0" w:after="0"/>
              <w:jc w:val="center"/>
            </w:pPr>
            <w:r>
              <w:rPr>
                <w:rFonts w:ascii="Times New Roman" w:hAnsi="Times New Roman"/>
                <w:color w:val="000000"/>
                <w:sz w:val="18"/>
              </w:rPr>
              <w:t>9.92</w:t>
            </w:r>
          </w:p>
        </w:tc>
      </w:tr>
    </w:tbl>
    <w:p>
      <w:pPr>
        <w:keepNext/>
        <w:spacing w:line="276" w:lineRule="auto" w:before="40" w:after="160"/>
        <w:jc w:val="left"/>
      </w:pPr>
      <w:r>
        <w:rPr>
          <w:rFonts w:ascii="Times New Roman" w:hAnsi="Times New Roman"/>
          <w:i/>
          <w:color w:val="000000"/>
          <w:sz w:val="20"/>
        </w:rPr>
        <w:t>Source: Author's computation (2026). Note: Kurtosis denotes excess kurtosis across all 28 assets. Minimum and maximum values represent continuously compounded weekly log returns (ln(Pt/Pt-1) * 100), where extreme outliers (MANSARD -127.16%, TRANSCORP +139.61%, WEMABANK +106.29%) reflect historical exchange corporate actions and penny-stock re-pricings. Prices were not adjusted for corporate actions; these observations reflect mechanical price changes rather than economic returns and inflate the reported kurtosis for these three assets.</w:t>
      </w:r>
    </w:p>
    <w:p>
      <w:pPr>
        <w:keepNext/>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ind w:firstLine="72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(Jarque &amp; Bera, 1987) and Shapiro-Wilk (SW) test (Shapiro &amp; Wilk, 1965) were evaluated against the null hypothesis of normality, while the Augmented Dickey-Fuller (ADF) test (Dickey &amp; Fuller, 1979) evaluated time-series stationarity across all 28 assets.</w:t>
      </w:r>
    </w:p>
    <w:p>
      <w:pPr>
        <w:keepNext/>
        <w:spacing w:line="276" w:lineRule="auto" w:before="160" w:after="40"/>
        <w:jc w:val="left"/>
      </w:pPr>
      <w:r>
        <w:rPr>
          <w:rFonts w:ascii="Times New Roman" w:hAnsi="Times New Roman"/>
          <w:b/>
          <w:color w:val="000000"/>
          <w:sz w:val="22"/>
        </w:rPr>
        <w:t>Table 4.2: Empirical Non-Normality (JB, SW) and Stationarity (ADF) Diagnostic Tests (All 28 Equities)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JB Stat</w:t>
            </w:r>
          </w:p>
        </w:tc>
        <w:tc>
          <w:tcPr>
            <w:tcW w:type="dxa" w:w="1337"/>
          </w:tcPr>
          <w:p>
            <w:pPr>
              <w:spacing w:line="240" w:lineRule="auto" w:before="0" w:after="0"/>
              <w:jc w:val="center"/>
            </w:pPr>
            <w:r>
              <w:rPr>
                <w:rFonts w:ascii="Times New Roman" w:hAnsi="Times New Roman"/>
                <w:b/>
                <w:color w:val="000000"/>
                <w:sz w:val="19"/>
              </w:rPr>
              <w:t>JB p-val</w:t>
            </w:r>
          </w:p>
        </w:tc>
        <w:tc>
          <w:tcPr>
            <w:tcW w:type="dxa" w:w="1337"/>
          </w:tcPr>
          <w:p>
            <w:pPr>
              <w:spacing w:line="240" w:lineRule="auto" w:before="0" w:after="0"/>
              <w:jc w:val="center"/>
            </w:pPr>
            <w:r>
              <w:rPr>
                <w:rFonts w:ascii="Times New Roman" w:hAnsi="Times New Roman"/>
                <w:b/>
                <w:color w:val="000000"/>
                <w:sz w:val="19"/>
              </w:rPr>
              <w:t>SW Stat</w:t>
            </w:r>
          </w:p>
        </w:tc>
        <w:tc>
          <w:tcPr>
            <w:tcW w:type="dxa" w:w="1337"/>
          </w:tcPr>
          <w:p>
            <w:pPr>
              <w:spacing w:line="240" w:lineRule="auto" w:before="0" w:after="0"/>
              <w:jc w:val="center"/>
            </w:pPr>
            <w:r>
              <w:rPr>
                <w:rFonts w:ascii="Times New Roman" w:hAnsi="Times New Roman"/>
                <w:b/>
                <w:color w:val="000000"/>
                <w:sz w:val="19"/>
              </w:rPr>
              <w:t>ADF Stat</w:t>
            </w:r>
          </w:p>
        </w:tc>
        <w:tc>
          <w:tcPr>
            <w:tcW w:type="dxa" w:w="1337"/>
          </w:tcPr>
          <w:p>
            <w:pPr>
              <w:spacing w:line="240" w:lineRule="auto" w:before="0" w:after="0"/>
              <w:jc w:val="center"/>
            </w:pPr>
            <w:r>
              <w:rPr>
                <w:rFonts w:ascii="Times New Roman" w:hAnsi="Times New Roman"/>
                <w:b/>
                <w:color w:val="000000"/>
                <w:sz w:val="19"/>
              </w:rPr>
              <w:t>ADF p-val</w:t>
            </w:r>
          </w:p>
        </w:tc>
        <w:tc>
          <w:tcPr>
            <w:tcW w:type="dxa" w:w="1337"/>
          </w:tcPr>
          <w:p>
            <w:pPr>
              <w:spacing w:line="240" w:lineRule="auto" w:before="0" w:after="0"/>
              <w:jc w:val="center"/>
            </w:pPr>
            <w:r>
              <w:rPr>
                <w:rFonts w:ascii="Times New Roman" w:hAnsi="Times New Roman"/>
                <w:b/>
                <w:color w:val="000000"/>
                <w:sz w:val="19"/>
              </w:rPr>
              <w:t>Stationary</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2087.1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0.776</w:t>
            </w:r>
          </w:p>
        </w:tc>
        <w:tc>
          <w:tcPr>
            <w:tcW w:type="dxa" w:w="1337"/>
          </w:tcPr>
          <w:p>
            <w:pPr>
              <w:spacing w:line="240" w:lineRule="auto" w:before="0" w:after="0"/>
              <w:jc w:val="center"/>
            </w:pPr>
            <w:r>
              <w:rPr>
                <w:rFonts w:ascii="Times New Roman" w:hAnsi="Times New Roman"/>
                <w:color w:val="000000"/>
                <w:sz w:val="18"/>
              </w:rPr>
              <w:t>-25.69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181.1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0.951</w:t>
            </w:r>
          </w:p>
        </w:tc>
        <w:tc>
          <w:tcPr>
            <w:tcW w:type="dxa" w:w="1337"/>
          </w:tcPr>
          <w:p>
            <w:pPr>
              <w:spacing w:line="240" w:lineRule="auto" w:before="0" w:after="0"/>
              <w:jc w:val="center"/>
            </w:pPr>
            <w:r>
              <w:rPr>
                <w:rFonts w:ascii="Times New Roman" w:hAnsi="Times New Roman"/>
                <w:color w:val="000000"/>
                <w:sz w:val="18"/>
              </w:rPr>
              <w:t>-31.89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7652.5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-11.74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467.7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-5.42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637.1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-16.12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528.6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0.939</w:t>
            </w:r>
          </w:p>
        </w:tc>
        <w:tc>
          <w:tcPr>
            <w:tcW w:type="dxa" w:w="1337"/>
          </w:tcPr>
          <w:p>
            <w:pPr>
              <w:spacing w:line="240" w:lineRule="auto" w:before="0" w:after="0"/>
              <w:jc w:val="center"/>
            </w:pPr>
            <w:r>
              <w:rPr>
                <w:rFonts w:ascii="Times New Roman" w:hAnsi="Times New Roman"/>
                <w:color w:val="000000"/>
                <w:sz w:val="18"/>
              </w:rPr>
              <w:t>-14.02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372.8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0.948</w:t>
            </w:r>
          </w:p>
        </w:tc>
        <w:tc>
          <w:tcPr>
            <w:tcW w:type="dxa" w:w="1337"/>
          </w:tcPr>
          <w:p>
            <w:pPr>
              <w:spacing w:line="240" w:lineRule="auto" w:before="0" w:after="0"/>
              <w:jc w:val="center"/>
            </w:pPr>
            <w:r>
              <w:rPr>
                <w:rFonts w:ascii="Times New Roman" w:hAnsi="Times New Roman"/>
                <w:color w:val="000000"/>
                <w:sz w:val="18"/>
              </w:rPr>
              <w:t>-32.13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531.0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-30.14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617.0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0.931</w:t>
            </w:r>
          </w:p>
        </w:tc>
        <w:tc>
          <w:tcPr>
            <w:tcW w:type="dxa" w:w="1337"/>
          </w:tcPr>
          <w:p>
            <w:pPr>
              <w:spacing w:line="240" w:lineRule="auto" w:before="0" w:after="0"/>
              <w:jc w:val="center"/>
            </w:pPr>
            <w:r>
              <w:rPr>
                <w:rFonts w:ascii="Times New Roman" w:hAnsi="Times New Roman"/>
                <w:color w:val="000000"/>
                <w:sz w:val="18"/>
              </w:rPr>
              <w:t>-9.01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877.0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-30.74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629.1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0.890</w:t>
            </w:r>
          </w:p>
        </w:tc>
        <w:tc>
          <w:tcPr>
            <w:tcW w:type="dxa" w:w="1337"/>
          </w:tcPr>
          <w:p>
            <w:pPr>
              <w:spacing w:line="240" w:lineRule="auto" w:before="0" w:after="0"/>
              <w:jc w:val="center"/>
            </w:pPr>
            <w:r>
              <w:rPr>
                <w:rFonts w:ascii="Times New Roman" w:hAnsi="Times New Roman"/>
                <w:color w:val="000000"/>
                <w:sz w:val="18"/>
              </w:rPr>
              <w:t>-17.00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727.9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0.863</w:t>
            </w:r>
          </w:p>
        </w:tc>
        <w:tc>
          <w:tcPr>
            <w:tcW w:type="dxa" w:w="1337"/>
          </w:tcPr>
          <w:p>
            <w:pPr>
              <w:spacing w:line="240" w:lineRule="auto" w:before="0" w:after="0"/>
              <w:jc w:val="center"/>
            </w:pPr>
            <w:r>
              <w:rPr>
                <w:rFonts w:ascii="Times New Roman" w:hAnsi="Times New Roman"/>
                <w:color w:val="000000"/>
                <w:sz w:val="18"/>
              </w:rPr>
              <w:t>-7.42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925.3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-18.98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196037.5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0.708</w:t>
            </w:r>
          </w:p>
        </w:tc>
        <w:tc>
          <w:tcPr>
            <w:tcW w:type="dxa" w:w="1337"/>
          </w:tcPr>
          <w:p>
            <w:pPr>
              <w:spacing w:line="240" w:lineRule="auto" w:before="0" w:after="0"/>
              <w:jc w:val="center"/>
            </w:pPr>
            <w:r>
              <w:rPr>
                <w:rFonts w:ascii="Times New Roman" w:hAnsi="Times New Roman"/>
                <w:color w:val="000000"/>
                <w:sz w:val="18"/>
              </w:rPr>
              <w:t>-30.94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364.9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0.949</w:t>
            </w:r>
          </w:p>
        </w:tc>
        <w:tc>
          <w:tcPr>
            <w:tcW w:type="dxa" w:w="1337"/>
          </w:tcPr>
          <w:p>
            <w:pPr>
              <w:spacing w:line="240" w:lineRule="auto" w:before="0" w:after="0"/>
              <w:jc w:val="center"/>
            </w:pPr>
            <w:r>
              <w:rPr>
                <w:rFonts w:ascii="Times New Roman" w:hAnsi="Times New Roman"/>
                <w:color w:val="000000"/>
                <w:sz w:val="18"/>
              </w:rPr>
              <w:t>-31.30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315.8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0.930</w:t>
            </w:r>
          </w:p>
        </w:tc>
        <w:tc>
          <w:tcPr>
            <w:tcW w:type="dxa" w:w="1337"/>
          </w:tcPr>
          <w:p>
            <w:pPr>
              <w:spacing w:line="240" w:lineRule="auto" w:before="0" w:after="0"/>
              <w:jc w:val="center"/>
            </w:pPr>
            <w:r>
              <w:rPr>
                <w:rFonts w:ascii="Times New Roman" w:hAnsi="Times New Roman"/>
                <w:color w:val="000000"/>
                <w:sz w:val="18"/>
              </w:rPr>
              <w:t>-21.59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834.9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0.850</w:t>
            </w:r>
          </w:p>
        </w:tc>
        <w:tc>
          <w:tcPr>
            <w:tcW w:type="dxa" w:w="1337"/>
          </w:tcPr>
          <w:p>
            <w:pPr>
              <w:spacing w:line="240" w:lineRule="auto" w:before="0" w:after="0"/>
              <w:jc w:val="center"/>
            </w:pPr>
            <w:r>
              <w:rPr>
                <w:rFonts w:ascii="Times New Roman" w:hAnsi="Times New Roman"/>
                <w:color w:val="000000"/>
                <w:sz w:val="18"/>
              </w:rPr>
              <w:t>-28.24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1166.5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0.929</w:t>
            </w:r>
          </w:p>
        </w:tc>
        <w:tc>
          <w:tcPr>
            <w:tcW w:type="dxa" w:w="1337"/>
          </w:tcPr>
          <w:p>
            <w:pPr>
              <w:spacing w:line="240" w:lineRule="auto" w:before="0" w:after="0"/>
              <w:jc w:val="center"/>
            </w:pPr>
            <w:r>
              <w:rPr>
                <w:rFonts w:ascii="Times New Roman" w:hAnsi="Times New Roman"/>
                <w:color w:val="000000"/>
                <w:sz w:val="18"/>
              </w:rPr>
              <w:t>-12.18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389.3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0.879</w:t>
            </w:r>
          </w:p>
        </w:tc>
        <w:tc>
          <w:tcPr>
            <w:tcW w:type="dxa" w:w="1337"/>
          </w:tcPr>
          <w:p>
            <w:pPr>
              <w:spacing w:line="240" w:lineRule="auto" w:before="0" w:after="0"/>
              <w:jc w:val="center"/>
            </w:pPr>
            <w:r>
              <w:rPr>
                <w:rFonts w:ascii="Times New Roman" w:hAnsi="Times New Roman"/>
                <w:color w:val="000000"/>
                <w:sz w:val="18"/>
              </w:rPr>
              <w:t>-27.00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328.3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0.894</w:t>
            </w:r>
          </w:p>
        </w:tc>
        <w:tc>
          <w:tcPr>
            <w:tcW w:type="dxa" w:w="1337"/>
          </w:tcPr>
          <w:p>
            <w:pPr>
              <w:spacing w:line="240" w:lineRule="auto" w:before="0" w:after="0"/>
              <w:jc w:val="center"/>
            </w:pPr>
            <w:r>
              <w:rPr>
                <w:rFonts w:ascii="Times New Roman" w:hAnsi="Times New Roman"/>
                <w:color w:val="000000"/>
                <w:sz w:val="18"/>
              </w:rPr>
              <w:t>-27.49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371.5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-30.53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528.5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-15.62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66065.8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-29.66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799.3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-31.63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293.6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0.955</w:t>
            </w:r>
          </w:p>
        </w:tc>
        <w:tc>
          <w:tcPr>
            <w:tcW w:type="dxa" w:w="1337"/>
          </w:tcPr>
          <w:p>
            <w:pPr>
              <w:spacing w:line="240" w:lineRule="auto" w:before="0" w:after="0"/>
              <w:jc w:val="center"/>
            </w:pPr>
            <w:r>
              <w:rPr>
                <w:rFonts w:ascii="Times New Roman" w:hAnsi="Times New Roman"/>
                <w:color w:val="000000"/>
                <w:sz w:val="18"/>
              </w:rPr>
              <w:t>-5.73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379.6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0.942</w:t>
            </w:r>
          </w:p>
        </w:tc>
        <w:tc>
          <w:tcPr>
            <w:tcW w:type="dxa" w:w="1337"/>
          </w:tcPr>
          <w:p>
            <w:pPr>
              <w:spacing w:line="240" w:lineRule="auto" w:before="0" w:after="0"/>
              <w:jc w:val="center"/>
            </w:pPr>
            <w:r>
              <w:rPr>
                <w:rFonts w:ascii="Times New Roman" w:hAnsi="Times New Roman"/>
                <w:color w:val="000000"/>
                <w:sz w:val="18"/>
              </w:rPr>
              <w:t>-28.97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32045.0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0.825</w:t>
            </w:r>
          </w:p>
        </w:tc>
        <w:tc>
          <w:tcPr>
            <w:tcW w:type="dxa" w:w="1337"/>
          </w:tcPr>
          <w:p>
            <w:pPr>
              <w:spacing w:line="240" w:lineRule="auto" w:before="0" w:after="0"/>
              <w:jc w:val="center"/>
            </w:pPr>
            <w:r>
              <w:rPr>
                <w:rFonts w:ascii="Times New Roman" w:hAnsi="Times New Roman"/>
                <w:color w:val="000000"/>
                <w:sz w:val="18"/>
              </w:rPr>
              <w:t>-30.03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3504.8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0.917</w:t>
            </w:r>
          </w:p>
        </w:tc>
        <w:tc>
          <w:tcPr>
            <w:tcW w:type="dxa" w:w="1337"/>
          </w:tcPr>
          <w:p>
            <w:pPr>
              <w:spacing w:line="240" w:lineRule="auto" w:before="0" w:after="0"/>
              <w:jc w:val="center"/>
            </w:pPr>
            <w:r>
              <w:rPr>
                <w:rFonts w:ascii="Times New Roman" w:hAnsi="Times New Roman"/>
                <w:color w:val="000000"/>
                <w:sz w:val="18"/>
              </w:rPr>
              <w:t>-21.97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bl>
    <w:p>
      <w:pPr>
        <w:keepNext/>
        <w:spacing w:line="276" w:lineRule="auto" w:before="40" w:after="160"/>
        <w:jc w:val="left"/>
      </w:pPr>
      <w:r>
        <w:rPr>
          <w:rFonts w:ascii="Times New Roman" w:hAnsi="Times New Roman"/>
          <w:i/>
          <w:color w:val="000000"/>
          <w:sz w:val="20"/>
        </w:rPr>
        <w:t>Source: Author's computation (2026). Note: JB = Jarque–Bera test for normality (Jarque &amp; Bera, 1987); SW = Shapiro–Wilk test for normality (Shapiro &amp; Wilk, 1965); ADF = Augmented Dickey–Fuller test for time-series stationarity (Dickey &amp; Fuller, 1979). Rejection of normality across 100% of 28 equities at p &lt; 0.001.</w:t>
      </w:r>
    </w:p>
    <w:p>
      <w:pPr>
        <w:keepNext/>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ind w:firstLine="72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keepNext/>
        <w:jc w:val="center"/>
      </w:pPr>
      <w:r>
        <w:drawing>
          <wp:inline xmlns:a="http://schemas.openxmlformats.org/drawingml/2006/main" xmlns:pic="http://schemas.openxmlformats.org/drawingml/2006/picture">
            <wp:extent cx="5486400" cy="480060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4.1: NGX 28 Equity Log Return Pairwise Correlation Matrix (2010-2025)</w:t>
      </w:r>
    </w:p>
    <w:p>
      <w:pPr>
        <w:keepNext/>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ind w:firstLine="720"/>
        <w:jc w:val="both"/>
      </w:pPr>
      <w:r>
        <w:rPr>
          <w:rFonts w:ascii="Times New Roman" w:hAnsi="Times New Roman"/>
          <w:color w:val="000000"/>
          <w:sz w:val="24"/>
        </w:rPr>
        <w:t>Machine learning models (Random Forest and XGBoost Regressors) were evaluated under a rigorous Expanding-Window Walk-Forward Validation protocol. Although tree-based ensembles are inherently invariant to monotonic feature scaling, Min-Max normalization was applied to maintain numerical stability across technical indicators and ensure pipeline consistency. To guarantee zero temporal data leakage, feature scalers were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keepNext/>
        <w:spacing w:line="276" w:lineRule="auto" w:before="160" w:after="40"/>
        <w:jc w:val="left"/>
      </w:pPr>
      <w:r>
        <w:rPr>
          <w:rFonts w:ascii="Times New Roman" w:hAnsi="Times New Roman"/>
          <w:b/>
          <w:color w:val="000000"/>
          <w:sz w:val="22"/>
        </w:rPr>
        <w:t>Table 4.3: Out-of-Sample Predictive Performance Metrics across All 28 NGX Equities (2021-2025 Walk-Forward)</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Ticker</w:t>
            </w:r>
          </w:p>
        </w:tc>
        <w:tc>
          <w:tcPr>
            <w:tcW w:type="dxa" w:w="1040"/>
          </w:tcPr>
          <w:p>
            <w:pPr>
              <w:spacing w:line="240" w:lineRule="auto" w:before="0" w:after="0"/>
              <w:jc w:val="center"/>
            </w:pPr>
            <w:r>
              <w:rPr>
                <w:rFonts w:ascii="Times New Roman" w:hAnsi="Times New Roman"/>
                <w:b/>
                <w:color w:val="000000"/>
                <w:sz w:val="19"/>
              </w:rPr>
              <w:t>Base RMSE</w:t>
            </w:r>
          </w:p>
        </w:tc>
        <w:tc>
          <w:tcPr>
            <w:tcW w:type="dxa" w:w="1040"/>
          </w:tcPr>
          <w:p>
            <w:pPr>
              <w:spacing w:line="240" w:lineRule="auto" w:before="0" w:after="0"/>
              <w:jc w:val="center"/>
            </w:pPr>
            <w:r>
              <w:rPr>
                <w:rFonts w:ascii="Times New Roman" w:hAnsi="Times New Roman"/>
                <w:b/>
                <w:color w:val="000000"/>
                <w:sz w:val="19"/>
              </w:rPr>
              <w:t>RF RMSE</w:t>
            </w:r>
          </w:p>
        </w:tc>
        <w:tc>
          <w:tcPr>
            <w:tcW w:type="dxa" w:w="1040"/>
          </w:tcPr>
          <w:p>
            <w:pPr>
              <w:spacing w:line="240" w:lineRule="auto" w:before="0" w:after="0"/>
              <w:jc w:val="center"/>
            </w:pPr>
            <w:r>
              <w:rPr>
                <w:rFonts w:ascii="Times New Roman" w:hAnsi="Times New Roman"/>
                <w:b/>
                <w:color w:val="000000"/>
                <w:sz w:val="19"/>
              </w:rPr>
              <w:t>XGB RMSE</w:t>
            </w:r>
          </w:p>
        </w:tc>
        <w:tc>
          <w:tcPr>
            <w:tcW w:type="dxa" w:w="1040"/>
          </w:tcPr>
          <w:p>
            <w:pPr>
              <w:spacing w:line="240" w:lineRule="auto" w:before="0" w:after="0"/>
              <w:jc w:val="center"/>
            </w:pPr>
            <w:r>
              <w:rPr>
                <w:rFonts w:ascii="Times New Roman" w:hAnsi="Times New Roman"/>
                <w:b/>
                <w:color w:val="000000"/>
                <w:sz w:val="19"/>
              </w:rPr>
              <w:t>Base DA (%)</w:t>
            </w:r>
          </w:p>
        </w:tc>
        <w:tc>
          <w:tcPr>
            <w:tcW w:type="dxa" w:w="1040"/>
          </w:tcPr>
          <w:p>
            <w:pPr>
              <w:spacing w:line="240" w:lineRule="auto" w:before="0" w:after="0"/>
              <w:jc w:val="center"/>
            </w:pPr>
            <w:r>
              <w:rPr>
                <w:rFonts w:ascii="Times New Roman" w:hAnsi="Times New Roman"/>
                <w:b/>
                <w:color w:val="000000"/>
                <w:sz w:val="19"/>
              </w:rPr>
              <w:t>RF DA (%)</w:t>
            </w:r>
          </w:p>
        </w:tc>
        <w:tc>
          <w:tcPr>
            <w:tcW w:type="dxa" w:w="1040"/>
          </w:tcPr>
          <w:p>
            <w:pPr>
              <w:spacing w:line="240" w:lineRule="auto" w:before="0" w:after="0"/>
              <w:jc w:val="center"/>
            </w:pPr>
            <w:r>
              <w:rPr>
                <w:rFonts w:ascii="Times New Roman" w:hAnsi="Times New Roman"/>
                <w:b/>
                <w:color w:val="000000"/>
                <w:sz w:val="19"/>
              </w:rPr>
              <w:t>XGB DA (%)</w:t>
            </w:r>
          </w:p>
        </w:tc>
        <w:tc>
          <w:tcPr>
            <w:tcW w:type="dxa" w:w="1040"/>
          </w:tcPr>
          <w:p>
            <w:pPr>
              <w:spacing w:line="240" w:lineRule="auto" w:before="0" w:after="0"/>
              <w:jc w:val="center"/>
            </w:pPr>
            <w:r>
              <w:rPr>
                <w:rFonts w:ascii="Times New Roman" w:hAnsi="Times New Roman"/>
                <w:b/>
                <w:color w:val="000000"/>
                <w:sz w:val="19"/>
              </w:rPr>
              <w:t>Diebold-Mariano Stat</w:t>
            </w:r>
          </w:p>
        </w:tc>
        <w:tc>
          <w:tcPr>
            <w:tcW w:type="dxa" w:w="1040"/>
          </w:tcPr>
          <w:p>
            <w:pPr>
              <w:spacing w:line="240" w:lineRule="auto" w:before="0" w:after="0"/>
              <w:jc w:val="center"/>
            </w:pPr>
            <w:r>
              <w:rPr>
                <w:rFonts w:ascii="Times New Roman" w:hAnsi="Times New Roman"/>
                <w:b/>
                <w:color w:val="000000"/>
                <w:sz w:val="19"/>
              </w:rPr>
              <w:t>Diebold-Mariano p-val</w:t>
            </w:r>
          </w:p>
        </w:tc>
      </w:tr>
      <w:tr>
        <w:trPr>
          <w:cantSplit/>
        </w:trPr>
        <w:tc>
          <w:tcPr>
            <w:tcW w:type="dxa" w:w="1040"/>
          </w:tcPr>
          <w:p>
            <w:pPr>
              <w:spacing w:line="240" w:lineRule="auto" w:before="0" w:after="0"/>
              <w:jc w:val="center"/>
            </w:pPr>
            <w:r>
              <w:rPr>
                <w:rFonts w:ascii="Times New Roman" w:hAnsi="Times New Roman"/>
                <w:color w:val="000000"/>
                <w:sz w:val="18"/>
              </w:rPr>
              <w:t>CONOIL</w:t>
            </w:r>
          </w:p>
        </w:tc>
        <w:tc>
          <w:tcPr>
            <w:tcW w:type="dxa" w:w="1040"/>
          </w:tcPr>
          <w:p>
            <w:pPr>
              <w:spacing w:line="240" w:lineRule="auto" w:before="0" w:after="0"/>
              <w:jc w:val="center"/>
            </w:pPr>
            <w:r>
              <w:rPr>
                <w:rFonts w:ascii="Times New Roman" w:hAnsi="Times New Roman"/>
                <w:color w:val="000000"/>
                <w:sz w:val="18"/>
              </w:rPr>
              <w:t>0.0650</w:t>
            </w:r>
          </w:p>
        </w:tc>
        <w:tc>
          <w:tcPr>
            <w:tcW w:type="dxa" w:w="1040"/>
          </w:tcPr>
          <w:p>
            <w:pPr>
              <w:spacing w:line="240" w:lineRule="auto" w:before="0" w:after="0"/>
              <w:jc w:val="center"/>
            </w:pPr>
            <w:r>
              <w:rPr>
                <w:rFonts w:ascii="Times New Roman" w:hAnsi="Times New Roman"/>
                <w:color w:val="000000"/>
                <w:sz w:val="18"/>
              </w:rPr>
              <w:t>0.0680</w:t>
            </w:r>
          </w:p>
        </w:tc>
        <w:tc>
          <w:tcPr>
            <w:tcW w:type="dxa" w:w="1040"/>
          </w:tcPr>
          <w:p>
            <w:pPr>
              <w:spacing w:line="240" w:lineRule="auto" w:before="0" w:after="0"/>
              <w:jc w:val="center"/>
            </w:pPr>
            <w:r>
              <w:rPr>
                <w:rFonts w:ascii="Times New Roman" w:hAnsi="Times New Roman"/>
                <w:color w:val="000000"/>
                <w:sz w:val="18"/>
              </w:rPr>
              <w:t>0.0674</w:t>
            </w:r>
          </w:p>
        </w:tc>
        <w:tc>
          <w:tcPr>
            <w:tcW w:type="dxa" w:w="1040"/>
          </w:tcPr>
          <w:p>
            <w:pPr>
              <w:spacing w:line="240" w:lineRule="auto" w:before="0" w:after="0"/>
              <w:jc w:val="center"/>
            </w:pPr>
            <w:r>
              <w:rPr>
                <w:rFonts w:ascii="Times New Roman" w:hAnsi="Times New Roman"/>
                <w:color w:val="000000"/>
                <w:sz w:val="18"/>
              </w:rPr>
              <w:t>13.8%</w:t>
            </w:r>
          </w:p>
        </w:tc>
        <w:tc>
          <w:tcPr>
            <w:tcW w:type="dxa" w:w="1040"/>
          </w:tcPr>
          <w:p>
            <w:pPr>
              <w:spacing w:line="240" w:lineRule="auto" w:before="0" w:after="0"/>
              <w:jc w:val="center"/>
            </w:pPr>
            <w:r>
              <w:rPr>
                <w:rFonts w:ascii="Times New Roman" w:hAnsi="Times New Roman"/>
                <w:color w:val="000000"/>
                <w:sz w:val="18"/>
              </w:rPr>
              <w:t>13.5%</w:t>
            </w:r>
          </w:p>
        </w:tc>
        <w:tc>
          <w:tcPr>
            <w:tcW w:type="dxa" w:w="1040"/>
          </w:tcPr>
          <w:p>
            <w:pPr>
              <w:spacing w:line="240" w:lineRule="auto" w:before="0" w:after="0"/>
              <w:jc w:val="center"/>
            </w:pPr>
            <w:r>
              <w:rPr>
                <w:rFonts w:ascii="Times New Roman" w:hAnsi="Times New Roman"/>
                <w:color w:val="000000"/>
                <w:sz w:val="18"/>
              </w:rPr>
              <w:t>11.5%</w:t>
            </w:r>
          </w:p>
        </w:tc>
        <w:tc>
          <w:tcPr>
            <w:tcW w:type="dxa" w:w="1040"/>
          </w:tcPr>
          <w:p>
            <w:pPr>
              <w:spacing w:line="240" w:lineRule="auto" w:before="0" w:after="0"/>
              <w:jc w:val="center"/>
            </w:pPr>
            <w:r>
              <w:rPr>
                <w:rFonts w:ascii="Times New Roman" w:hAnsi="Times New Roman"/>
                <w:color w:val="000000"/>
                <w:sz w:val="18"/>
              </w:rPr>
              <w:t>-1.90</w:t>
            </w:r>
          </w:p>
        </w:tc>
        <w:tc>
          <w:tcPr>
            <w:tcW w:type="dxa" w:w="1040"/>
          </w:tcPr>
          <w:p>
            <w:pPr>
              <w:spacing w:line="240" w:lineRule="auto" w:before="0" w:after="0"/>
              <w:jc w:val="center"/>
            </w:pPr>
            <w:r>
              <w:rPr>
                <w:rFonts w:ascii="Times New Roman" w:hAnsi="Times New Roman"/>
                <w:color w:val="000000"/>
                <w:sz w:val="18"/>
              </w:rPr>
              <w:t>0.057</w:t>
            </w:r>
          </w:p>
        </w:tc>
      </w:tr>
      <w:tr>
        <w:trPr>
          <w:cantSplit/>
        </w:trPr>
        <w:tc>
          <w:tcPr>
            <w:tcW w:type="dxa" w:w="1040"/>
          </w:tcPr>
          <w:p>
            <w:pPr>
              <w:spacing w:line="240" w:lineRule="auto" w:before="0" w:after="0"/>
              <w:jc w:val="center"/>
            </w:pPr>
            <w:r>
              <w:rPr>
                <w:rFonts w:ascii="Times New Roman" w:hAnsi="Times New Roman"/>
                <w:color w:val="000000"/>
                <w:sz w:val="18"/>
              </w:rPr>
              <w:t>CUSTODIAN</w:t>
            </w:r>
          </w:p>
        </w:tc>
        <w:tc>
          <w:tcPr>
            <w:tcW w:type="dxa" w:w="1040"/>
          </w:tcPr>
          <w:p>
            <w:pPr>
              <w:spacing w:line="240" w:lineRule="auto" w:before="0" w:after="0"/>
              <w:jc w:val="center"/>
            </w:pPr>
            <w:r>
              <w:rPr>
                <w:rFonts w:ascii="Times New Roman" w:hAnsi="Times New Roman"/>
                <w:color w:val="000000"/>
                <w:sz w:val="18"/>
              </w:rPr>
              <w:t>0.0548</w:t>
            </w:r>
          </w:p>
        </w:tc>
        <w:tc>
          <w:tcPr>
            <w:tcW w:type="dxa" w:w="1040"/>
          </w:tcPr>
          <w:p>
            <w:pPr>
              <w:spacing w:line="240" w:lineRule="auto" w:before="0" w:after="0"/>
              <w:jc w:val="center"/>
            </w:pPr>
            <w:r>
              <w:rPr>
                <w:rFonts w:ascii="Times New Roman" w:hAnsi="Times New Roman"/>
                <w:color w:val="000000"/>
                <w:sz w:val="18"/>
              </w:rPr>
              <w:t>0.0571</w:t>
            </w:r>
          </w:p>
        </w:tc>
        <w:tc>
          <w:tcPr>
            <w:tcW w:type="dxa" w:w="1040"/>
          </w:tcPr>
          <w:p>
            <w:pPr>
              <w:spacing w:line="240" w:lineRule="auto" w:before="0" w:after="0"/>
              <w:jc w:val="center"/>
            </w:pPr>
            <w:r>
              <w:rPr>
                <w:rFonts w:ascii="Times New Roman" w:hAnsi="Times New Roman"/>
                <w:color w:val="000000"/>
                <w:sz w:val="18"/>
              </w:rPr>
              <w:t>0.0552</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-0.73</w:t>
            </w:r>
          </w:p>
        </w:tc>
        <w:tc>
          <w:tcPr>
            <w:tcW w:type="dxa" w:w="1040"/>
          </w:tcPr>
          <w:p>
            <w:pPr>
              <w:spacing w:line="240" w:lineRule="auto" w:before="0" w:after="0"/>
              <w:jc w:val="center"/>
            </w:pPr>
            <w:r>
              <w:rPr>
                <w:rFonts w:ascii="Times New Roman" w:hAnsi="Times New Roman"/>
                <w:color w:val="000000"/>
                <w:sz w:val="18"/>
              </w:rPr>
              <w:t>0.466</w:t>
            </w:r>
          </w:p>
        </w:tc>
      </w:tr>
      <w:tr>
        <w:trPr>
          <w:cantSplit/>
        </w:trPr>
        <w:tc>
          <w:tcPr>
            <w:tcW w:type="dxa" w:w="1040"/>
          </w:tcPr>
          <w:p>
            <w:pPr>
              <w:spacing w:line="240" w:lineRule="auto" w:before="0" w:after="0"/>
              <w:jc w:val="center"/>
            </w:pPr>
            <w:r>
              <w:rPr>
                <w:rFonts w:ascii="Times New Roman" w:hAnsi="Times New Roman"/>
                <w:color w:val="000000"/>
                <w:sz w:val="18"/>
              </w:rPr>
              <w:t>DANGCEM</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0.0515</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23.6%</w:t>
            </w:r>
          </w:p>
        </w:tc>
        <w:tc>
          <w:tcPr>
            <w:tcW w:type="dxa" w:w="1040"/>
          </w:tcPr>
          <w:p>
            <w:pPr>
              <w:spacing w:line="240" w:lineRule="auto" w:before="0" w:after="0"/>
              <w:jc w:val="center"/>
            </w:pPr>
            <w:r>
              <w:rPr>
                <w:rFonts w:ascii="Times New Roman" w:hAnsi="Times New Roman"/>
                <w:color w:val="000000"/>
                <w:sz w:val="18"/>
              </w:rPr>
              <w:t>21.3%</w:t>
            </w:r>
          </w:p>
        </w:tc>
        <w:tc>
          <w:tcPr>
            <w:tcW w:type="dxa" w:w="1040"/>
          </w:tcPr>
          <w:p>
            <w:pPr>
              <w:spacing w:line="240" w:lineRule="auto" w:before="0" w:after="0"/>
              <w:jc w:val="center"/>
            </w:pPr>
            <w:r>
              <w:rPr>
                <w:rFonts w:ascii="Times New Roman" w:hAnsi="Times New Roman"/>
                <w:color w:val="000000"/>
                <w:sz w:val="18"/>
              </w:rPr>
              <w:t>21.7%</w:t>
            </w:r>
          </w:p>
        </w:tc>
        <w:tc>
          <w:tcPr>
            <w:tcW w:type="dxa" w:w="1040"/>
          </w:tcPr>
          <w:p>
            <w:pPr>
              <w:spacing w:line="240" w:lineRule="auto" w:before="0" w:after="0"/>
              <w:jc w:val="center"/>
            </w:pPr>
            <w:r>
              <w:rPr>
                <w:rFonts w:ascii="Times New Roman" w:hAnsi="Times New Roman"/>
                <w:color w:val="000000"/>
                <w:sz w:val="18"/>
              </w:rPr>
              <w:t>-1.40</w:t>
            </w:r>
          </w:p>
        </w:tc>
        <w:tc>
          <w:tcPr>
            <w:tcW w:type="dxa" w:w="1040"/>
          </w:tcPr>
          <w:p>
            <w:pPr>
              <w:spacing w:line="240" w:lineRule="auto" w:before="0" w:after="0"/>
              <w:jc w:val="center"/>
            </w:pPr>
            <w:r>
              <w:rPr>
                <w:rFonts w:ascii="Times New Roman" w:hAnsi="Times New Roman"/>
                <w:color w:val="000000"/>
                <w:sz w:val="18"/>
              </w:rPr>
              <w:t>0.160</w:t>
            </w:r>
          </w:p>
        </w:tc>
      </w:tr>
      <w:tr>
        <w:trPr>
          <w:cantSplit/>
        </w:trPr>
        <w:tc>
          <w:tcPr>
            <w:tcW w:type="dxa" w:w="1040"/>
          </w:tcPr>
          <w:p>
            <w:pPr>
              <w:spacing w:line="240" w:lineRule="auto" w:before="0" w:after="0"/>
              <w:jc w:val="center"/>
            </w:pPr>
            <w:r>
              <w:rPr>
                <w:rFonts w:ascii="Times New Roman" w:hAnsi="Times New Roman"/>
                <w:color w:val="000000"/>
                <w:sz w:val="18"/>
              </w:rPr>
              <w:t>DANGSUGAR</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0.0630</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0.09</w:t>
            </w:r>
          </w:p>
        </w:tc>
        <w:tc>
          <w:tcPr>
            <w:tcW w:type="dxa" w:w="1040"/>
          </w:tcPr>
          <w:p>
            <w:pPr>
              <w:spacing w:line="240" w:lineRule="auto" w:before="0" w:after="0"/>
              <w:jc w:val="center"/>
            </w:pPr>
            <w:r>
              <w:rPr>
                <w:rFonts w:ascii="Times New Roman" w:hAnsi="Times New Roman"/>
                <w:color w:val="000000"/>
                <w:sz w:val="18"/>
              </w:rPr>
              <w:t>0.929</w:t>
            </w:r>
          </w:p>
        </w:tc>
      </w:tr>
      <w:tr>
        <w:trPr>
          <w:cantSplit/>
        </w:trPr>
        <w:tc>
          <w:tcPr>
            <w:tcW w:type="dxa" w:w="1040"/>
          </w:tcPr>
          <w:p>
            <w:pPr>
              <w:spacing w:line="240" w:lineRule="auto" w:before="0" w:after="0"/>
              <w:jc w:val="center"/>
            </w:pPr>
            <w:r>
              <w:rPr>
                <w:rFonts w:ascii="Times New Roman" w:hAnsi="Times New Roman"/>
                <w:color w:val="000000"/>
                <w:sz w:val="18"/>
              </w:rPr>
              <w:t>ETI</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0.0663</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31.9%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-0.02</w:t>
            </w:r>
          </w:p>
        </w:tc>
        <w:tc>
          <w:tcPr>
            <w:tcW w:type="dxa" w:w="1040"/>
          </w:tcPr>
          <w:p>
            <w:pPr>
              <w:spacing w:line="240" w:lineRule="auto" w:before="0" w:after="0"/>
              <w:jc w:val="center"/>
            </w:pPr>
            <w:r>
              <w:rPr>
                <w:rFonts w:ascii="Times New Roman" w:hAnsi="Times New Roman"/>
                <w:color w:val="000000"/>
                <w:sz w:val="18"/>
              </w:rPr>
              <w:t>0.985</w:t>
            </w:r>
          </w:p>
        </w:tc>
      </w:tr>
      <w:tr>
        <w:trPr>
          <w:cantSplit/>
        </w:trPr>
        <w:tc>
          <w:tcPr>
            <w:tcW w:type="dxa" w:w="1040"/>
          </w:tcPr>
          <w:p>
            <w:pPr>
              <w:spacing w:line="240" w:lineRule="auto" w:before="0" w:after="0"/>
              <w:jc w:val="center"/>
            </w:pPr>
            <w:r>
              <w:rPr>
                <w:rFonts w:ascii="Times New Roman" w:hAnsi="Times New Roman"/>
                <w:color w:val="000000"/>
                <w:sz w:val="18"/>
              </w:rPr>
              <w:t>FCMB</w:t>
            </w:r>
          </w:p>
        </w:tc>
        <w:tc>
          <w:tcPr>
            <w:tcW w:type="dxa" w:w="1040"/>
          </w:tcPr>
          <w:p>
            <w:pPr>
              <w:spacing w:line="240" w:lineRule="auto" w:before="0" w:after="0"/>
              <w:jc w:val="center"/>
            </w:pPr>
            <w:r>
              <w:rPr>
                <w:rFonts w:ascii="Times New Roman" w:hAnsi="Times New Roman"/>
                <w:color w:val="000000"/>
                <w:sz w:val="18"/>
              </w:rPr>
              <w:t>0.0560</w:t>
            </w:r>
          </w:p>
        </w:tc>
        <w:tc>
          <w:tcPr>
            <w:tcW w:type="dxa" w:w="1040"/>
          </w:tcPr>
          <w:p>
            <w:pPr>
              <w:spacing w:line="240" w:lineRule="auto" w:before="0" w:after="0"/>
              <w:jc w:val="center"/>
            </w:pPr>
            <w:r>
              <w:rPr>
                <w:rFonts w:ascii="Times New Roman" w:hAnsi="Times New Roman"/>
                <w:color w:val="000000"/>
                <w:sz w:val="18"/>
              </w:rPr>
              <w:t>0.0647</w:t>
            </w:r>
          </w:p>
        </w:tc>
        <w:tc>
          <w:tcPr>
            <w:tcW w:type="dxa" w:w="1040"/>
          </w:tcPr>
          <w:p>
            <w:pPr>
              <w:spacing w:line="240" w:lineRule="auto" w:before="0" w:after="0"/>
              <w:jc w:val="center"/>
            </w:pPr>
            <w:r>
              <w:rPr>
                <w:rFonts w:ascii="Times New Roman" w:hAnsi="Times New Roman"/>
                <w:color w:val="000000"/>
                <w:sz w:val="18"/>
              </w:rPr>
              <w:t>0.0567</w:t>
            </w:r>
          </w:p>
        </w:tc>
        <w:tc>
          <w:tcPr>
            <w:tcW w:type="dxa" w:w="1040"/>
          </w:tcPr>
          <w:p>
            <w:pPr>
              <w:spacing w:line="240" w:lineRule="auto" w:before="0" w:after="0"/>
              <w:jc w:val="center"/>
            </w:pPr>
            <w:r>
              <w:rPr>
                <w:rFonts w:ascii="Times New Roman" w:hAnsi="Times New Roman"/>
                <w:color w:val="000000"/>
                <w:sz w:val="18"/>
              </w:rPr>
              <w:t>40.4%</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-1.44</w:t>
            </w:r>
          </w:p>
        </w:tc>
        <w:tc>
          <w:tcPr>
            <w:tcW w:type="dxa" w:w="1040"/>
          </w:tcPr>
          <w:p>
            <w:pPr>
              <w:spacing w:line="240" w:lineRule="auto" w:before="0" w:after="0"/>
              <w:jc w:val="center"/>
            </w:pPr>
            <w:r>
              <w:rPr>
                <w:rFonts w:ascii="Times New Roman" w:hAnsi="Times New Roman"/>
                <w:color w:val="000000"/>
                <w:sz w:val="18"/>
              </w:rPr>
              <w:t>0.151</w:t>
            </w:r>
          </w:p>
        </w:tc>
      </w:tr>
      <w:tr>
        <w:trPr>
          <w:cantSplit/>
        </w:trPr>
        <w:tc>
          <w:tcPr>
            <w:tcW w:type="dxa" w:w="1040"/>
          </w:tcPr>
          <w:p>
            <w:pPr>
              <w:spacing w:line="240" w:lineRule="auto" w:before="0" w:after="0"/>
              <w:jc w:val="center"/>
            </w:pPr>
            <w:r>
              <w:rPr>
                <w:rFonts w:ascii="Times New Roman" w:hAnsi="Times New Roman"/>
                <w:color w:val="000000"/>
                <w:sz w:val="18"/>
              </w:rPr>
              <w:t>FIDELITYBK</w:t>
            </w:r>
          </w:p>
        </w:tc>
        <w:tc>
          <w:tcPr>
            <w:tcW w:type="dxa" w:w="1040"/>
          </w:tcPr>
          <w:p>
            <w:pPr>
              <w:spacing w:line="240" w:lineRule="auto" w:before="0" w:after="0"/>
              <w:jc w:val="center"/>
            </w:pPr>
            <w:r>
              <w:rPr>
                <w:rFonts w:ascii="Times New Roman" w:hAnsi="Times New Roman"/>
                <w:color w:val="000000"/>
                <w:sz w:val="18"/>
              </w:rPr>
              <w:t>0.0596</w:t>
            </w:r>
          </w:p>
        </w:tc>
        <w:tc>
          <w:tcPr>
            <w:tcW w:type="dxa" w:w="1040"/>
          </w:tcPr>
          <w:p>
            <w:pPr>
              <w:spacing w:line="240" w:lineRule="auto" w:before="0" w:after="0"/>
              <w:jc w:val="center"/>
            </w:pPr>
            <w:r>
              <w:rPr>
                <w:rFonts w:ascii="Times New Roman" w:hAnsi="Times New Roman"/>
                <w:color w:val="000000"/>
                <w:sz w:val="18"/>
              </w:rPr>
              <w:t>0.0682</w:t>
            </w:r>
          </w:p>
        </w:tc>
        <w:tc>
          <w:tcPr>
            <w:tcW w:type="dxa" w:w="1040"/>
          </w:tcPr>
          <w:p>
            <w:pPr>
              <w:spacing w:line="240" w:lineRule="auto" w:before="0" w:after="0"/>
              <w:jc w:val="center"/>
            </w:pPr>
            <w:r>
              <w:rPr>
                <w:rFonts w:ascii="Times New Roman" w:hAnsi="Times New Roman"/>
                <w:color w:val="000000"/>
                <w:sz w:val="18"/>
              </w:rPr>
              <w:t>0.0613</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46.5%</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-1.79</w:t>
            </w:r>
          </w:p>
        </w:tc>
        <w:tc>
          <w:tcPr>
            <w:tcW w:type="dxa" w:w="1040"/>
          </w:tcPr>
          <w:p>
            <w:pPr>
              <w:spacing w:line="240" w:lineRule="auto" w:before="0" w:after="0"/>
              <w:jc w:val="center"/>
            </w:pPr>
            <w:r>
              <w:rPr>
                <w:rFonts w:ascii="Times New Roman" w:hAnsi="Times New Roman"/>
                <w:color w:val="000000"/>
                <w:sz w:val="18"/>
              </w:rPr>
              <w:t>0.074</w:t>
            </w:r>
          </w:p>
        </w:tc>
      </w:tr>
      <w:tr>
        <w:trPr>
          <w:cantSplit/>
        </w:trPr>
        <w:tc>
          <w:tcPr>
            <w:tcW w:type="dxa" w:w="1040"/>
          </w:tcPr>
          <w:p>
            <w:pPr>
              <w:spacing w:line="240" w:lineRule="auto" w:before="0" w:after="0"/>
              <w:jc w:val="center"/>
            </w:pPr>
            <w:r>
              <w:rPr>
                <w:rFonts w:ascii="Times New Roman" w:hAnsi="Times New Roman"/>
                <w:color w:val="000000"/>
                <w:sz w:val="18"/>
              </w:rPr>
              <w:t>FIDSON</w:t>
            </w:r>
          </w:p>
        </w:tc>
        <w:tc>
          <w:tcPr>
            <w:tcW w:type="dxa" w:w="1040"/>
          </w:tcPr>
          <w:p>
            <w:pPr>
              <w:spacing w:line="240" w:lineRule="auto" w:before="0" w:after="0"/>
              <w:jc w:val="center"/>
            </w:pPr>
            <w:r>
              <w:rPr>
                <w:rFonts w:ascii="Times New Roman" w:hAnsi="Times New Roman"/>
                <w:color w:val="000000"/>
                <w:sz w:val="18"/>
              </w:rPr>
              <w:t>0.0590</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0.0617</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-2.92</w:t>
            </w:r>
          </w:p>
        </w:tc>
        <w:tc>
          <w:tcPr>
            <w:tcW w:type="dxa" w:w="1040"/>
          </w:tcPr>
          <w:p>
            <w:pPr>
              <w:spacing w:line="240" w:lineRule="auto" w:before="0" w:after="0"/>
              <w:jc w:val="center"/>
            </w:pPr>
            <w:r>
              <w:rPr>
                <w:rFonts w:ascii="Times New Roman" w:hAnsi="Times New Roman"/>
                <w:color w:val="000000"/>
                <w:sz w:val="18"/>
              </w:rPr>
              <w:t>0.004</w:t>
            </w:r>
          </w:p>
        </w:tc>
      </w:tr>
      <w:tr>
        <w:trPr>
          <w:cantSplit/>
        </w:trPr>
        <w:tc>
          <w:tcPr>
            <w:tcW w:type="dxa" w:w="1040"/>
          </w:tcPr>
          <w:p>
            <w:pPr>
              <w:spacing w:line="240" w:lineRule="auto" w:before="0" w:after="0"/>
              <w:jc w:val="center"/>
            </w:pPr>
            <w:r>
              <w:rPr>
                <w:rFonts w:ascii="Times New Roman" w:hAnsi="Times New Roman"/>
                <w:color w:val="000000"/>
                <w:sz w:val="18"/>
              </w:rPr>
              <w:t>FBNH</w:t>
            </w:r>
          </w:p>
        </w:tc>
        <w:tc>
          <w:tcPr>
            <w:tcW w:type="dxa" w:w="1040"/>
          </w:tcPr>
          <w:p>
            <w:pPr>
              <w:spacing w:line="240" w:lineRule="auto" w:before="0" w:after="0"/>
              <w:jc w:val="center"/>
            </w:pPr>
            <w:r>
              <w:rPr>
                <w:rFonts w:ascii="Times New Roman" w:hAnsi="Times New Roman"/>
                <w:color w:val="000000"/>
                <w:sz w:val="18"/>
              </w:rPr>
              <w:t>0.0700</w:t>
            </w:r>
          </w:p>
        </w:tc>
        <w:tc>
          <w:tcPr>
            <w:tcW w:type="dxa" w:w="1040"/>
          </w:tcPr>
          <w:p>
            <w:pPr>
              <w:spacing w:line="240" w:lineRule="auto" w:before="0" w:after="0"/>
              <w:jc w:val="center"/>
            </w:pPr>
            <w:r>
              <w:rPr>
                <w:rFonts w:ascii="Times New Roman" w:hAnsi="Times New Roman"/>
                <w:color w:val="000000"/>
                <w:sz w:val="18"/>
              </w:rPr>
              <w:t>0.0713</w:t>
            </w:r>
          </w:p>
        </w:tc>
        <w:tc>
          <w:tcPr>
            <w:tcW w:type="dxa" w:w="1040"/>
          </w:tcPr>
          <w:p>
            <w:pPr>
              <w:spacing w:line="240" w:lineRule="auto" w:before="0" w:after="0"/>
              <w:jc w:val="center"/>
            </w:pPr>
            <w:r>
              <w:rPr>
                <w:rFonts w:ascii="Times New Roman" w:hAnsi="Times New Roman"/>
                <w:color w:val="000000"/>
                <w:sz w:val="18"/>
              </w:rPr>
              <w:t>0.0708</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-1.04</w:t>
            </w:r>
          </w:p>
        </w:tc>
        <w:tc>
          <w:tcPr>
            <w:tcW w:type="dxa" w:w="1040"/>
          </w:tcPr>
          <w:p>
            <w:pPr>
              <w:spacing w:line="240" w:lineRule="auto" w:before="0" w:after="0"/>
              <w:jc w:val="center"/>
            </w:pPr>
            <w:r>
              <w:rPr>
                <w:rFonts w:ascii="Times New Roman" w:hAnsi="Times New Roman"/>
                <w:color w:val="000000"/>
                <w:sz w:val="18"/>
              </w:rPr>
              <w:t>0.299</w:t>
            </w:r>
          </w:p>
        </w:tc>
      </w:tr>
      <w:tr>
        <w:trPr>
          <w:cantSplit/>
        </w:trPr>
        <w:tc>
          <w:tcPr>
            <w:tcW w:type="dxa" w:w="1040"/>
          </w:tcPr>
          <w:p>
            <w:pPr>
              <w:spacing w:line="240" w:lineRule="auto" w:before="0" w:after="0"/>
              <w:jc w:val="center"/>
            </w:pPr>
            <w:r>
              <w:rPr>
                <w:rFonts w:ascii="Times New Roman" w:hAnsi="Times New Roman"/>
                <w:color w:val="000000"/>
                <w:sz w:val="18"/>
              </w:rPr>
              <w:t>GTCO</w:t>
            </w:r>
          </w:p>
        </w:tc>
        <w:tc>
          <w:tcPr>
            <w:tcW w:type="dxa" w:w="1040"/>
          </w:tcPr>
          <w:p>
            <w:pPr>
              <w:spacing w:line="240" w:lineRule="auto" w:before="0" w:after="0"/>
              <w:jc w:val="center"/>
            </w:pPr>
            <w:r>
              <w:rPr>
                <w:rFonts w:ascii="Times New Roman" w:hAnsi="Times New Roman"/>
                <w:color w:val="000000"/>
                <w:sz w:val="18"/>
              </w:rPr>
              <w:t>0.0474</w:t>
            </w:r>
          </w:p>
        </w:tc>
        <w:tc>
          <w:tcPr>
            <w:tcW w:type="dxa" w:w="1040"/>
          </w:tcPr>
          <w:p>
            <w:pPr>
              <w:spacing w:line="240" w:lineRule="auto" w:before="0" w:after="0"/>
              <w:jc w:val="center"/>
            </w:pPr>
            <w:r>
              <w:rPr>
                <w:rFonts w:ascii="Times New Roman" w:hAnsi="Times New Roman"/>
                <w:color w:val="000000"/>
                <w:sz w:val="18"/>
              </w:rPr>
              <w:t>0.0485</w:t>
            </w:r>
          </w:p>
        </w:tc>
        <w:tc>
          <w:tcPr>
            <w:tcW w:type="dxa" w:w="1040"/>
          </w:tcPr>
          <w:p>
            <w:pPr>
              <w:spacing w:line="240" w:lineRule="auto" w:before="0" w:after="0"/>
              <w:jc w:val="center"/>
            </w:pPr>
            <w:r>
              <w:rPr>
                <w:rFonts w:ascii="Times New Roman" w:hAnsi="Times New Roman"/>
                <w:color w:val="000000"/>
                <w:sz w:val="18"/>
              </w:rPr>
              <w:t>0.0487</w:t>
            </w:r>
          </w:p>
        </w:tc>
        <w:tc>
          <w:tcPr>
            <w:tcW w:type="dxa" w:w="1040"/>
          </w:tcPr>
          <w:p>
            <w:pPr>
              <w:spacing w:line="240" w:lineRule="auto" w:before="0" w:after="0"/>
              <w:jc w:val="center"/>
            </w:pPr>
            <w:r>
              <w:rPr>
                <w:rFonts w:ascii="Times New Roman" w:hAnsi="Times New Roman"/>
                <w:color w:val="000000"/>
                <w:sz w:val="18"/>
              </w:rPr>
              <w:t>48.5%</w:t>
            </w:r>
          </w:p>
        </w:tc>
        <w:tc>
          <w:tcPr>
            <w:tcW w:type="dxa" w:w="1040"/>
          </w:tcPr>
          <w:p>
            <w:pPr>
              <w:spacing w:line="240" w:lineRule="auto" w:before="0" w:after="0"/>
              <w:jc w:val="center"/>
            </w:pPr>
            <w:r>
              <w:rPr>
                <w:rFonts w:ascii="Times New Roman" w:hAnsi="Times New Roman"/>
                <w:color w:val="000000"/>
                <w:sz w:val="18"/>
              </w:rPr>
              <w:t>52.3%</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-1.63</w:t>
            </w:r>
          </w:p>
        </w:tc>
        <w:tc>
          <w:tcPr>
            <w:tcW w:type="dxa" w:w="1040"/>
          </w:tcPr>
          <w:p>
            <w:pPr>
              <w:spacing w:line="240" w:lineRule="auto" w:before="0" w:after="0"/>
              <w:jc w:val="center"/>
            </w:pPr>
            <w:r>
              <w:rPr>
                <w:rFonts w:ascii="Times New Roman" w:hAnsi="Times New Roman"/>
                <w:color w:val="000000"/>
                <w:sz w:val="18"/>
              </w:rPr>
              <w:t>0.102</w:t>
            </w:r>
          </w:p>
        </w:tc>
      </w:tr>
      <w:tr>
        <w:trPr>
          <w:cantSplit/>
        </w:trPr>
        <w:tc>
          <w:tcPr>
            <w:tcW w:type="dxa" w:w="1040"/>
          </w:tcPr>
          <w:p>
            <w:pPr>
              <w:spacing w:line="240" w:lineRule="auto" w:before="0" w:after="0"/>
              <w:jc w:val="center"/>
            </w:pPr>
            <w:r>
              <w:rPr>
                <w:rFonts w:ascii="Times New Roman" w:hAnsi="Times New Roman"/>
                <w:color w:val="000000"/>
                <w:sz w:val="18"/>
              </w:rPr>
              <w:t>GUINNESS</w:t>
            </w:r>
          </w:p>
        </w:tc>
        <w:tc>
          <w:tcPr>
            <w:tcW w:type="dxa" w:w="1040"/>
          </w:tcPr>
          <w:p>
            <w:pPr>
              <w:spacing w:line="240" w:lineRule="auto" w:before="0" w:after="0"/>
              <w:jc w:val="center"/>
            </w:pPr>
            <w:r>
              <w:rPr>
                <w:rFonts w:ascii="Times New Roman" w:hAnsi="Times New Roman"/>
                <w:color w:val="000000"/>
                <w:sz w:val="18"/>
              </w:rPr>
              <w:t>0.0673</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22.3%</w:t>
            </w:r>
          </w:p>
        </w:tc>
        <w:tc>
          <w:tcPr>
            <w:tcW w:type="dxa" w:w="1040"/>
          </w:tcPr>
          <w:p>
            <w:pPr>
              <w:spacing w:line="240" w:lineRule="auto" w:before="0" w:after="0"/>
              <w:jc w:val="center"/>
            </w:pPr>
            <w:r>
              <w:rPr>
                <w:rFonts w:ascii="Times New Roman" w:hAnsi="Times New Roman"/>
                <w:color w:val="000000"/>
                <w:sz w:val="18"/>
              </w:rPr>
              <w:t>32.3%</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-0.49</w:t>
            </w:r>
          </w:p>
        </w:tc>
        <w:tc>
          <w:tcPr>
            <w:tcW w:type="dxa" w:w="1040"/>
          </w:tcPr>
          <w:p>
            <w:pPr>
              <w:spacing w:line="240" w:lineRule="auto" w:before="0" w:after="0"/>
              <w:jc w:val="center"/>
            </w:pPr>
            <w:r>
              <w:rPr>
                <w:rFonts w:ascii="Times New Roman" w:hAnsi="Times New Roman"/>
                <w:color w:val="000000"/>
                <w:sz w:val="18"/>
              </w:rPr>
              <w:t>0.621</w:t>
            </w:r>
          </w:p>
        </w:tc>
      </w:tr>
      <w:tr>
        <w:trPr>
          <w:cantSplit/>
        </w:trPr>
        <w:tc>
          <w:tcPr>
            <w:tcW w:type="dxa" w:w="1040"/>
          </w:tcPr>
          <w:p>
            <w:pPr>
              <w:spacing w:line="240" w:lineRule="auto" w:before="0" w:after="0"/>
              <w:jc w:val="center"/>
            </w:pPr>
            <w:r>
              <w:rPr>
                <w:rFonts w:ascii="Times New Roman" w:hAnsi="Times New Roman"/>
                <w:color w:val="000000"/>
                <w:sz w:val="18"/>
              </w:rPr>
              <w:t>JBERGER</w:t>
            </w:r>
          </w:p>
        </w:tc>
        <w:tc>
          <w:tcPr>
            <w:tcW w:type="dxa" w:w="1040"/>
          </w:tcPr>
          <w:p>
            <w:pPr>
              <w:spacing w:line="240" w:lineRule="auto" w:before="0" w:after="0"/>
              <w:jc w:val="center"/>
            </w:pPr>
            <w:r>
              <w:rPr>
                <w:rFonts w:ascii="Times New Roman" w:hAnsi="Times New Roman"/>
                <w:color w:val="000000"/>
                <w:sz w:val="18"/>
              </w:rPr>
              <w:t>0.0636</w:t>
            </w:r>
          </w:p>
        </w:tc>
        <w:tc>
          <w:tcPr>
            <w:tcW w:type="dxa" w:w="1040"/>
          </w:tcPr>
          <w:p>
            <w:pPr>
              <w:spacing w:line="240" w:lineRule="auto" w:before="0" w:after="0"/>
              <w:jc w:val="center"/>
            </w:pPr>
            <w:r>
              <w:rPr>
                <w:rFonts w:ascii="Times New Roman" w:hAnsi="Times New Roman"/>
                <w:color w:val="000000"/>
                <w:sz w:val="18"/>
              </w:rPr>
              <w:t>0.0670</w:t>
            </w:r>
          </w:p>
        </w:tc>
        <w:tc>
          <w:tcPr>
            <w:tcW w:type="dxa" w:w="1040"/>
          </w:tcPr>
          <w:p>
            <w:pPr>
              <w:spacing w:line="240" w:lineRule="auto" w:before="0" w:after="0"/>
              <w:jc w:val="center"/>
            </w:pPr>
            <w:r>
              <w:rPr>
                <w:rFonts w:ascii="Times New Roman" w:hAnsi="Times New Roman"/>
                <w:color w:val="000000"/>
                <w:sz w:val="18"/>
              </w:rPr>
              <w:t>0.0653</w:t>
            </w:r>
          </w:p>
        </w:tc>
        <w:tc>
          <w:tcPr>
            <w:tcW w:type="dxa" w:w="1040"/>
          </w:tcPr>
          <w:p>
            <w:pPr>
              <w:spacing w:line="240" w:lineRule="auto" w:before="0" w:after="0"/>
              <w:jc w:val="center"/>
            </w:pPr>
            <w:r>
              <w:rPr>
                <w:rFonts w:ascii="Times New Roman" w:hAnsi="Times New Roman"/>
                <w:color w:val="000000"/>
                <w:sz w:val="18"/>
              </w:rPr>
              <w:t>25.4%</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25.0%</w:t>
            </w:r>
          </w:p>
        </w:tc>
        <w:tc>
          <w:tcPr>
            <w:tcW w:type="dxa" w:w="1040"/>
          </w:tcPr>
          <w:p>
            <w:pPr>
              <w:spacing w:line="240" w:lineRule="auto" w:before="0" w:after="0"/>
              <w:jc w:val="center"/>
            </w:pPr>
            <w:r>
              <w:rPr>
                <w:rFonts w:ascii="Times New Roman" w:hAnsi="Times New Roman"/>
                <w:color w:val="000000"/>
                <w:sz w:val="18"/>
              </w:rPr>
              <w:t>-2.44</w:t>
            </w:r>
          </w:p>
        </w:tc>
        <w:tc>
          <w:tcPr>
            <w:tcW w:type="dxa" w:w="1040"/>
          </w:tcPr>
          <w:p>
            <w:pPr>
              <w:spacing w:line="240" w:lineRule="auto" w:before="0" w:after="0"/>
              <w:jc w:val="center"/>
            </w:pPr>
            <w:r>
              <w:rPr>
                <w:rFonts w:ascii="Times New Roman" w:hAnsi="Times New Roman"/>
                <w:color w:val="000000"/>
                <w:sz w:val="18"/>
              </w:rPr>
              <w:t>0.015</w:t>
            </w:r>
          </w:p>
        </w:tc>
      </w:tr>
      <w:tr>
        <w:trPr>
          <w:cantSplit/>
        </w:trPr>
        <w:tc>
          <w:tcPr>
            <w:tcW w:type="dxa" w:w="1040"/>
          </w:tcPr>
          <w:p>
            <w:pPr>
              <w:spacing w:line="240" w:lineRule="auto" w:before="0" w:after="0"/>
              <w:jc w:val="center"/>
            </w:pPr>
            <w:r>
              <w:rPr>
                <w:rFonts w:ascii="Times New Roman" w:hAnsi="Times New Roman"/>
                <w:color w:val="000000"/>
                <w:sz w:val="18"/>
              </w:rPr>
              <w:t>WAPCO</w:t>
            </w:r>
          </w:p>
        </w:tc>
        <w:tc>
          <w:tcPr>
            <w:tcW w:type="dxa" w:w="1040"/>
          </w:tcPr>
          <w:p>
            <w:pPr>
              <w:spacing w:line="240" w:lineRule="auto" w:before="0" w:after="0"/>
              <w:jc w:val="center"/>
            </w:pPr>
            <w:r>
              <w:rPr>
                <w:rFonts w:ascii="Times New Roman" w:hAnsi="Times New Roman"/>
                <w:color w:val="000000"/>
                <w:sz w:val="18"/>
              </w:rPr>
              <w:t>0.0520</w:t>
            </w:r>
          </w:p>
        </w:tc>
        <w:tc>
          <w:tcPr>
            <w:tcW w:type="dxa" w:w="1040"/>
          </w:tcPr>
          <w:p>
            <w:pPr>
              <w:spacing w:line="240" w:lineRule="auto" w:before="0" w:after="0"/>
              <w:jc w:val="center"/>
            </w:pPr>
            <w:r>
              <w:rPr>
                <w:rFonts w:ascii="Times New Roman" w:hAnsi="Times New Roman"/>
                <w:color w:val="000000"/>
                <w:sz w:val="18"/>
              </w:rPr>
              <w:t>0.0526</w:t>
            </w:r>
          </w:p>
        </w:tc>
        <w:tc>
          <w:tcPr>
            <w:tcW w:type="dxa" w:w="1040"/>
          </w:tcPr>
          <w:p>
            <w:pPr>
              <w:spacing w:line="240" w:lineRule="auto" w:before="0" w:after="0"/>
              <w:jc w:val="center"/>
            </w:pPr>
            <w:r>
              <w:rPr>
                <w:rFonts w:ascii="Times New Roman" w:hAnsi="Times New Roman"/>
                <w:color w:val="000000"/>
                <w:sz w:val="18"/>
              </w:rPr>
              <w:t>0.0518</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48.8%</w:t>
            </w:r>
          </w:p>
        </w:tc>
        <w:tc>
          <w:tcPr>
            <w:tcW w:type="dxa" w:w="1040"/>
          </w:tcPr>
          <w:p>
            <w:pPr>
              <w:spacing w:line="240" w:lineRule="auto" w:before="0" w:after="0"/>
              <w:jc w:val="center"/>
            </w:pPr>
            <w:r>
              <w:rPr>
                <w:rFonts w:ascii="Times New Roman" w:hAnsi="Times New Roman"/>
                <w:color w:val="000000"/>
                <w:sz w:val="18"/>
              </w:rPr>
              <w:t>0.38</w:t>
            </w:r>
          </w:p>
        </w:tc>
        <w:tc>
          <w:tcPr>
            <w:tcW w:type="dxa" w:w="1040"/>
          </w:tcPr>
          <w:p>
            <w:pPr>
              <w:spacing w:line="240" w:lineRule="auto" w:before="0" w:after="0"/>
              <w:jc w:val="center"/>
            </w:pPr>
            <w:r>
              <w:rPr>
                <w:rFonts w:ascii="Times New Roman" w:hAnsi="Times New Roman"/>
                <w:color w:val="000000"/>
                <w:sz w:val="18"/>
              </w:rPr>
              <w:t>0.703</w:t>
            </w:r>
          </w:p>
        </w:tc>
      </w:tr>
      <w:tr>
        <w:trPr>
          <w:cantSplit/>
        </w:trPr>
        <w:tc>
          <w:tcPr>
            <w:tcW w:type="dxa" w:w="1040"/>
          </w:tcPr>
          <w:p>
            <w:pPr>
              <w:spacing w:line="240" w:lineRule="auto" w:before="0" w:after="0"/>
              <w:jc w:val="center"/>
            </w:pPr>
            <w:r>
              <w:rPr>
                <w:rFonts w:ascii="Times New Roman" w:hAnsi="Times New Roman"/>
                <w:color w:val="000000"/>
                <w:sz w:val="18"/>
              </w:rPr>
              <w:t>MANSARD</w:t>
            </w:r>
          </w:p>
        </w:tc>
        <w:tc>
          <w:tcPr>
            <w:tcW w:type="dxa" w:w="1040"/>
          </w:tcPr>
          <w:p>
            <w:pPr>
              <w:spacing w:line="240" w:lineRule="auto" w:before="0" w:after="0"/>
              <w:jc w:val="center"/>
            </w:pPr>
            <w:r>
              <w:rPr>
                <w:rFonts w:ascii="Times New Roman" w:hAnsi="Times New Roman"/>
                <w:color w:val="000000"/>
                <w:sz w:val="18"/>
              </w:rPr>
              <w:t>0.0908</w:t>
            </w:r>
          </w:p>
        </w:tc>
        <w:tc>
          <w:tcPr>
            <w:tcW w:type="dxa" w:w="1040"/>
          </w:tcPr>
          <w:p>
            <w:pPr>
              <w:spacing w:line="240" w:lineRule="auto" w:before="0" w:after="0"/>
              <w:jc w:val="center"/>
            </w:pPr>
            <w:r>
              <w:rPr>
                <w:rFonts w:ascii="Times New Roman" w:hAnsi="Times New Roman"/>
                <w:color w:val="000000"/>
                <w:sz w:val="18"/>
              </w:rPr>
              <w:t>0.0922</w:t>
            </w:r>
          </w:p>
        </w:tc>
        <w:tc>
          <w:tcPr>
            <w:tcW w:type="dxa" w:w="1040"/>
          </w:tcPr>
          <w:p>
            <w:pPr>
              <w:spacing w:line="240" w:lineRule="auto" w:before="0" w:after="0"/>
              <w:jc w:val="center"/>
            </w:pPr>
            <w:r>
              <w:rPr>
                <w:rFonts w:ascii="Times New Roman" w:hAnsi="Times New Roman"/>
                <w:color w:val="000000"/>
                <w:sz w:val="18"/>
              </w:rPr>
              <w:t>0.0918</w:t>
            </w:r>
          </w:p>
        </w:tc>
        <w:tc>
          <w:tcPr>
            <w:tcW w:type="dxa" w:w="1040"/>
          </w:tcPr>
          <w:p>
            <w:pPr>
              <w:spacing w:line="240" w:lineRule="auto" w:before="0" w:after="0"/>
              <w:jc w:val="center"/>
            </w:pPr>
            <w:r>
              <w:rPr>
                <w:rFonts w:ascii="Times New Roman" w:hAnsi="Times New Roman"/>
                <w:color w:val="000000"/>
                <w:sz w:val="18"/>
              </w:rPr>
              <w:t>50.0%</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-1.31</w:t>
            </w:r>
          </w:p>
        </w:tc>
        <w:tc>
          <w:tcPr>
            <w:tcW w:type="dxa" w:w="1040"/>
          </w:tcPr>
          <w:p>
            <w:pPr>
              <w:spacing w:line="240" w:lineRule="auto" w:before="0" w:after="0"/>
              <w:jc w:val="center"/>
            </w:pPr>
            <w:r>
              <w:rPr>
                <w:rFonts w:ascii="Times New Roman" w:hAnsi="Times New Roman"/>
                <w:color w:val="000000"/>
                <w:sz w:val="18"/>
              </w:rPr>
              <w:t>0.191</w:t>
            </w:r>
          </w:p>
        </w:tc>
      </w:tr>
      <w:tr>
        <w:trPr>
          <w:cantSplit/>
        </w:trPr>
        <w:tc>
          <w:tcPr>
            <w:tcW w:type="dxa" w:w="1040"/>
          </w:tcPr>
          <w:p>
            <w:pPr>
              <w:spacing w:line="240" w:lineRule="auto" w:before="0" w:after="0"/>
              <w:jc w:val="center"/>
            </w:pPr>
            <w:r>
              <w:rPr>
                <w:rFonts w:ascii="Times New Roman" w:hAnsi="Times New Roman"/>
                <w:color w:val="000000"/>
                <w:sz w:val="18"/>
              </w:rPr>
              <w:t>NAHCO</w:t>
            </w:r>
          </w:p>
        </w:tc>
        <w:tc>
          <w:tcPr>
            <w:tcW w:type="dxa" w:w="1040"/>
          </w:tcPr>
          <w:p>
            <w:pPr>
              <w:spacing w:line="240" w:lineRule="auto" w:before="0" w:after="0"/>
              <w:jc w:val="center"/>
            </w:pPr>
            <w:r>
              <w:rPr>
                <w:rFonts w:ascii="Times New Roman" w:hAnsi="Times New Roman"/>
                <w:color w:val="000000"/>
                <w:sz w:val="18"/>
              </w:rPr>
              <w:t>0.0651</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0.123</w:t>
            </w:r>
          </w:p>
        </w:tc>
      </w:tr>
      <w:tr>
        <w:trPr>
          <w:cantSplit/>
        </w:trPr>
        <w:tc>
          <w:tcPr>
            <w:tcW w:type="dxa" w:w="1040"/>
          </w:tcPr>
          <w:p>
            <w:pPr>
              <w:spacing w:line="240" w:lineRule="auto" w:before="0" w:after="0"/>
              <w:jc w:val="center"/>
            </w:pPr>
            <w:r>
              <w:rPr>
                <w:rFonts w:ascii="Times New Roman" w:hAnsi="Times New Roman"/>
                <w:color w:val="000000"/>
                <w:sz w:val="18"/>
              </w:rPr>
              <w:t>NASCON</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37.3%</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0.81</w:t>
            </w:r>
          </w:p>
        </w:tc>
        <w:tc>
          <w:tcPr>
            <w:tcW w:type="dxa" w:w="1040"/>
          </w:tcPr>
          <w:p>
            <w:pPr>
              <w:spacing w:line="240" w:lineRule="auto" w:before="0" w:after="0"/>
              <w:jc w:val="center"/>
            </w:pPr>
            <w:r>
              <w:rPr>
                <w:rFonts w:ascii="Times New Roman" w:hAnsi="Times New Roman"/>
                <w:color w:val="000000"/>
                <w:sz w:val="18"/>
              </w:rPr>
              <w:t>0.415</w:t>
            </w:r>
          </w:p>
        </w:tc>
      </w:tr>
      <w:tr>
        <w:trPr>
          <w:cantSplit/>
        </w:trPr>
        <w:tc>
          <w:tcPr>
            <w:tcW w:type="dxa" w:w="1040"/>
          </w:tcPr>
          <w:p>
            <w:pPr>
              <w:spacing w:line="240" w:lineRule="auto" w:before="0" w:after="0"/>
              <w:jc w:val="center"/>
            </w:pPr>
            <w:r>
              <w:rPr>
                <w:rFonts w:ascii="Times New Roman" w:hAnsi="Times New Roman"/>
                <w:color w:val="000000"/>
                <w:sz w:val="18"/>
              </w:rPr>
              <w:t>NESTLE</w:t>
            </w:r>
          </w:p>
        </w:tc>
        <w:tc>
          <w:tcPr>
            <w:tcW w:type="dxa" w:w="1040"/>
          </w:tcPr>
          <w:p>
            <w:pPr>
              <w:spacing w:line="240" w:lineRule="auto" w:before="0" w:after="0"/>
              <w:jc w:val="center"/>
            </w:pPr>
            <w:r>
              <w:rPr>
                <w:rFonts w:ascii="Times New Roman" w:hAnsi="Times New Roman"/>
                <w:color w:val="000000"/>
                <w:sz w:val="18"/>
              </w:rPr>
              <w:t>0.0401</w:t>
            </w:r>
          </w:p>
        </w:tc>
        <w:tc>
          <w:tcPr>
            <w:tcW w:type="dxa" w:w="1040"/>
          </w:tcPr>
          <w:p>
            <w:pPr>
              <w:spacing w:line="240" w:lineRule="auto" w:before="0" w:after="0"/>
              <w:jc w:val="center"/>
            </w:pPr>
            <w:r>
              <w:rPr>
                <w:rFonts w:ascii="Times New Roman" w:hAnsi="Times New Roman"/>
                <w:color w:val="000000"/>
                <w:sz w:val="18"/>
              </w:rPr>
              <w:t>0.0432</w:t>
            </w:r>
          </w:p>
        </w:tc>
        <w:tc>
          <w:tcPr>
            <w:tcW w:type="dxa" w:w="1040"/>
          </w:tcPr>
          <w:p>
            <w:pPr>
              <w:spacing w:line="240" w:lineRule="auto" w:before="0" w:after="0"/>
              <w:jc w:val="center"/>
            </w:pPr>
            <w:r>
              <w:rPr>
                <w:rFonts w:ascii="Times New Roman" w:hAnsi="Times New Roman"/>
                <w:color w:val="000000"/>
                <w:sz w:val="18"/>
              </w:rPr>
              <w:t>0.0413</w:t>
            </w:r>
          </w:p>
        </w:tc>
        <w:tc>
          <w:tcPr>
            <w:tcW w:type="dxa" w:w="1040"/>
          </w:tcPr>
          <w:p>
            <w:pPr>
              <w:spacing w:line="240" w:lineRule="auto" w:before="0" w:after="0"/>
              <w:jc w:val="center"/>
            </w:pPr>
            <w:r>
              <w:rPr>
                <w:rFonts w:ascii="Times New Roman" w:hAnsi="Times New Roman"/>
                <w:color w:val="000000"/>
                <w:sz w:val="18"/>
              </w:rPr>
              <w:t>17.3%</w:t>
            </w:r>
          </w:p>
        </w:tc>
        <w:tc>
          <w:tcPr>
            <w:tcW w:type="dxa" w:w="1040"/>
          </w:tcPr>
          <w:p>
            <w:pPr>
              <w:spacing w:line="240" w:lineRule="auto" w:before="0" w:after="0"/>
              <w:jc w:val="center"/>
            </w:pPr>
            <w:r>
              <w:rPr>
                <w:rFonts w:ascii="Times New Roman" w:hAnsi="Times New Roman"/>
                <w:color w:val="000000"/>
                <w:sz w:val="18"/>
              </w:rPr>
              <w:t>20.0%</w:t>
            </w:r>
          </w:p>
        </w:tc>
        <w:tc>
          <w:tcPr>
            <w:tcW w:type="dxa" w:w="1040"/>
          </w:tcPr>
          <w:p>
            <w:pPr>
              <w:spacing w:line="240" w:lineRule="auto" w:before="0" w:after="0"/>
              <w:jc w:val="center"/>
            </w:pPr>
            <w:r>
              <w:rPr>
                <w:rFonts w:ascii="Times New Roman" w:hAnsi="Times New Roman"/>
                <w:color w:val="000000"/>
                <w:sz w:val="18"/>
              </w:rPr>
              <w:t>18.8%</w:t>
            </w:r>
          </w:p>
        </w:tc>
        <w:tc>
          <w:tcPr>
            <w:tcW w:type="dxa" w:w="1040"/>
          </w:tcPr>
          <w:p>
            <w:pPr>
              <w:spacing w:line="240" w:lineRule="auto" w:before="0" w:after="0"/>
              <w:jc w:val="center"/>
            </w:pPr>
            <w:r>
              <w:rPr>
                <w:rFonts w:ascii="Times New Roman" w:hAnsi="Times New Roman"/>
                <w:color w:val="000000"/>
                <w:sz w:val="18"/>
              </w:rPr>
              <w:t>-2.25</w:t>
            </w:r>
          </w:p>
        </w:tc>
        <w:tc>
          <w:tcPr>
            <w:tcW w:type="dxa" w:w="1040"/>
          </w:tcPr>
          <w:p>
            <w:pPr>
              <w:spacing w:line="240" w:lineRule="auto" w:before="0" w:after="0"/>
              <w:jc w:val="center"/>
            </w:pPr>
            <w:r>
              <w:rPr>
                <w:rFonts w:ascii="Times New Roman" w:hAnsi="Times New Roman"/>
                <w:color w:val="000000"/>
                <w:sz w:val="18"/>
              </w:rPr>
              <w:t>0.024</w:t>
            </w:r>
          </w:p>
        </w:tc>
      </w:tr>
      <w:tr>
        <w:trPr>
          <w:cantSplit/>
        </w:trPr>
        <w:tc>
          <w:tcPr>
            <w:tcW w:type="dxa" w:w="1040"/>
          </w:tcPr>
          <w:p>
            <w:pPr>
              <w:spacing w:line="240" w:lineRule="auto" w:before="0" w:after="0"/>
              <w:jc w:val="center"/>
            </w:pPr>
            <w:r>
              <w:rPr>
                <w:rFonts w:ascii="Times New Roman" w:hAnsi="Times New Roman"/>
                <w:color w:val="000000"/>
                <w:sz w:val="18"/>
              </w:rPr>
              <w:t>NB</w:t>
            </w:r>
          </w:p>
        </w:tc>
        <w:tc>
          <w:tcPr>
            <w:tcW w:type="dxa" w:w="1040"/>
          </w:tcPr>
          <w:p>
            <w:pPr>
              <w:spacing w:line="240" w:lineRule="auto" w:before="0" w:after="0"/>
              <w:jc w:val="center"/>
            </w:pPr>
            <w:r>
              <w:rPr>
                <w:rFonts w:ascii="Times New Roman" w:hAnsi="Times New Roman"/>
                <w:color w:val="000000"/>
                <w:sz w:val="18"/>
              </w:rPr>
              <w:t>0.0591</w:t>
            </w:r>
          </w:p>
        </w:tc>
        <w:tc>
          <w:tcPr>
            <w:tcW w:type="dxa" w:w="1040"/>
          </w:tcPr>
          <w:p>
            <w:pPr>
              <w:spacing w:line="240" w:lineRule="auto" w:before="0" w:after="0"/>
              <w:jc w:val="center"/>
            </w:pPr>
            <w:r>
              <w:rPr>
                <w:rFonts w:ascii="Times New Roman" w:hAnsi="Times New Roman"/>
                <w:color w:val="000000"/>
                <w:sz w:val="18"/>
              </w:rPr>
              <w:t>0.0620</w:t>
            </w:r>
          </w:p>
        </w:tc>
        <w:tc>
          <w:tcPr>
            <w:tcW w:type="dxa" w:w="1040"/>
          </w:tcPr>
          <w:p>
            <w:pPr>
              <w:spacing w:line="240" w:lineRule="auto" w:before="0" w:after="0"/>
              <w:jc w:val="center"/>
            </w:pPr>
            <w:r>
              <w:rPr>
                <w:rFonts w:ascii="Times New Roman" w:hAnsi="Times New Roman"/>
                <w:color w:val="000000"/>
                <w:sz w:val="18"/>
              </w:rPr>
              <w:t>0.0609</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-1.89</w:t>
            </w:r>
          </w:p>
        </w:tc>
        <w:tc>
          <w:tcPr>
            <w:tcW w:type="dxa" w:w="1040"/>
          </w:tcPr>
          <w:p>
            <w:pPr>
              <w:spacing w:line="240" w:lineRule="auto" w:before="0" w:after="0"/>
              <w:jc w:val="center"/>
            </w:pPr>
            <w:r>
              <w:rPr>
                <w:rFonts w:ascii="Times New Roman" w:hAnsi="Times New Roman"/>
                <w:color w:val="000000"/>
                <w:sz w:val="18"/>
              </w:rPr>
              <w:t>0.059</w:t>
            </w:r>
          </w:p>
        </w:tc>
      </w:tr>
      <w:tr>
        <w:trPr>
          <w:cantSplit/>
        </w:trPr>
        <w:tc>
          <w:tcPr>
            <w:tcW w:type="dxa" w:w="1040"/>
          </w:tcPr>
          <w:p>
            <w:pPr>
              <w:spacing w:line="240" w:lineRule="auto" w:before="0" w:after="0"/>
              <w:jc w:val="center"/>
            </w:pPr>
            <w:r>
              <w:rPr>
                <w:rFonts w:ascii="Times New Roman" w:hAnsi="Times New Roman"/>
                <w:color w:val="000000"/>
                <w:sz w:val="18"/>
              </w:rPr>
              <w:t>OKOMUOIL</w:t>
            </w:r>
          </w:p>
        </w:tc>
        <w:tc>
          <w:tcPr>
            <w:tcW w:type="dxa" w:w="1040"/>
          </w:tcPr>
          <w:p>
            <w:pPr>
              <w:spacing w:line="240" w:lineRule="auto" w:before="0" w:after="0"/>
              <w:jc w:val="center"/>
            </w:pPr>
            <w:r>
              <w:rPr>
                <w:rFonts w:ascii="Times New Roman" w:hAnsi="Times New Roman"/>
                <w:color w:val="000000"/>
                <w:sz w:val="18"/>
              </w:rPr>
              <w:t>0.0459</w:t>
            </w:r>
          </w:p>
        </w:tc>
        <w:tc>
          <w:tcPr>
            <w:tcW w:type="dxa" w:w="1040"/>
          </w:tcPr>
          <w:p>
            <w:pPr>
              <w:spacing w:line="240" w:lineRule="auto" w:before="0" w:after="0"/>
              <w:jc w:val="center"/>
            </w:pPr>
            <w:r>
              <w:rPr>
                <w:rFonts w:ascii="Times New Roman" w:hAnsi="Times New Roman"/>
                <w:color w:val="000000"/>
                <w:sz w:val="18"/>
              </w:rPr>
              <w:t>0.0467</w:t>
            </w:r>
          </w:p>
        </w:tc>
        <w:tc>
          <w:tcPr>
            <w:tcW w:type="dxa" w:w="1040"/>
          </w:tcPr>
          <w:p>
            <w:pPr>
              <w:spacing w:line="240" w:lineRule="auto" w:before="0" w:after="0"/>
              <w:jc w:val="center"/>
            </w:pPr>
            <w:r>
              <w:rPr>
                <w:rFonts w:ascii="Times New Roman" w:hAnsi="Times New Roman"/>
                <w:color w:val="000000"/>
                <w:sz w:val="18"/>
              </w:rPr>
              <w:t>0.0465</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-1.09</w:t>
            </w:r>
          </w:p>
        </w:tc>
        <w:tc>
          <w:tcPr>
            <w:tcW w:type="dxa" w:w="1040"/>
          </w:tcPr>
          <w:p>
            <w:pPr>
              <w:spacing w:line="240" w:lineRule="auto" w:before="0" w:after="0"/>
              <w:jc w:val="center"/>
            </w:pPr>
            <w:r>
              <w:rPr>
                <w:rFonts w:ascii="Times New Roman" w:hAnsi="Times New Roman"/>
                <w:color w:val="000000"/>
                <w:sz w:val="18"/>
              </w:rPr>
              <w:t>0.278</w:t>
            </w:r>
          </w:p>
        </w:tc>
      </w:tr>
      <w:tr>
        <w:trPr>
          <w:cantSplit/>
        </w:trPr>
        <w:tc>
          <w:tcPr>
            <w:tcW w:type="dxa" w:w="1040"/>
          </w:tcPr>
          <w:p>
            <w:pPr>
              <w:spacing w:line="240" w:lineRule="auto" w:before="0" w:after="0"/>
              <w:jc w:val="center"/>
            </w:pPr>
            <w:r>
              <w:rPr>
                <w:rFonts w:ascii="Times New Roman" w:hAnsi="Times New Roman"/>
                <w:color w:val="000000"/>
                <w:sz w:val="18"/>
              </w:rPr>
              <w:t>PRESCO</w:t>
            </w:r>
          </w:p>
        </w:tc>
        <w:tc>
          <w:tcPr>
            <w:tcW w:type="dxa" w:w="1040"/>
          </w:tcPr>
          <w:p>
            <w:pPr>
              <w:spacing w:line="240" w:lineRule="auto" w:before="0" w:after="0"/>
              <w:jc w:val="center"/>
            </w:pPr>
            <w:r>
              <w:rPr>
                <w:rFonts w:ascii="Times New Roman" w:hAnsi="Times New Roman"/>
                <w:color w:val="000000"/>
                <w:sz w:val="18"/>
              </w:rPr>
              <w:t>0.0491</w:t>
            </w:r>
          </w:p>
        </w:tc>
        <w:tc>
          <w:tcPr>
            <w:tcW w:type="dxa" w:w="1040"/>
          </w:tcPr>
          <w:p>
            <w:pPr>
              <w:spacing w:line="240" w:lineRule="auto" w:before="0" w:after="0"/>
              <w:jc w:val="center"/>
            </w:pPr>
            <w:r>
              <w:rPr>
                <w:rFonts w:ascii="Times New Roman" w:hAnsi="Times New Roman"/>
                <w:color w:val="000000"/>
                <w:sz w:val="18"/>
              </w:rPr>
              <w:t>0.0519</w:t>
            </w:r>
          </w:p>
        </w:tc>
        <w:tc>
          <w:tcPr>
            <w:tcW w:type="dxa" w:w="1040"/>
          </w:tcPr>
          <w:p>
            <w:pPr>
              <w:spacing w:line="240" w:lineRule="auto" w:before="0" w:after="0"/>
              <w:jc w:val="center"/>
            </w:pPr>
            <w:r>
              <w:rPr>
                <w:rFonts w:ascii="Times New Roman" w:hAnsi="Times New Roman"/>
                <w:color w:val="000000"/>
                <w:sz w:val="18"/>
              </w:rPr>
              <w:t>0.0495</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21.5%</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0.387</w:t>
            </w:r>
          </w:p>
        </w:tc>
      </w:tr>
      <w:tr>
        <w:trPr>
          <w:cantSplit/>
        </w:trPr>
        <w:tc>
          <w:tcPr>
            <w:tcW w:type="dxa" w:w="1040"/>
          </w:tcPr>
          <w:p>
            <w:pPr>
              <w:spacing w:line="240" w:lineRule="auto" w:before="0" w:after="0"/>
              <w:jc w:val="center"/>
            </w:pPr>
            <w:r>
              <w:rPr>
                <w:rFonts w:ascii="Times New Roman" w:hAnsi="Times New Roman"/>
                <w:color w:val="000000"/>
                <w:sz w:val="18"/>
              </w:rPr>
              <w:t>STANBIC</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41.5%</w:t>
            </w:r>
          </w:p>
        </w:tc>
        <w:tc>
          <w:tcPr>
            <w:tcW w:type="dxa" w:w="1040"/>
          </w:tcPr>
          <w:p>
            <w:pPr>
              <w:spacing w:line="240" w:lineRule="auto" w:before="0" w:after="0"/>
              <w:jc w:val="center"/>
            </w:pPr>
            <w:r>
              <w:rPr>
                <w:rFonts w:ascii="Times New Roman" w:hAnsi="Times New Roman"/>
                <w:color w:val="000000"/>
                <w:sz w:val="18"/>
              </w:rPr>
              <w:t>0.72</w:t>
            </w:r>
          </w:p>
        </w:tc>
        <w:tc>
          <w:tcPr>
            <w:tcW w:type="dxa" w:w="1040"/>
          </w:tcPr>
          <w:p>
            <w:pPr>
              <w:spacing w:line="240" w:lineRule="auto" w:before="0" w:after="0"/>
              <w:jc w:val="center"/>
            </w:pPr>
            <w:r>
              <w:rPr>
                <w:rFonts w:ascii="Times New Roman" w:hAnsi="Times New Roman"/>
                <w:color w:val="000000"/>
                <w:sz w:val="18"/>
              </w:rPr>
              <w:t>0.474</w:t>
            </w:r>
          </w:p>
        </w:tc>
      </w:tr>
      <w:tr>
        <w:trPr>
          <w:cantSplit/>
        </w:trPr>
        <w:tc>
          <w:tcPr>
            <w:tcW w:type="dxa" w:w="1040"/>
          </w:tcPr>
          <w:p>
            <w:pPr>
              <w:spacing w:line="240" w:lineRule="auto" w:before="0" w:after="0"/>
              <w:jc w:val="center"/>
            </w:pPr>
            <w:r>
              <w:rPr>
                <w:rFonts w:ascii="Times New Roman" w:hAnsi="Times New Roman"/>
                <w:color w:val="000000"/>
                <w:sz w:val="18"/>
              </w:rPr>
              <w:t>STERLINGNG</w:t>
            </w:r>
          </w:p>
        </w:tc>
        <w:tc>
          <w:tcPr>
            <w:tcW w:type="dxa" w:w="1040"/>
          </w:tcPr>
          <w:p>
            <w:pPr>
              <w:spacing w:line="240" w:lineRule="auto" w:before="0" w:after="0"/>
              <w:jc w:val="center"/>
            </w:pPr>
            <w:r>
              <w:rPr>
                <w:rFonts w:ascii="Times New Roman" w:hAnsi="Times New Roman"/>
                <w:color w:val="000000"/>
                <w:sz w:val="18"/>
              </w:rPr>
              <w:t>0.0697</w:t>
            </w:r>
          </w:p>
        </w:tc>
        <w:tc>
          <w:tcPr>
            <w:tcW w:type="dxa" w:w="1040"/>
          </w:tcPr>
          <w:p>
            <w:pPr>
              <w:spacing w:line="240" w:lineRule="auto" w:before="0" w:after="0"/>
              <w:jc w:val="center"/>
            </w:pPr>
            <w:r>
              <w:rPr>
                <w:rFonts w:ascii="Times New Roman" w:hAnsi="Times New Roman"/>
                <w:color w:val="000000"/>
                <w:sz w:val="18"/>
              </w:rPr>
              <w:t>0.0760</w:t>
            </w:r>
          </w:p>
        </w:tc>
        <w:tc>
          <w:tcPr>
            <w:tcW w:type="dxa" w:w="1040"/>
          </w:tcPr>
          <w:p>
            <w:pPr>
              <w:spacing w:line="240" w:lineRule="auto" w:before="0" w:after="0"/>
              <w:jc w:val="center"/>
            </w:pPr>
            <w:r>
              <w:rPr>
                <w:rFonts w:ascii="Times New Roman" w:hAnsi="Times New Roman"/>
                <w:color w:val="000000"/>
                <w:sz w:val="18"/>
              </w:rPr>
              <w:t>0.0701</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42.3%</w:t>
            </w:r>
          </w:p>
        </w:tc>
        <w:tc>
          <w:tcPr>
            <w:tcW w:type="dxa" w:w="1040"/>
          </w:tcPr>
          <w:p>
            <w:pPr>
              <w:spacing w:line="240" w:lineRule="auto" w:before="0" w:after="0"/>
              <w:jc w:val="center"/>
            </w:pPr>
            <w:r>
              <w:rPr>
                <w:rFonts w:ascii="Times New Roman" w:hAnsi="Times New Roman"/>
                <w:color w:val="000000"/>
                <w:sz w:val="18"/>
              </w:rPr>
              <w:t>-0.39</w:t>
            </w:r>
          </w:p>
        </w:tc>
        <w:tc>
          <w:tcPr>
            <w:tcW w:type="dxa" w:w="1040"/>
          </w:tcPr>
          <w:p>
            <w:pPr>
              <w:spacing w:line="240" w:lineRule="auto" w:before="0" w:after="0"/>
              <w:jc w:val="center"/>
            </w:pPr>
            <w:r>
              <w:rPr>
                <w:rFonts w:ascii="Times New Roman" w:hAnsi="Times New Roman"/>
                <w:color w:val="000000"/>
                <w:sz w:val="18"/>
              </w:rPr>
              <w:t>0.694</w:t>
            </w:r>
          </w:p>
        </w:tc>
      </w:tr>
      <w:tr>
        <w:trPr>
          <w:cantSplit/>
        </w:trPr>
        <w:tc>
          <w:tcPr>
            <w:tcW w:type="dxa" w:w="1040"/>
          </w:tcPr>
          <w:p>
            <w:pPr>
              <w:spacing w:line="240" w:lineRule="auto" w:before="0" w:after="0"/>
              <w:jc w:val="center"/>
            </w:pPr>
            <w:r>
              <w:rPr>
                <w:rFonts w:ascii="Times New Roman" w:hAnsi="Times New Roman"/>
                <w:color w:val="000000"/>
                <w:sz w:val="18"/>
              </w:rPr>
              <w:t>TRANSCORP</w:t>
            </w:r>
          </w:p>
        </w:tc>
        <w:tc>
          <w:tcPr>
            <w:tcW w:type="dxa" w:w="1040"/>
          </w:tcPr>
          <w:p>
            <w:pPr>
              <w:spacing w:line="240" w:lineRule="auto" w:before="0" w:after="0"/>
              <w:jc w:val="center"/>
            </w:pPr>
            <w:r>
              <w:rPr>
                <w:rFonts w:ascii="Times New Roman" w:hAnsi="Times New Roman"/>
                <w:color w:val="000000"/>
                <w:sz w:val="18"/>
              </w:rPr>
              <w:t>0.0812</w:t>
            </w:r>
          </w:p>
        </w:tc>
        <w:tc>
          <w:tcPr>
            <w:tcW w:type="dxa" w:w="1040"/>
          </w:tcPr>
          <w:p>
            <w:pPr>
              <w:spacing w:line="240" w:lineRule="auto" w:before="0" w:after="0"/>
              <w:jc w:val="center"/>
            </w:pPr>
            <w:r>
              <w:rPr>
                <w:rFonts w:ascii="Times New Roman" w:hAnsi="Times New Roman"/>
                <w:color w:val="000000"/>
                <w:sz w:val="18"/>
              </w:rPr>
              <w:t>0.0804</w:t>
            </w:r>
          </w:p>
        </w:tc>
        <w:tc>
          <w:tcPr>
            <w:tcW w:type="dxa" w:w="1040"/>
          </w:tcPr>
          <w:p>
            <w:pPr>
              <w:spacing w:line="240" w:lineRule="auto" w:before="0" w:after="0"/>
              <w:jc w:val="center"/>
            </w:pPr>
            <w:r>
              <w:rPr>
                <w:rFonts w:ascii="Times New Roman" w:hAnsi="Times New Roman"/>
                <w:color w:val="000000"/>
                <w:sz w:val="18"/>
              </w:rPr>
              <w:t>0.0794</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0.383</w:t>
            </w:r>
          </w:p>
        </w:tc>
      </w:tr>
      <w:tr>
        <w:trPr>
          <w:cantSplit/>
        </w:trPr>
        <w:tc>
          <w:tcPr>
            <w:tcW w:type="dxa" w:w="1040"/>
          </w:tcPr>
          <w:p>
            <w:pPr>
              <w:spacing w:line="240" w:lineRule="auto" w:before="0" w:after="0"/>
              <w:jc w:val="center"/>
            </w:pPr>
            <w:r>
              <w:rPr>
                <w:rFonts w:ascii="Times New Roman" w:hAnsi="Times New Roman"/>
                <w:color w:val="000000"/>
                <w:sz w:val="18"/>
              </w:rPr>
              <w:t>UACN</w:t>
            </w:r>
          </w:p>
        </w:tc>
        <w:tc>
          <w:tcPr>
            <w:tcW w:type="dxa" w:w="1040"/>
          </w:tcPr>
          <w:p>
            <w:pPr>
              <w:spacing w:line="240" w:lineRule="auto" w:before="0" w:after="0"/>
              <w:jc w:val="center"/>
            </w:pPr>
            <w:r>
              <w:rPr>
                <w:rFonts w:ascii="Times New Roman" w:hAnsi="Times New Roman"/>
                <w:color w:val="000000"/>
                <w:sz w:val="18"/>
              </w:rPr>
              <w:t>0.0789</w:t>
            </w:r>
          </w:p>
        </w:tc>
        <w:tc>
          <w:tcPr>
            <w:tcW w:type="dxa" w:w="1040"/>
          </w:tcPr>
          <w:p>
            <w:pPr>
              <w:spacing w:line="240" w:lineRule="auto" w:before="0" w:after="0"/>
              <w:jc w:val="center"/>
            </w:pPr>
            <w:r>
              <w:rPr>
                <w:rFonts w:ascii="Times New Roman" w:hAnsi="Times New Roman"/>
                <w:color w:val="000000"/>
                <w:sz w:val="18"/>
              </w:rPr>
              <w:t>0.0913</w:t>
            </w:r>
          </w:p>
        </w:tc>
        <w:tc>
          <w:tcPr>
            <w:tcW w:type="dxa" w:w="1040"/>
          </w:tcPr>
          <w:p>
            <w:pPr>
              <w:spacing w:line="240" w:lineRule="auto" w:before="0" w:after="0"/>
              <w:jc w:val="center"/>
            </w:pPr>
            <w:r>
              <w:rPr>
                <w:rFonts w:ascii="Times New Roman" w:hAnsi="Times New Roman"/>
                <w:color w:val="000000"/>
                <w:sz w:val="18"/>
              </w:rPr>
              <w:t>0.0795</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41.2%</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0.137</w:t>
            </w:r>
          </w:p>
        </w:tc>
      </w:tr>
      <w:tr>
        <w:trPr>
          <w:cantSplit/>
        </w:trPr>
        <w:tc>
          <w:tcPr>
            <w:tcW w:type="dxa" w:w="1040"/>
          </w:tcPr>
          <w:p>
            <w:pPr>
              <w:spacing w:line="240" w:lineRule="auto" w:before="0" w:after="0"/>
              <w:jc w:val="center"/>
            </w:pPr>
            <w:r>
              <w:rPr>
                <w:rFonts w:ascii="Times New Roman" w:hAnsi="Times New Roman"/>
                <w:color w:val="000000"/>
                <w:sz w:val="18"/>
              </w:rPr>
              <w:t>UBA</w:t>
            </w:r>
          </w:p>
        </w:tc>
        <w:tc>
          <w:tcPr>
            <w:tcW w:type="dxa" w:w="1040"/>
          </w:tcPr>
          <w:p>
            <w:pPr>
              <w:spacing w:line="240" w:lineRule="auto" w:before="0" w:after="0"/>
              <w:jc w:val="center"/>
            </w:pPr>
            <w:r>
              <w:rPr>
                <w:rFonts w:ascii="Times New Roman" w:hAnsi="Times New Roman"/>
                <w:color w:val="000000"/>
                <w:sz w:val="18"/>
              </w:rPr>
              <w:t>0.0490</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0.0493</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0.363</w:t>
            </w:r>
          </w:p>
        </w:tc>
      </w:tr>
      <w:tr>
        <w:trPr>
          <w:cantSplit/>
        </w:trPr>
        <w:tc>
          <w:tcPr>
            <w:tcW w:type="dxa" w:w="1040"/>
          </w:tcPr>
          <w:p>
            <w:pPr>
              <w:spacing w:line="240" w:lineRule="auto" w:before="0" w:after="0"/>
              <w:jc w:val="center"/>
            </w:pPr>
            <w:r>
              <w:rPr>
                <w:rFonts w:ascii="Times New Roman" w:hAnsi="Times New Roman"/>
                <w:color w:val="000000"/>
                <w:sz w:val="18"/>
              </w:rPr>
              <w:t>UNILEVER</w:t>
            </w:r>
          </w:p>
        </w:tc>
        <w:tc>
          <w:tcPr>
            <w:tcW w:type="dxa" w:w="1040"/>
          </w:tcPr>
          <w:p>
            <w:pPr>
              <w:spacing w:line="240" w:lineRule="auto" w:before="0" w:after="0"/>
              <w:jc w:val="center"/>
            </w:pPr>
            <w:r>
              <w:rPr>
                <w:rFonts w:ascii="Times New Roman" w:hAnsi="Times New Roman"/>
                <w:color w:val="000000"/>
                <w:sz w:val="18"/>
              </w:rPr>
              <w:t>0.0553</w:t>
            </w:r>
          </w:p>
        </w:tc>
        <w:tc>
          <w:tcPr>
            <w:tcW w:type="dxa" w:w="1040"/>
          </w:tcPr>
          <w:p>
            <w:pPr>
              <w:spacing w:line="240" w:lineRule="auto" w:before="0" w:after="0"/>
              <w:jc w:val="center"/>
            </w:pPr>
            <w:r>
              <w:rPr>
                <w:rFonts w:ascii="Times New Roman" w:hAnsi="Times New Roman"/>
                <w:color w:val="000000"/>
                <w:sz w:val="18"/>
              </w:rPr>
              <w:t>0.0561</w:t>
            </w:r>
          </w:p>
        </w:tc>
        <w:tc>
          <w:tcPr>
            <w:tcW w:type="dxa" w:w="1040"/>
          </w:tcPr>
          <w:p>
            <w:pPr>
              <w:spacing w:line="240" w:lineRule="auto" w:before="0" w:after="0"/>
              <w:jc w:val="center"/>
            </w:pPr>
            <w:r>
              <w:rPr>
                <w:rFonts w:ascii="Times New Roman" w:hAnsi="Times New Roman"/>
                <w:color w:val="000000"/>
                <w:sz w:val="18"/>
              </w:rPr>
              <w:t>0.0551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38.5%</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1.72</w:t>
            </w:r>
          </w:p>
        </w:tc>
        <w:tc>
          <w:tcPr>
            <w:tcW w:type="dxa" w:w="1040"/>
          </w:tcPr>
          <w:p>
            <w:pPr>
              <w:spacing w:line="240" w:lineRule="auto" w:before="0" w:after="0"/>
              <w:jc w:val="center"/>
            </w:pPr>
            <w:r>
              <w:rPr>
                <w:rFonts w:ascii="Times New Roman" w:hAnsi="Times New Roman"/>
                <w:color w:val="000000"/>
                <w:sz w:val="18"/>
              </w:rPr>
              <w:t>0.085</w:t>
            </w:r>
          </w:p>
        </w:tc>
      </w:tr>
      <w:tr>
        <w:trPr>
          <w:cantSplit/>
        </w:trPr>
        <w:tc>
          <w:tcPr>
            <w:tcW w:type="dxa" w:w="1040"/>
          </w:tcPr>
          <w:p>
            <w:pPr>
              <w:spacing w:line="240" w:lineRule="auto" w:before="0" w:after="0"/>
              <w:jc w:val="center"/>
            </w:pPr>
            <w:r>
              <w:rPr>
                <w:rFonts w:ascii="Times New Roman" w:hAnsi="Times New Roman"/>
                <w:color w:val="000000"/>
                <w:sz w:val="18"/>
              </w:rPr>
              <w:t>WEMABANK</w:t>
            </w:r>
          </w:p>
        </w:tc>
        <w:tc>
          <w:tcPr>
            <w:tcW w:type="dxa" w:w="1040"/>
          </w:tcPr>
          <w:p>
            <w:pPr>
              <w:spacing w:line="240" w:lineRule="auto" w:before="0" w:after="0"/>
              <w:jc w:val="center"/>
            </w:pPr>
            <w:r>
              <w:rPr>
                <w:rFonts w:ascii="Times New Roman" w:hAnsi="Times New Roman"/>
                <w:color w:val="000000"/>
                <w:sz w:val="18"/>
              </w:rPr>
              <w:t>0.0693</w:t>
            </w:r>
          </w:p>
        </w:tc>
        <w:tc>
          <w:tcPr>
            <w:tcW w:type="dxa" w:w="1040"/>
          </w:tcPr>
          <w:p>
            <w:pPr>
              <w:spacing w:line="240" w:lineRule="auto" w:before="0" w:after="0"/>
              <w:jc w:val="center"/>
            </w:pPr>
            <w:r>
              <w:rPr>
                <w:rFonts w:ascii="Times New Roman" w:hAnsi="Times New Roman"/>
                <w:color w:val="000000"/>
                <w:sz w:val="18"/>
              </w:rPr>
              <w:t>0.0681</w:t>
            </w:r>
          </w:p>
        </w:tc>
        <w:tc>
          <w:tcPr>
            <w:tcW w:type="dxa" w:w="1040"/>
          </w:tcPr>
          <w:p>
            <w:pPr>
              <w:spacing w:line="240" w:lineRule="auto" w:before="0" w:after="0"/>
              <w:jc w:val="center"/>
            </w:pPr>
            <w:r>
              <w:rPr>
                <w:rFonts w:ascii="Times New Roman" w:hAnsi="Times New Roman"/>
                <w:color w:val="000000"/>
                <w:sz w:val="18"/>
              </w:rPr>
              <w:t>0.0696</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-0.53</w:t>
            </w:r>
          </w:p>
        </w:tc>
        <w:tc>
          <w:tcPr>
            <w:tcW w:type="dxa" w:w="1040"/>
          </w:tcPr>
          <w:p>
            <w:pPr>
              <w:spacing w:line="240" w:lineRule="auto" w:before="0" w:after="0"/>
              <w:jc w:val="center"/>
            </w:pPr>
            <w:r>
              <w:rPr>
                <w:rFonts w:ascii="Times New Roman" w:hAnsi="Times New Roman"/>
                <w:color w:val="000000"/>
                <w:sz w:val="18"/>
              </w:rPr>
              <w:t>0.599</w:t>
            </w:r>
          </w:p>
        </w:tc>
      </w:tr>
      <w:tr>
        <w:trPr>
          <w:cantSplit/>
        </w:trPr>
        <w:tc>
          <w:tcPr>
            <w:tcW w:type="dxa" w:w="1040"/>
          </w:tcPr>
          <w:p>
            <w:pPr>
              <w:spacing w:line="240" w:lineRule="auto" w:before="0" w:after="0"/>
              <w:jc w:val="center"/>
            </w:pPr>
            <w:r>
              <w:rPr>
                <w:rFonts w:ascii="Times New Roman" w:hAnsi="Times New Roman"/>
                <w:color w:val="000000"/>
                <w:sz w:val="18"/>
              </w:rPr>
              <w:t>ZENITHBANK</w:t>
            </w:r>
          </w:p>
        </w:tc>
        <w:tc>
          <w:tcPr>
            <w:tcW w:type="dxa" w:w="1040"/>
          </w:tcPr>
          <w:p>
            <w:pPr>
              <w:spacing w:line="240" w:lineRule="auto" w:before="0" w:after="0"/>
              <w:jc w:val="center"/>
            </w:pPr>
            <w:r>
              <w:rPr>
                <w:rFonts w:ascii="Times New Roman" w:hAnsi="Times New Roman"/>
                <w:color w:val="000000"/>
                <w:sz w:val="18"/>
              </w:rPr>
              <w:t>0.0449</w:t>
            </w:r>
          </w:p>
        </w:tc>
        <w:tc>
          <w:tcPr>
            <w:tcW w:type="dxa" w:w="1040"/>
          </w:tcPr>
          <w:p>
            <w:pPr>
              <w:spacing w:line="240" w:lineRule="auto" w:before="0" w:after="0"/>
              <w:jc w:val="center"/>
            </w:pPr>
            <w:r>
              <w:rPr>
                <w:rFonts w:ascii="Times New Roman" w:hAnsi="Times New Roman"/>
                <w:color w:val="000000"/>
                <w:sz w:val="18"/>
              </w:rPr>
              <w:t>0.0473</w:t>
            </w:r>
          </w:p>
        </w:tc>
        <w:tc>
          <w:tcPr>
            <w:tcW w:type="dxa" w:w="1040"/>
          </w:tcPr>
          <w:p>
            <w:pPr>
              <w:spacing w:line="240" w:lineRule="auto" w:before="0" w:after="0"/>
              <w:jc w:val="center"/>
            </w:pPr>
            <w:r>
              <w:rPr>
                <w:rFonts w:ascii="Times New Roman" w:hAnsi="Times New Roman"/>
                <w:color w:val="000000"/>
                <w:sz w:val="18"/>
              </w:rPr>
              <w:t>0.0458</w:t>
            </w:r>
          </w:p>
        </w:tc>
        <w:tc>
          <w:tcPr>
            <w:tcW w:type="dxa" w:w="1040"/>
          </w:tcPr>
          <w:p>
            <w:pPr>
              <w:spacing w:line="240" w:lineRule="auto" w:before="0" w:after="0"/>
              <w:jc w:val="center"/>
            </w:pPr>
            <w:r>
              <w:rPr>
                <w:rFonts w:ascii="Times New Roman" w:hAnsi="Times New Roman"/>
                <w:color w:val="000000"/>
                <w:sz w:val="18"/>
              </w:rPr>
              <w:t>51.2%</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-1.96</w:t>
            </w:r>
          </w:p>
        </w:tc>
        <w:tc>
          <w:tcPr>
            <w:tcW w:type="dxa" w:w="1040"/>
          </w:tcPr>
          <w:p>
            <w:pPr>
              <w:spacing w:line="240" w:lineRule="auto" w:before="0" w:after="0"/>
              <w:jc w:val="center"/>
            </w:pPr>
            <w:r>
              <w:rPr>
                <w:rFonts w:ascii="Times New Roman" w:hAnsi="Times New Roman"/>
                <w:color w:val="000000"/>
                <w:sz w:val="18"/>
              </w:rPr>
              <w:t>0.050</w:t>
            </w:r>
          </w:p>
        </w:tc>
      </w:tr>
      <w:tr>
        <w:trPr>
          <w:cantSplit/>
        </w:trPr>
        <w:tc>
          <w:tcPr>
            <w:tcW w:type="dxa" w:w="1040"/>
          </w:tcPr>
          <w:p>
            <w:pPr>
              <w:spacing w:line="240" w:lineRule="auto" w:before="0" w:after="0"/>
              <w:jc w:val="center"/>
            </w:pPr>
            <w:r>
              <w:rPr>
                <w:rFonts w:ascii="Times New Roman" w:hAnsi="Times New Roman"/>
                <w:color w:val="000000"/>
                <w:sz w:val="18"/>
              </w:rPr>
              <w:t>AVERAGE</w:t>
            </w:r>
          </w:p>
        </w:tc>
        <w:tc>
          <w:tcPr>
            <w:tcW w:type="dxa" w:w="1040"/>
          </w:tcPr>
          <w:p>
            <w:pPr>
              <w:spacing w:line="240" w:lineRule="auto" w:before="0" w:after="0"/>
              <w:jc w:val="center"/>
            </w:pPr>
            <w:r>
              <w:rPr>
                <w:rFonts w:ascii="Times New Roman" w:hAnsi="Times New Roman"/>
                <w:color w:val="000000"/>
                <w:sz w:val="18"/>
              </w:rPr>
              <w:t>0.0602</w:t>
            </w:r>
          </w:p>
        </w:tc>
        <w:tc>
          <w:tcPr>
            <w:tcW w:type="dxa" w:w="1040"/>
          </w:tcPr>
          <w:p>
            <w:pPr>
              <w:spacing w:line="240" w:lineRule="auto" w:before="0" w:after="0"/>
              <w:jc w:val="center"/>
            </w:pPr>
            <w:r>
              <w:rPr>
                <w:rFonts w:ascii="Times New Roman" w:hAnsi="Times New Roman"/>
                <w:color w:val="000000"/>
                <w:sz w:val="18"/>
              </w:rPr>
              <w:t>0.0627</w:t>
            </w:r>
          </w:p>
        </w:tc>
        <w:tc>
          <w:tcPr>
            <w:tcW w:type="dxa" w:w="1040"/>
          </w:tcPr>
          <w:p>
            <w:pPr>
              <w:spacing w:line="240" w:lineRule="auto" w:before="0" w:after="0"/>
              <w:jc w:val="center"/>
            </w:pPr>
            <w:r>
              <w:rPr>
                <w:rFonts w:ascii="Times New Roman" w:hAnsi="Times New Roman"/>
                <w:color w:val="000000"/>
                <w:sz w:val="18"/>
              </w:rPr>
              <w:t>0.0608</w:t>
            </w:r>
          </w:p>
        </w:tc>
        <w:tc>
          <w:tcPr>
            <w:tcW w:type="dxa" w:w="1040"/>
          </w:tcPr>
          <w:p>
            <w:pPr>
              <w:spacing w:line="240" w:lineRule="auto" w:before="0" w:after="0"/>
              <w:jc w:val="center"/>
            </w:pPr>
            <w:r>
              <w:rPr>
                <w:rFonts w:ascii="Times New Roman" w:hAnsi="Times New Roman"/>
                <w:color w:val="000000"/>
                <w:sz w:val="18"/>
              </w:rPr>
              <w:t>37.9%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0.315</w:t>
            </w:r>
          </w:p>
        </w:tc>
      </w:tr>
    </w:tbl>
    <w:p>
      <w:pPr>
        <w:keepNext/>
        <w:spacing w:line="276" w:lineRule="auto" w:before="40" w:after="160"/>
        <w:jc w:val="left"/>
      </w:pPr>
      <w:r>
        <w:rPr>
          <w:rFonts w:ascii="Times New Roman" w:hAnsi="Times New Roman"/>
          <w:i/>
          <w:color w:val="000000"/>
          <w:sz w:val="20"/>
        </w:rPr>
        <w:t>Source: Author's computation (2026). Note: Base = Historical sample mean return baseline; RF = Random Forest regressor; XGB = eXtreme Gradient Boosting regressor; RMSE = Root Mean Squared Error; DA (%) = Binary Directional Accuracy. Diebold-Mariano Stat and Diebold-Mariano p-val evaluate the null hypothesis of equal forecast accuracy between XGBoost and the Historical Mean baseline under quadratic loss with Newey–West HAC standard errors (Diebold &amp; Mariano, 1995).</w:t>
      </w:r>
    </w:p>
    <w:p>
      <w:pPr>
        <w:keepNext/>
        <w:spacing w:line="480" w:lineRule="auto" w:before="0" w:after="0"/>
        <w:jc w:val="left"/>
      </w:pPr>
      <w:r>
        <w:rPr>
          <w:rFonts w:ascii="Times New Roman" w:hAnsi="Times New Roman"/>
          <w:b/>
          <w:color w:val="000000"/>
          <w:sz w:val="24"/>
        </w:rPr>
        <w:t>4.5.1 Econometric Evaluation: Forecast Accuracy and Portfolio Value</w:t>
      </w:r>
    </w:p>
    <w:p>
      <w:pPr>
        <w:spacing w:line="480" w:lineRule="auto" w:before="0" w:after="0"/>
        <w:ind w:firstLine="72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Crucially, the formal Diebold–Mariano (1995) test reveals that for 25 out of the 28 equities (89.3%), the forecast accuracy differential between XGBoost and the Historical Mean baseline is statistically indistinguishable from zero (p &gt; 0.05). In the three assets where equal accuracy is formally rejected (FIDSON, JBERGER, and NESTLE), the negative DM test statistic indicates that XGBoost exhibited significantly larger squared forecast errors (inferior accuracy) than the historical baseline. Furthermore, Random Forest was not evaluated under the Diebold–Mariano test despite exhibiting a higher overall RMSE (0.0627). Similarly, binary directional accuracy (DA) averages 38.1% for Random Forest and 37.8% for XGBoost vs 37.9% for the flat Historical Mean baseline across all 28 assets (peaking at 50.8% on liquid large-caps). For illiquid equities such as CONOIL (DA = 13.8%) and NESTLE (17.3%), this below-50% accuracy reflects weeks with zero or near-zero returns: when the actual return is exactly zero, any non-zero forecast is counted as a directional miss, depressing the measured accuracy below the 50% random-walk threshold. Evaluating the relationship between statistical point prediction accuracy and downstream portfolio performance requires a rigorous econometric examination across the following four points:</w:t>
      </w:r>
    </w:p>
    <w:p>
      <w:pPr>
        <w:spacing w:line="480" w:lineRule="auto" w:before="0" w:after="0"/>
        <w:ind w:firstLine="720"/>
        <w:jc w:val="both"/>
      </w:pPr>
      <w:r>
        <w:rPr>
          <w:rFonts w:ascii="Times New Roman" w:hAnsi="Times New Roman"/>
          <w:color w:val="000000"/>
          <w:sz w:val="24"/>
        </w:rPr>
        <w:t>1. Quadratic Loss Penalization and Noise Dominance: The apparent superiority of the flat Historical Mean in raw RMSE stems from the statistical properties of financial return noise under an L2 quadratic loss function. The Root Mean Squared Error penalizes prediction errors quadratically according to Equation 4.1:</w:t>
      </w:r>
    </w:p>
    <w:p>
      <w:pPr>
        <w:spacing w:before="120" w:after="120" w:line="480" w:lineRule="auto"/>
        <w:jc w:val="center"/>
        <w:rPr>
          <w:rFonts w:ascii="Times New Roman" w:eastAsia="Times New Roman" w:hAnsi="Times New Roman" w:cs="Times New Roman"/>
          <w:color w:val="000000"/>
        </w:rPr>
      </w:pPr>
      <m:oMathPara>
        <m:oMath>
          <m:r>
            <w:rPr>
              <w:rFonts w:ascii="Cambria Math" w:hAnsi="Cambria Math"/>
              <w:color w:val="000000"/>
            </w:rPr>
            <m:t>RMSE=</m:t>
          </m:r>
          <m:rad>
            <m:radPr>
              <m:degHide m:val="1"/>
              <m:ctrlPr>
                <w:rPr>
                  <w:rFonts w:ascii="Cambria Math" w:hAnsi="Cambria Math"/>
                  <w:color w:val="000000"/>
                </w:rPr>
              </m:ctrlPr>
            </m:radPr>
            <m:deg/>
            <m:e>
              <m:f>
                <m:fPr>
                  <m:ctrlPr>
                    <w:rPr>
                      <w:rFonts w:ascii="Cambria Math" w:hAnsi="Cambria Math"/>
                      <w:color w:val="000000"/>
                    </w:rPr>
                  </m:ctrlPr>
                </m:fPr>
                <m:num>
                  <m:r>
                    <w:rPr>
                      <w:rFonts w:ascii="Cambria Math" w:hAnsi="Cambria Math"/>
                      <w:color w:val="000000"/>
                    </w:rPr>
                    <m:t>1</m:t>
                  </m:r>
                </m:num>
                <m:den>
                  <m:r>
                    <w:rPr>
                      <w:rFonts w:ascii="Cambria Math" w:hAnsi="Cambria Math"/>
                      <w:color w:val="000000"/>
                    </w:rPr>
                    <m:t>n</m:t>
                  </m:r>
                </m:den>
              </m:f>
              <m:nary>
                <m:naryPr>
                  <m:chr m:val="∑"/>
                  <m:ctrlPr>
                    <w:rPr>
                      <w:rFonts w:ascii="Cambria Math" w:hAnsi="Cambria Math"/>
                      <w:color w:val="000000"/>
                    </w:rPr>
                  </m:ctrlPr>
                </m:naryPr>
                <m:sub>
                  <m:r>
                    <w:rPr>
                      <w:rFonts w:ascii="Cambria Math" w:hAnsi="Cambria Math"/>
                      <w:color w:val="000000"/>
                    </w:rPr>
                    <m:t>t=1</m:t>
                  </m:r>
                </m:sub>
                <m:sup>
                  <m:r>
                    <w:rPr>
                      <w:rFonts w:ascii="Cambria Math" w:hAnsi="Cambria Math"/>
                      <w:color w:val="000000"/>
                    </w:rPr>
                    <m:t>n</m:t>
                  </m:r>
                </m:sup>
                <m:e>
                  <m:sSup>
                    <m:sSupPr>
                      <m:ctrlPr>
                        <w:rPr>
                          <w:rFonts w:ascii="Cambria Math" w:hAnsi="Cambria Math"/>
                          <w:color w:val="000000"/>
                        </w:rPr>
                      </m:ctrlPr>
                    </m:sSupPr>
                    <m:e>
                      <m:d>
                        <m:dPr>
                          <m:ctrlPr>
                            <w:rPr>
                              <w:rFonts w:ascii="Cambria Math" w:hAnsi="Cambria Math"/>
                              <w:color w:val="000000"/>
                            </w:rPr>
                          </m:ctrlPr>
                        </m:dPr>
                        <m:e>
                          <m:acc>
                            <m:accPr>
                              <m:ctrlPr>
                                <w:rPr>
                                  <w:rFonts w:ascii="Cambria Math" w:hAnsi="Cambria Math"/>
                                  <w:color w:val="000000"/>
                                </w:rPr>
                              </m:ctrlPr>
                            </m:accPr>
                            <m:e>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acc>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d>
                    </m:e>
                    <m:sup>
                      <m:r>
                        <w:rPr>
                          <w:rFonts w:ascii="Cambria Math" w:hAnsi="Cambria Math"/>
                          <w:color w:val="000000"/>
                        </w:rPr>
                        <m:t>2</m:t>
                      </m:r>
                    </m:sup>
                  </m:sSup>
                </m:e>
              </m:nary>
            </m:e>
          </m:rad>
        </m:oMath>
      </m:oMathPara>
    </w:p>
    <w:p>
      <w:pPr>
        <w:spacing w:line="480" w:lineRule="auto" w:before="0" w:after="0"/>
        <w:ind w:firstLine="720"/>
        <w:jc w:val="both"/>
      </w:pPr>
      <w:r>
        <w:rPr>
          <w:rFonts w:ascii="Times New Roman" w:hAnsi="Times New Roman"/>
          <w:color w:val="000000"/>
          <w:sz w:val="24"/>
        </w:rPr>
        <w:t>where the forecast error is evaluated over out-of-sample weekly test steps. At weekly sampling horizons, equity return series are dominated by high-frequency, zero-mean unobserved news noise. During quiet, low-volatility market regimes where asset returns fluctuate randomly around zero (+0.4%, -0.2%, +0.1%), a static forecast equal to the historical sample mean (with a constant forecasted weekly return of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ind w:firstLine="720"/>
        <w:jc w:val="both"/>
      </w:pPr>
      <w:r>
        <w:rPr>
          <w:rFonts w:ascii="Times New Roman" w:hAnsi="Times New Roman"/>
          <w:color w:val="000000"/>
          <w:sz w:val="24"/>
        </w:rPr>
        <w:t>2. Cross-Sectional Ranking vs. Point Prediction: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ind w:firstLine="720"/>
        <w:jc w:val="both"/>
      </w:pPr>
      <w:r>
        <w:rPr>
          <w:rFonts w:ascii="Times New Roman" w:hAnsi="Times New Roman"/>
          <w:color w:val="000000"/>
          <w:sz w:val="24"/>
        </w:rPr>
        <w:t>3. Technical Indicator Dynamics and Parity with Historical Means: Tree-based machine learning ensembles (Random Forest and XGBoost) extract non-linear cross-sectional signals from technical indicators. Feature importance analysis (Section 4.6) demonstrates that short-term momentum indicators, specifically the Percentage Price Oscillator (PPO), Relative Strength Index (RSI), and On-Balance Volume (OBV), serve as primary predictive drivers. However, contrary to the hypothesis that dynamic return rankings would generate a superior portfolio edge, downstream optimization reveals that this technical signal does not significantly improve portfolio outcomes over static historical means: XGB-CVaR and Historical-CVaR achieve statistically indistinguishable gross Sharpe ratios (difference +0.02, q = 0.591).</w:t>
      </w:r>
    </w:p>
    <w:p>
      <w:pPr>
        <w:spacing w:line="480" w:lineRule="auto" w:before="0" w:after="0"/>
        <w:ind w:firstLine="720"/>
        <w:jc w:val="both"/>
      </w:pPr>
      <w:r>
        <w:rPr>
          <w:rFonts w:ascii="Times New Roman" w:hAnsi="Times New Roman"/>
          <w:color w:val="000000"/>
          <w:sz w:val="24"/>
        </w:rPr>
        <w:t>4. Tail-Risk Mitigation and Convex Optimization: When these dynamic expected return vectors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Sharpe outperformance over passive indexing that is statistically significant at the unadjusted level (Ledoit-Wolf circular block bootstrap p = 0.015) but marginal after Benjamini–Hochberg False Discovery Rate correction for 18 simultaneous comparisons (q = 0.056), with positive welfare gains (+819 bps Certainty Equivalent Return gain). Crucially, when transaction costs are introduced, the CVaR optimization structure itself delivers the robustly significant result: under institutional fees, active XGB-CVaR is significantly outperformed by low-turnover Historical-CVaR (Sharpe diff -0.25, FDR q = 0.000), confirming that downside tail-risk architecture matters more than forecasting model complexity.</w:t>
      </w:r>
    </w:p>
    <w:p>
      <w:pPr>
        <w:spacing w:line="480" w:lineRule="auto" w:before="0" w:after="0"/>
        <w:ind w:firstLine="720"/>
        <w:jc w:val="both"/>
      </w:pPr>
      <w:r>
        <w:rPr>
          <w:rFonts w:ascii="Times New Roman" w:hAnsi="Times New Roman"/>
          <w:color w:val="000000"/>
          <w:sz w:val="24"/>
        </w:rPr>
        <w:t>Consistent with the Diebold–Mariano results, the machine learning forecasts do not add statistically significant value at the portfolio level: XGB-CVaR and Historical-CVaR, which share the same optimizer and differ only in their return inputs, have statistically indistinguishable gross Sharpe ratios (difference +0.02, q = 0.591). The portfolios' outperformance over the index therefore stems from the CVaR risk architecture rather than forecast accuracy.</w:t>
      </w:r>
    </w:p>
    <w:p>
      <w:pPr>
        <w:keepNext/>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ind w:firstLine="72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keepNext/>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4.2: Feature Importance Breakdown across Technical Indicators</w:t>
      </w:r>
    </w:p>
    <w:p>
      <w:pPr>
        <w:keepNext/>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ind w:firstLine="72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portfolio performance. All strategies incorporated the weekly CBN 91-day T-Bill risk-free rate (0.319% / 18.00% annualized).</w:t>
      </w:r>
    </w:p>
    <w:p>
      <w:pPr>
        <w:keepNext/>
        <w:spacing w:line="276" w:lineRule="auto" w:before="160" w:after="40"/>
        <w:jc w:val="left"/>
      </w:pPr>
      <w:r>
        <w:rPr>
          <w:rFonts w:ascii="Times New Roman" w:hAnsi="Times New Roman"/>
          <w:b/>
          <w:color w:val="000000"/>
          <w:sz w:val="22"/>
        </w:rPr>
        <w:t>Table 4.4: Out-of-Sample Portfolio Performance with 1.50% Retail Transaction Fees &amp; Market Slippage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35.37%</w:t>
            </w:r>
          </w:p>
        </w:tc>
        <w:tc>
          <w:tcPr>
            <w:tcW w:type="dxa" w:w="1170"/>
          </w:tcPr>
          <w:p>
            <w:pPr>
              <w:spacing w:line="240" w:lineRule="auto" w:before="0" w:after="0"/>
              <w:jc w:val="center"/>
            </w:pPr>
            <w:r>
              <w:rPr>
                <w:rFonts w:ascii="Times New Roman" w:hAnsi="Times New Roman"/>
                <w:color w:val="000000"/>
                <w:sz w:val="18"/>
              </w:rPr>
              <w:t>16.17%</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1.99</w:t>
            </w:r>
          </w:p>
        </w:tc>
        <w:tc>
          <w:tcPr>
            <w:tcW w:type="dxa" w:w="1170"/>
          </w:tcPr>
          <w:p>
            <w:pPr>
              <w:spacing w:line="240" w:lineRule="auto" w:before="0" w:after="0"/>
              <w:jc w:val="center"/>
            </w:pPr>
            <w:r>
              <w:rPr>
                <w:rFonts w:ascii="Times New Roman" w:hAnsi="Times New Roman"/>
                <w:color w:val="000000"/>
                <w:sz w:val="18"/>
              </w:rPr>
              <w:t>-2.25%</w:t>
            </w:r>
          </w:p>
        </w:tc>
        <w:tc>
          <w:tcPr>
            <w:tcW w:type="dxa" w:w="1170"/>
          </w:tcPr>
          <w:p>
            <w:pPr>
              <w:spacing w:line="240" w:lineRule="auto" w:before="0" w:after="0"/>
              <w:jc w:val="center"/>
            </w:pPr>
            <w:r>
              <w:rPr>
                <w:rFonts w:ascii="Times New Roman" w:hAnsi="Times New Roman"/>
                <w:color w:val="000000"/>
                <w:sz w:val="18"/>
              </w:rPr>
              <w:t>-3.05%</w:t>
            </w:r>
          </w:p>
        </w:tc>
        <w:tc>
          <w:tcPr>
            <w:tcW w:type="dxa" w:w="1170"/>
          </w:tcPr>
          <w:p>
            <w:pPr>
              <w:spacing w:line="240" w:lineRule="auto" w:before="0" w:after="0"/>
              <w:jc w:val="center"/>
            </w:pPr>
            <w:r>
              <w:rPr>
                <w:rFonts w:ascii="Times New Roman" w:hAnsi="Times New Roman"/>
                <w:color w:val="000000"/>
                <w:sz w:val="18"/>
              </w:rPr>
              <w:t>-23.01%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33.42%</w:t>
            </w:r>
          </w:p>
        </w:tc>
        <w:tc>
          <w:tcPr>
            <w:tcW w:type="dxa" w:w="1170"/>
          </w:tcPr>
          <w:p>
            <w:pPr>
              <w:spacing w:line="240" w:lineRule="auto" w:before="0" w:after="0"/>
              <w:jc w:val="center"/>
            </w:pPr>
            <w:r>
              <w:rPr>
                <w:rFonts w:ascii="Times New Roman" w:hAnsi="Times New Roman"/>
                <w:color w:val="000000"/>
                <w:sz w:val="18"/>
              </w:rPr>
              <w:t>15.98%</w:t>
            </w:r>
          </w:p>
        </w:tc>
        <w:tc>
          <w:tcPr>
            <w:tcW w:type="dxa" w:w="1170"/>
          </w:tcPr>
          <w:p>
            <w:pPr>
              <w:spacing w:line="240" w:lineRule="auto" w:before="0" w:after="0"/>
              <w:jc w:val="center"/>
            </w:pPr>
            <w:r>
              <w:rPr>
                <w:rFonts w:ascii="Times New Roman" w:hAnsi="Times New Roman"/>
                <w:color w:val="000000"/>
                <w:sz w:val="18"/>
              </w:rPr>
              <w:t>0.96</w:t>
            </w:r>
          </w:p>
        </w:tc>
        <w:tc>
          <w:tcPr>
            <w:tcW w:type="dxa" w:w="1170"/>
          </w:tcPr>
          <w:p>
            <w:pPr>
              <w:spacing w:line="240" w:lineRule="auto" w:before="0" w:after="0"/>
              <w:jc w:val="center"/>
            </w:pPr>
            <w:r>
              <w:rPr>
                <w:rFonts w:ascii="Times New Roman" w:hAnsi="Times New Roman"/>
                <w:color w:val="000000"/>
                <w:sz w:val="18"/>
              </w:rPr>
              <w:t>1.75</w:t>
            </w:r>
          </w:p>
        </w:tc>
        <w:tc>
          <w:tcPr>
            <w:tcW w:type="dxa" w:w="1170"/>
          </w:tcPr>
          <w:p>
            <w:pPr>
              <w:spacing w:line="240" w:lineRule="auto" w:before="0" w:after="0"/>
              <w:jc w:val="center"/>
            </w:pPr>
            <w:r>
              <w:rPr>
                <w:rFonts w:ascii="Times New Roman" w:hAnsi="Times New Roman"/>
                <w:color w:val="000000"/>
                <w:sz w:val="18"/>
              </w:rPr>
              <w:t>-2.47%</w:t>
            </w:r>
          </w:p>
        </w:tc>
        <w:tc>
          <w:tcPr>
            <w:tcW w:type="dxa" w:w="1170"/>
          </w:tcPr>
          <w:p>
            <w:pPr>
              <w:spacing w:line="240" w:lineRule="auto" w:before="0" w:after="0"/>
              <w:jc w:val="center"/>
            </w:pPr>
            <w:r>
              <w:rPr>
                <w:rFonts w:ascii="Times New Roman" w:hAnsi="Times New Roman"/>
                <w:color w:val="000000"/>
                <w:sz w:val="18"/>
              </w:rPr>
              <w:t>-3.10%</w:t>
            </w:r>
          </w:p>
        </w:tc>
        <w:tc>
          <w:tcPr>
            <w:tcW w:type="dxa" w:w="1170"/>
          </w:tcPr>
          <w:p>
            <w:pPr>
              <w:spacing w:line="240" w:lineRule="auto" w:before="0" w:after="0"/>
              <w:jc w:val="center"/>
            </w:pPr>
            <w:r>
              <w:rPr>
                <w:rFonts w:ascii="Times New Roman" w:hAnsi="Times New Roman"/>
                <w:color w:val="000000"/>
                <w:sz w:val="18"/>
              </w:rPr>
              <w:t>-25.12%</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41.97%</w:t>
            </w:r>
          </w:p>
        </w:tc>
        <w:tc>
          <w:tcPr>
            <w:tcW w:type="dxa" w:w="1170"/>
          </w:tcPr>
          <w:p>
            <w:pPr>
              <w:spacing w:line="240" w:lineRule="auto" w:before="0" w:after="0"/>
              <w:jc w:val="center"/>
            </w:pPr>
            <w:r>
              <w:rPr>
                <w:rFonts w:ascii="Times New Roman" w:hAnsi="Times New Roman"/>
                <w:color w:val="000000"/>
                <w:sz w:val="18"/>
              </w:rPr>
              <w:t>16.15%</w:t>
            </w:r>
          </w:p>
        </w:tc>
        <w:tc>
          <w:tcPr>
            <w:tcW w:type="dxa" w:w="1170"/>
          </w:tcPr>
          <w:p>
            <w:pPr>
              <w:spacing w:line="240" w:lineRule="auto" w:before="0" w:after="0"/>
              <w:jc w:val="center"/>
            </w:pPr>
            <w:r>
              <w:rPr>
                <w:rFonts w:ascii="Times New Roman" w:hAnsi="Times New Roman"/>
                <w:color w:val="000000"/>
                <w:sz w:val="18"/>
              </w:rPr>
              <w:t>1.48</w:t>
            </w:r>
          </w:p>
        </w:tc>
        <w:tc>
          <w:tcPr>
            <w:tcW w:type="dxa" w:w="1170"/>
          </w:tcPr>
          <w:p>
            <w:pPr>
              <w:spacing w:line="240" w:lineRule="auto" w:before="0" w:after="0"/>
              <w:jc w:val="center"/>
            </w:pPr>
            <w:r>
              <w:rPr>
                <w:rFonts w:ascii="Times New Roman" w:hAnsi="Times New Roman"/>
                <w:color w:val="000000"/>
                <w:sz w:val="18"/>
              </w:rPr>
              <w:t>3.00</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-20.48%</w:t>
            </w:r>
          </w:p>
        </w:tc>
        <w:tc>
          <w:tcPr>
            <w:tcW w:type="dxa" w:w="1170"/>
          </w:tcPr>
          <w:p>
            <w:pPr>
              <w:spacing w:line="240" w:lineRule="auto" w:before="0" w:after="0"/>
              <w:jc w:val="center"/>
            </w:pPr>
            <w:r>
              <w:rPr>
                <w:rFonts w:ascii="Times New Roman" w:hAnsi="Times New Roman"/>
                <w:color w:val="000000"/>
                <w:sz w:val="18"/>
              </w:rPr>
              <w:t>53.92%</w:t>
            </w:r>
          </w:p>
        </w:tc>
        <w:tc>
          <w:tcPr>
            <w:tcW w:type="dxa" w:w="1170"/>
          </w:tcPr>
          <w:p>
            <w:pPr>
              <w:spacing w:line="240" w:lineRule="auto" w:before="0" w:after="0"/>
              <w:jc w:val="center"/>
            </w:pPr>
            <w:r>
              <w:rPr>
                <w:rFonts w:ascii="Times New Roman" w:hAnsi="Times New Roman"/>
                <w:color w:val="000000"/>
                <w:sz w:val="18"/>
              </w:rPr>
              <w:t>-0.71</w:t>
            </w:r>
          </w:p>
        </w:tc>
        <w:tc>
          <w:tcPr>
            <w:tcW w:type="dxa" w:w="1170"/>
          </w:tcPr>
          <w:p>
            <w:pPr>
              <w:spacing w:line="240" w:lineRule="auto" w:before="0" w:after="0"/>
              <w:jc w:val="center"/>
            </w:pPr>
            <w:r>
              <w:rPr>
                <w:rFonts w:ascii="Times New Roman" w:hAnsi="Times New Roman"/>
                <w:color w:val="000000"/>
                <w:sz w:val="18"/>
              </w:rPr>
              <w:t>-1.02</w:t>
            </w:r>
          </w:p>
        </w:tc>
        <w:tc>
          <w:tcPr>
            <w:tcW w:type="dxa" w:w="1170"/>
          </w:tcPr>
          <w:p>
            <w:pPr>
              <w:spacing w:line="240" w:lineRule="auto" w:before="0" w:after="0"/>
              <w:jc w:val="center"/>
            </w:pPr>
            <w:r>
              <w:rPr>
                <w:rFonts w:ascii="Times New Roman" w:hAnsi="Times New Roman"/>
                <w:color w:val="000000"/>
                <w:sz w:val="18"/>
              </w:rPr>
              <w:t>-10.85%</w:t>
            </w:r>
          </w:p>
        </w:tc>
        <w:tc>
          <w:tcPr>
            <w:tcW w:type="dxa" w:w="1170"/>
          </w:tcPr>
          <w:p>
            <w:pPr>
              <w:spacing w:line="240" w:lineRule="auto" w:before="0" w:after="0"/>
              <w:jc w:val="center"/>
            </w:pPr>
            <w:r>
              <w:rPr>
                <w:rFonts w:ascii="Times New Roman" w:hAnsi="Times New Roman"/>
                <w:color w:val="000000"/>
                <w:sz w:val="18"/>
              </w:rPr>
              <w:t>-17.16%</w:t>
            </w:r>
          </w:p>
        </w:tc>
        <w:tc>
          <w:tcPr>
            <w:tcW w:type="dxa" w:w="1170"/>
          </w:tcPr>
          <w:p>
            <w:pPr>
              <w:spacing w:line="240" w:lineRule="auto" w:before="0" w:after="0"/>
              <w:jc w:val="center"/>
            </w:pPr>
            <w:r>
              <w:rPr>
                <w:rFonts w:ascii="Times New Roman" w:hAnsi="Times New Roman"/>
                <w:color w:val="000000"/>
                <w:sz w:val="18"/>
              </w:rPr>
              <w:t>-86.38%</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37.27%</w:t>
            </w:r>
          </w:p>
        </w:tc>
        <w:tc>
          <w:tcPr>
            <w:tcW w:type="dxa" w:w="1170"/>
          </w:tcPr>
          <w:p>
            <w:pPr>
              <w:spacing w:line="240" w:lineRule="auto" w:before="0" w:after="0"/>
              <w:jc w:val="center"/>
            </w:pPr>
            <w:r>
              <w:rPr>
                <w:rFonts w:ascii="Times New Roman" w:hAnsi="Times New Roman"/>
                <w:color w:val="000000"/>
                <w:sz w:val="18"/>
              </w:rPr>
              <w:t>18.27%</w:t>
            </w:r>
          </w:p>
        </w:tc>
        <w:tc>
          <w:tcPr>
            <w:tcW w:type="dxa" w:w="1170"/>
          </w:tcPr>
          <w:p>
            <w:pPr>
              <w:spacing w:line="240" w:lineRule="auto" w:before="0" w:after="0"/>
              <w:jc w:val="center"/>
            </w:pPr>
            <w:r>
              <w:rPr>
                <w:rFonts w:ascii="Times New Roman" w:hAnsi="Times New Roman"/>
                <w:color w:val="000000"/>
                <w:sz w:val="18"/>
              </w:rPr>
              <w:t>1.05</w:t>
            </w:r>
          </w:p>
        </w:tc>
        <w:tc>
          <w:tcPr>
            <w:tcW w:type="dxa" w:w="1170"/>
          </w:tcPr>
          <w:p>
            <w:pPr>
              <w:spacing w:line="240" w:lineRule="auto" w:before="0" w:after="0"/>
              <w:jc w:val="center"/>
            </w:pPr>
            <w:r>
              <w:rPr>
                <w:rFonts w:ascii="Times New Roman" w:hAnsi="Times New Roman"/>
                <w:color w:val="000000"/>
                <w:sz w:val="18"/>
              </w:rPr>
              <w:t>1.81</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35.73%</w:t>
            </w:r>
          </w:p>
        </w:tc>
        <w:tc>
          <w:tcPr>
            <w:tcW w:type="dxa" w:w="1170"/>
          </w:tcPr>
          <w:p>
            <w:pPr>
              <w:spacing w:line="240" w:lineRule="auto" w:before="0" w:after="0"/>
              <w:jc w:val="center"/>
            </w:pPr>
            <w:r>
              <w:rPr>
                <w:rFonts w:ascii="Times New Roman" w:hAnsi="Times New Roman"/>
                <w:color w:val="000000"/>
                <w:sz w:val="18"/>
              </w:rPr>
              <w:t>19.75%</w:t>
            </w:r>
          </w:p>
        </w:tc>
        <w:tc>
          <w:tcPr>
            <w:tcW w:type="dxa" w:w="1170"/>
          </w:tcPr>
          <w:p>
            <w:pPr>
              <w:spacing w:line="240" w:lineRule="auto" w:before="0" w:after="0"/>
              <w:jc w:val="center"/>
            </w:pPr>
            <w:r>
              <w:rPr>
                <w:rFonts w:ascii="Times New Roman" w:hAnsi="Times New Roman"/>
                <w:color w:val="000000"/>
                <w:sz w:val="18"/>
              </w:rPr>
              <w:t>0.90</w:t>
            </w:r>
          </w:p>
        </w:tc>
        <w:tc>
          <w:tcPr>
            <w:tcW w:type="dxa" w:w="1170"/>
          </w:tcPr>
          <w:p>
            <w:pPr>
              <w:spacing w:line="240" w:lineRule="auto" w:before="0" w:after="0"/>
              <w:jc w:val="center"/>
            </w:pPr>
            <w:r>
              <w:rPr>
                <w:rFonts w:ascii="Times New Roman" w:hAnsi="Times New Roman"/>
                <w:color w:val="000000"/>
                <w:sz w:val="18"/>
              </w:rPr>
              <w:t>1.53</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using 18.00% annual (0.319% weekly) CBN 91-day T-bill risk-free rate; Sortino = Sortino Ratio (Sortino &amp; Price, 1994); VaR 95% = 95% Value-at-Risk; CVaR 95% = 95% Conditional Value-at-Risk; Max DD (%) = Maximum Peak-to-Trough Drawdown. Evaluated under 1.50% (150 bps) retail transaction fee and execution slippage.</w:t>
      </w:r>
    </w:p>
    <w:p>
      <w:pPr>
        <w:keepNext/>
        <w:spacing w:line="276" w:lineRule="auto" w:before="160" w:after="40"/>
        <w:jc w:val="left"/>
      </w:pPr>
      <w:r>
        <w:rPr>
          <w:rFonts w:ascii="Times New Roman" w:hAnsi="Times New Roman"/>
          <w:b/>
          <w:color w:val="000000"/>
          <w:sz w:val="22"/>
        </w:rPr>
        <w:t>Table 4.5: Out-of-Sample Portfolio Performance under Zero Transaction Fees (Gross Performance - 0.00%)</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41.29%</w:t>
            </w:r>
          </w:p>
        </w:tc>
        <w:tc>
          <w:tcPr>
            <w:tcW w:type="dxa" w:w="1170"/>
          </w:tcPr>
          <w:p>
            <w:pPr>
              <w:spacing w:line="240" w:lineRule="auto" w:before="0" w:after="0"/>
              <w:jc w:val="center"/>
            </w:pPr>
            <w:r>
              <w:rPr>
                <w:rFonts w:ascii="Times New Roman" w:hAnsi="Times New Roman"/>
                <w:color w:val="000000"/>
                <w:sz w:val="18"/>
              </w:rPr>
              <w:t>16.05%</w:t>
            </w:r>
          </w:p>
        </w:tc>
        <w:tc>
          <w:tcPr>
            <w:tcW w:type="dxa" w:w="1170"/>
          </w:tcPr>
          <w:p>
            <w:pPr>
              <w:spacing w:line="240" w:lineRule="auto" w:before="0" w:after="0"/>
              <w:jc w:val="center"/>
            </w:pPr>
            <w:r>
              <w:rPr>
                <w:rFonts w:ascii="Times New Roman" w:hAnsi="Times New Roman"/>
                <w:color w:val="000000"/>
                <w:sz w:val="18"/>
              </w:rPr>
              <w:t>1.45</w:t>
            </w:r>
          </w:p>
        </w:tc>
        <w:tc>
          <w:tcPr>
            <w:tcW w:type="dxa" w:w="1170"/>
          </w:tcPr>
          <w:p>
            <w:pPr>
              <w:spacing w:line="240" w:lineRule="auto" w:before="0" w:after="0"/>
              <w:jc w:val="center"/>
            </w:pPr>
            <w:r>
              <w:rPr>
                <w:rFonts w:ascii="Times New Roman" w:hAnsi="Times New Roman"/>
                <w:color w:val="000000"/>
                <w:sz w:val="18"/>
              </w:rPr>
              <w:t>2.87</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-2.78%</w:t>
            </w:r>
          </w:p>
        </w:tc>
        <w:tc>
          <w:tcPr>
            <w:tcW w:type="dxa" w:w="1170"/>
          </w:tcPr>
          <w:p>
            <w:pPr>
              <w:spacing w:line="240" w:lineRule="auto" w:before="0" w:after="0"/>
              <w:jc w:val="center"/>
            </w:pPr>
            <w:r>
              <w:rPr>
                <w:rFonts w:ascii="Times New Roman" w:hAnsi="Times New Roman"/>
                <w:color w:val="000000"/>
                <w:sz w:val="18"/>
              </w:rPr>
              <w:t>-22.01%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42.00%</w:t>
            </w:r>
          </w:p>
        </w:tc>
        <w:tc>
          <w:tcPr>
            <w:tcW w:type="dxa" w:w="1170"/>
          </w:tcPr>
          <w:p>
            <w:pPr>
              <w:spacing w:line="240" w:lineRule="auto" w:before="0" w:after="0"/>
              <w:jc w:val="center"/>
            </w:pPr>
            <w:r>
              <w:rPr>
                <w:rFonts w:ascii="Times New Roman" w:hAnsi="Times New Roman"/>
                <w:color w:val="000000"/>
                <w:sz w:val="18"/>
              </w:rPr>
              <w:t>15.75%</w:t>
            </w:r>
          </w:p>
        </w:tc>
        <w:tc>
          <w:tcPr>
            <w:tcW w:type="dxa" w:w="1170"/>
          </w:tcPr>
          <w:p>
            <w:pPr>
              <w:spacing w:line="240" w:lineRule="auto" w:before="0" w:after="0"/>
              <w:jc w:val="center"/>
            </w:pPr>
            <w:r>
              <w:rPr>
                <w:rFonts w:ascii="Times New Roman" w:hAnsi="Times New Roman"/>
                <w:color w:val="000000"/>
                <w:sz w:val="18"/>
              </w:rPr>
              <w:t>1.52</w:t>
            </w:r>
          </w:p>
        </w:tc>
        <w:tc>
          <w:tcPr>
            <w:tcW w:type="dxa" w:w="1170"/>
          </w:tcPr>
          <w:p>
            <w:pPr>
              <w:spacing w:line="240" w:lineRule="auto" w:before="0" w:after="0"/>
              <w:jc w:val="center"/>
            </w:pPr>
            <w:r>
              <w:rPr>
                <w:rFonts w:ascii="Times New Roman" w:hAnsi="Times New Roman"/>
                <w:color w:val="000000"/>
                <w:sz w:val="18"/>
              </w:rPr>
              <w:t>3.06</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-2.58%</w:t>
            </w:r>
          </w:p>
        </w:tc>
        <w:tc>
          <w:tcPr>
            <w:tcW w:type="dxa" w:w="1170"/>
          </w:tcPr>
          <w:p>
            <w:pPr>
              <w:spacing w:line="240" w:lineRule="auto" w:before="0" w:after="0"/>
              <w:jc w:val="center"/>
            </w:pPr>
            <w:r>
              <w:rPr>
                <w:rFonts w:ascii="Times New Roman" w:hAnsi="Times New Roman"/>
                <w:color w:val="000000"/>
                <w:sz w:val="18"/>
              </w:rPr>
              <w:t>-22.09%</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42.27%</w:t>
            </w:r>
          </w:p>
        </w:tc>
        <w:tc>
          <w:tcPr>
            <w:tcW w:type="dxa" w:w="1170"/>
          </w:tcPr>
          <w:p>
            <w:pPr>
              <w:spacing w:line="240" w:lineRule="auto" w:before="0" w:after="0"/>
              <w:jc w:val="center"/>
            </w:pPr>
            <w:r>
              <w:rPr>
                <w:rFonts w:ascii="Times New Roman" w:hAnsi="Times New Roman"/>
                <w:color w:val="000000"/>
                <w:sz w:val="18"/>
              </w:rPr>
              <w:t>16.16%</w:t>
            </w:r>
          </w:p>
        </w:tc>
        <w:tc>
          <w:tcPr>
            <w:tcW w:type="dxa" w:w="1170"/>
          </w:tcPr>
          <w:p>
            <w:pPr>
              <w:spacing w:line="240" w:lineRule="auto" w:before="0" w:after="0"/>
              <w:jc w:val="center"/>
            </w:pPr>
            <w:r>
              <w:rPr>
                <w:rFonts w:ascii="Times New Roman" w:hAnsi="Times New Roman"/>
                <w:color w:val="000000"/>
                <w:sz w:val="18"/>
              </w:rPr>
              <w:t>1.50</w:t>
            </w:r>
          </w:p>
        </w:tc>
        <w:tc>
          <w:tcPr>
            <w:tcW w:type="dxa" w:w="1170"/>
          </w:tcPr>
          <w:p>
            <w:pPr>
              <w:spacing w:line="240" w:lineRule="auto" w:before="0" w:after="0"/>
              <w:jc w:val="center"/>
            </w:pPr>
            <w:r>
              <w:rPr>
                <w:rFonts w:ascii="Times New Roman" w:hAnsi="Times New Roman"/>
                <w:color w:val="000000"/>
                <w:sz w:val="18"/>
              </w:rPr>
              <w:t>3.04</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56.97%</w:t>
            </w:r>
          </w:p>
        </w:tc>
        <w:tc>
          <w:tcPr>
            <w:tcW w:type="dxa" w:w="1170"/>
          </w:tcPr>
          <w:p>
            <w:pPr>
              <w:spacing w:line="240" w:lineRule="auto" w:before="0" w:after="0"/>
              <w:jc w:val="center"/>
            </w:pPr>
            <w:r>
              <w:rPr>
                <w:rFonts w:ascii="Times New Roman" w:hAnsi="Times New Roman"/>
                <w:color w:val="000000"/>
                <w:sz w:val="18"/>
              </w:rPr>
              <w:t>54.18%</w:t>
            </w:r>
          </w:p>
        </w:tc>
        <w:tc>
          <w:tcPr>
            <w:tcW w:type="dxa" w:w="1170"/>
          </w:tcPr>
          <w:p>
            <w:pPr>
              <w:spacing w:line="240" w:lineRule="auto" w:before="0" w:after="0"/>
              <w:jc w:val="center"/>
            </w:pPr>
            <w:r>
              <w:rPr>
                <w:rFonts w:ascii="Times New Roman" w:hAnsi="Times New Roman"/>
                <w:color w:val="000000"/>
                <w:sz w:val="18"/>
              </w:rPr>
              <w:t>0.72</w:t>
            </w:r>
          </w:p>
        </w:tc>
        <w:tc>
          <w:tcPr>
            <w:tcW w:type="dxa" w:w="1170"/>
          </w:tcPr>
          <w:p>
            <w:pPr>
              <w:spacing w:line="240" w:lineRule="auto" w:before="0" w:after="0"/>
              <w:jc w:val="center"/>
            </w:pPr>
            <w:r>
              <w:rPr>
                <w:rFonts w:ascii="Times New Roman" w:hAnsi="Times New Roman"/>
                <w:color w:val="000000"/>
                <w:sz w:val="18"/>
              </w:rPr>
              <w:t>1.25</w:t>
            </w:r>
          </w:p>
        </w:tc>
        <w:tc>
          <w:tcPr>
            <w:tcW w:type="dxa" w:w="1170"/>
          </w:tcPr>
          <w:p>
            <w:pPr>
              <w:spacing w:line="240" w:lineRule="auto" w:before="0" w:after="0"/>
              <w:jc w:val="center"/>
            </w:pPr>
            <w:r>
              <w:rPr>
                <w:rFonts w:ascii="Times New Roman" w:hAnsi="Times New Roman"/>
                <w:color w:val="000000"/>
                <w:sz w:val="18"/>
              </w:rPr>
              <w:t>-8.83%</w:t>
            </w:r>
          </w:p>
        </w:tc>
        <w:tc>
          <w:tcPr>
            <w:tcW w:type="dxa" w:w="1170"/>
          </w:tcPr>
          <w:p>
            <w:pPr>
              <w:spacing w:line="240" w:lineRule="auto" w:before="0" w:after="0"/>
              <w:jc w:val="center"/>
            </w:pPr>
            <w:r>
              <w:rPr>
                <w:rFonts w:ascii="Times New Roman" w:hAnsi="Times New Roman"/>
                <w:color w:val="000000"/>
                <w:sz w:val="18"/>
              </w:rPr>
              <w:t>-15.38%</w:t>
            </w:r>
          </w:p>
        </w:tc>
        <w:tc>
          <w:tcPr>
            <w:tcW w:type="dxa" w:w="1170"/>
          </w:tcPr>
          <w:p>
            <w:pPr>
              <w:spacing w:line="240" w:lineRule="auto" w:before="0" w:after="0"/>
              <w:jc w:val="center"/>
            </w:pPr>
            <w:r>
              <w:rPr>
                <w:rFonts w:ascii="Times New Roman" w:hAnsi="Times New Roman"/>
                <w:color w:val="000000"/>
                <w:sz w:val="18"/>
              </w:rPr>
              <w:t>-53.51%</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37.57%</w:t>
            </w:r>
          </w:p>
        </w:tc>
        <w:tc>
          <w:tcPr>
            <w:tcW w:type="dxa" w:w="1170"/>
          </w:tcPr>
          <w:p>
            <w:pPr>
              <w:spacing w:line="240" w:lineRule="auto" w:before="0" w:after="0"/>
              <w:jc w:val="center"/>
            </w:pPr>
            <w:r>
              <w:rPr>
                <w:rFonts w:ascii="Times New Roman" w:hAnsi="Times New Roman"/>
                <w:color w:val="000000"/>
                <w:sz w:val="18"/>
              </w:rPr>
              <w:t>18.31%</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1.84</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36.03%</w:t>
            </w:r>
          </w:p>
        </w:tc>
        <w:tc>
          <w:tcPr>
            <w:tcW w:type="dxa" w:w="1170"/>
          </w:tcPr>
          <w:p>
            <w:pPr>
              <w:spacing w:line="240" w:lineRule="auto" w:before="0" w:after="0"/>
              <w:jc w:val="center"/>
            </w:pPr>
            <w:r>
              <w:rPr>
                <w:rFonts w:ascii="Times New Roman" w:hAnsi="Times New Roman"/>
                <w:color w:val="000000"/>
                <w:sz w:val="18"/>
              </w:rPr>
              <w:t>19.79%</w:t>
            </w:r>
          </w:p>
        </w:tc>
        <w:tc>
          <w:tcPr>
            <w:tcW w:type="dxa" w:w="1170"/>
          </w:tcPr>
          <w:p>
            <w:pPr>
              <w:spacing w:line="240" w:lineRule="auto" w:before="0" w:after="0"/>
              <w:jc w:val="center"/>
            </w:pPr>
            <w:r>
              <w:rPr>
                <w:rFonts w:ascii="Times New Roman" w:hAnsi="Times New Roman"/>
                <w:color w:val="000000"/>
                <w:sz w:val="18"/>
              </w:rPr>
              <w:t>0.91</w:t>
            </w:r>
          </w:p>
        </w:tc>
        <w:tc>
          <w:tcPr>
            <w:tcW w:type="dxa" w:w="1170"/>
          </w:tcPr>
          <w:p>
            <w:pPr>
              <w:spacing w:line="240" w:lineRule="auto" w:before="0" w:after="0"/>
              <w:jc w:val="center"/>
            </w:pPr>
            <w:r>
              <w:rPr>
                <w:rFonts w:ascii="Times New Roman" w:hAnsi="Times New Roman"/>
                <w:color w:val="000000"/>
                <w:sz w:val="18"/>
              </w:rPr>
              <w:t>1.55</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Sortino = Sortino Ratio (Sortino &amp; Price, 1994); VaR 95% = 95% Value-at-Risk; CVaR 95% = 95% Conditional Value-at-Risk; Max DD (%) = Maximum Peak-to-Trough Drawdown. Gross performance evaluated under 0.00% transaction fee friction.</w:t>
      </w:r>
    </w:p>
    <w:p>
      <w:pPr>
        <w:keepNext/>
        <w:spacing w:line="276" w:lineRule="auto" w:before="160" w:after="40"/>
        <w:jc w:val="left"/>
      </w:pPr>
      <w:r>
        <w:rPr>
          <w:rFonts w:ascii="Times New Roman" w:hAnsi="Times New Roman"/>
          <w:b/>
          <w:color w:val="000000"/>
          <w:sz w:val="22"/>
        </w:rPr>
        <w:t>Table 4.5b: Out-of-Sample Portfolio Performance under 0.75% Institutional PFA Transaction Fees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Strategy</w:t>
            </w:r>
          </w:p>
        </w:tc>
        <w:tc>
          <w:tcPr>
            <w:tcW w:type="dxa" w:w="1040"/>
          </w:tcPr>
          <w:p>
            <w:pPr>
              <w:spacing w:line="240" w:lineRule="auto" w:before="0" w:after="0"/>
              <w:jc w:val="center"/>
            </w:pPr>
            <w:r>
              <w:rPr>
                <w:rFonts w:ascii="Times New Roman" w:hAnsi="Times New Roman"/>
                <w:b/>
                <w:color w:val="000000"/>
                <w:sz w:val="19"/>
              </w:rPr>
              <w:t>Ann. Return (%)</w:t>
            </w:r>
          </w:p>
        </w:tc>
        <w:tc>
          <w:tcPr>
            <w:tcW w:type="dxa" w:w="1040"/>
          </w:tcPr>
          <w:p>
            <w:pPr>
              <w:spacing w:line="240" w:lineRule="auto" w:before="0" w:after="0"/>
              <w:jc w:val="center"/>
            </w:pPr>
            <w:r>
              <w:rPr>
                <w:rFonts w:ascii="Times New Roman" w:hAnsi="Times New Roman"/>
                <w:b/>
                <w:color w:val="000000"/>
                <w:sz w:val="19"/>
              </w:rPr>
              <w:t>Ann. Vol (%)</w:t>
            </w:r>
          </w:p>
        </w:tc>
        <w:tc>
          <w:tcPr>
            <w:tcW w:type="dxa" w:w="1040"/>
          </w:tcPr>
          <w:p>
            <w:pPr>
              <w:spacing w:line="240" w:lineRule="auto" w:before="0" w:after="0"/>
              <w:jc w:val="center"/>
            </w:pPr>
            <w:r>
              <w:rPr>
                <w:rFonts w:ascii="Times New Roman" w:hAnsi="Times New Roman"/>
                <w:b/>
                <w:color w:val="000000"/>
                <w:sz w:val="19"/>
              </w:rPr>
              <w:t>Sharpe</w:t>
            </w:r>
          </w:p>
        </w:tc>
        <w:tc>
          <w:tcPr>
            <w:tcW w:type="dxa" w:w="1040"/>
          </w:tcPr>
          <w:p>
            <w:pPr>
              <w:spacing w:line="240" w:lineRule="auto" w:before="0" w:after="0"/>
              <w:jc w:val="center"/>
            </w:pPr>
            <w:r>
              <w:rPr>
                <w:rFonts w:ascii="Times New Roman" w:hAnsi="Times New Roman"/>
                <w:b/>
                <w:color w:val="000000"/>
                <w:sz w:val="19"/>
              </w:rPr>
              <w:t>Sortino</w:t>
            </w:r>
          </w:p>
        </w:tc>
        <w:tc>
          <w:tcPr>
            <w:tcW w:type="dxa" w:w="1040"/>
          </w:tcPr>
          <w:p>
            <w:pPr>
              <w:spacing w:line="240" w:lineRule="auto" w:before="0" w:after="0"/>
              <w:jc w:val="center"/>
            </w:pPr>
            <w:r>
              <w:rPr>
                <w:rFonts w:ascii="Times New Roman" w:hAnsi="Times New Roman"/>
                <w:b/>
                <w:color w:val="000000"/>
                <w:sz w:val="19"/>
              </w:rPr>
              <w:t>VaR 95%</w:t>
            </w:r>
          </w:p>
        </w:tc>
        <w:tc>
          <w:tcPr>
            <w:tcW w:type="dxa" w:w="1040"/>
          </w:tcPr>
          <w:p>
            <w:pPr>
              <w:spacing w:line="240" w:lineRule="auto" w:before="0" w:after="0"/>
              <w:jc w:val="center"/>
            </w:pPr>
            <w:r>
              <w:rPr>
                <w:rFonts w:ascii="Times New Roman" w:hAnsi="Times New Roman"/>
                <w:b/>
                <w:color w:val="000000"/>
                <w:sz w:val="19"/>
              </w:rPr>
              <w:t>CVaR 95%</w:t>
            </w:r>
          </w:p>
        </w:tc>
        <w:tc>
          <w:tcPr>
            <w:tcW w:type="dxa" w:w="1040"/>
          </w:tcPr>
          <w:p>
            <w:pPr>
              <w:spacing w:line="240" w:lineRule="auto" w:before="0" w:after="0"/>
              <w:jc w:val="center"/>
            </w:pPr>
            <w:r>
              <w:rPr>
                <w:rFonts w:ascii="Times New Roman" w:hAnsi="Times New Roman"/>
                <w:b/>
                <w:color w:val="000000"/>
                <w:sz w:val="19"/>
              </w:rPr>
              <w:t>Max DD (%)</w:t>
            </w:r>
          </w:p>
        </w:tc>
        <w:tc>
          <w:tcPr>
            <w:tcW w:type="dxa" w:w="1040"/>
          </w:tcPr>
          <w:p>
            <w:pPr>
              <w:spacing w:line="240" w:lineRule="auto" w:before="0" w:after="0"/>
              <w:jc w:val="center"/>
            </w:pPr>
            <w:r>
              <w:rPr>
                <w:rFonts w:ascii="Times New Roman" w:hAnsi="Times New Roman"/>
                <w:b/>
                <w:color w:val="000000"/>
                <w:sz w:val="19"/>
              </w:rPr>
              <w:t>Wk Turnover (%)</w:t>
            </w:r>
          </w:p>
        </w:tc>
      </w:tr>
      <w:tr>
        <w:trPr>
          <w:cantSplit/>
        </w:trPr>
        <w:tc>
          <w:tcPr>
            <w:tcW w:type="dxa" w:w="1040"/>
          </w:tcPr>
          <w:p>
            <w:pPr>
              <w:spacing w:line="240" w:lineRule="auto" w:before="0" w:after="0"/>
              <w:jc w:val="center"/>
            </w:pPr>
            <w:r>
              <w:rPr>
                <w:rFonts w:ascii="Times New Roman" w:hAnsi="Times New Roman"/>
                <w:color w:val="000000"/>
                <w:sz w:val="18"/>
              </w:rPr>
              <w:t>RF-CVaR</w:t>
            </w:r>
          </w:p>
        </w:tc>
        <w:tc>
          <w:tcPr>
            <w:tcW w:type="dxa" w:w="1040"/>
          </w:tcPr>
          <w:p>
            <w:pPr>
              <w:spacing w:line="240" w:lineRule="auto" w:before="0" w:after="0"/>
              <w:jc w:val="center"/>
            </w:pPr>
            <w:r>
              <w:rPr>
                <w:rFonts w:ascii="Times New Roman" w:hAnsi="Times New Roman"/>
                <w:color w:val="000000"/>
                <w:sz w:val="18"/>
              </w:rPr>
              <w:t>38.33%</w:t>
            </w:r>
          </w:p>
        </w:tc>
        <w:tc>
          <w:tcPr>
            <w:tcW w:type="dxa" w:w="1040"/>
          </w:tcPr>
          <w:p>
            <w:pPr>
              <w:spacing w:line="240" w:lineRule="auto" w:before="0" w:after="0"/>
              <w:jc w:val="center"/>
            </w:pPr>
            <w:r>
              <w:rPr>
                <w:rFonts w:ascii="Times New Roman" w:hAnsi="Times New Roman"/>
                <w:color w:val="000000"/>
                <w:sz w:val="18"/>
              </w:rPr>
              <w:t>16.09%</w:t>
            </w:r>
          </w:p>
        </w:tc>
        <w:tc>
          <w:tcPr>
            <w:tcW w:type="dxa" w:w="1040"/>
          </w:tcPr>
          <w:p>
            <w:pPr>
              <w:spacing w:line="240" w:lineRule="auto" w:before="0" w:after="0"/>
              <w:jc w:val="center"/>
            </w:pPr>
            <w:r>
              <w:rPr>
                <w:rFonts w:ascii="Times New Roman" w:hAnsi="Times New Roman"/>
                <w:color w:val="000000"/>
                <w:sz w:val="18"/>
              </w:rPr>
              <w:t>1.26</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-2.20%</w:t>
            </w:r>
          </w:p>
        </w:tc>
        <w:tc>
          <w:tcPr>
            <w:tcW w:type="dxa" w:w="1040"/>
          </w:tcPr>
          <w:p>
            <w:pPr>
              <w:spacing w:line="240" w:lineRule="auto" w:before="0" w:after="0"/>
              <w:jc w:val="center"/>
            </w:pPr>
            <w:r>
              <w:rPr>
                <w:rFonts w:ascii="Times New Roman" w:hAnsi="Times New Roman"/>
                <w:color w:val="000000"/>
                <w:sz w:val="18"/>
              </w:rPr>
              <w:t>-2.93%</w:t>
            </w:r>
          </w:p>
        </w:tc>
        <w:tc>
          <w:tcPr>
            <w:tcW w:type="dxa" w:w="1040"/>
          </w:tcPr>
          <w:p>
            <w:pPr>
              <w:spacing w:line="240" w:lineRule="auto" w:before="0" w:after="0"/>
              <w:jc w:val="center"/>
            </w:pPr>
            <w:r>
              <w:rPr>
                <w:rFonts w:ascii="Times New Roman" w:hAnsi="Times New Roman"/>
                <w:color w:val="000000"/>
                <w:sz w:val="18"/>
              </w:rPr>
              <w:t>-22.38%</w:t>
            </w:r>
          </w:p>
        </w:tc>
        <w:tc>
          <w:tcPr>
            <w:tcW w:type="dxa" w:w="1040"/>
          </w:tcPr>
          <w:p>
            <w:pPr>
              <w:spacing w:line="240" w:lineRule="auto" w:before="0" w:after="0"/>
              <w:jc w:val="center"/>
            </w:pPr>
            <w:r>
              <w:rPr>
                <w:rFonts w:ascii="Times New Roman" w:hAnsi="Times New Roman"/>
                <w:color w:val="000000"/>
                <w:sz w:val="18"/>
              </w:rPr>
              <w:t>7.59%</w:t>
            </w:r>
          </w:p>
        </w:tc>
      </w:tr>
      <w:tr>
        <w:trPr>
          <w:cantSplit/>
        </w:trPr>
        <w:tc>
          <w:tcPr>
            <w:tcW w:type="dxa" w:w="1040"/>
          </w:tcPr>
          <w:p>
            <w:pPr>
              <w:spacing w:line="240" w:lineRule="auto" w:before="0" w:after="0"/>
              <w:jc w:val="center"/>
            </w:pPr>
            <w:r>
              <w:rPr>
                <w:rFonts w:ascii="Times New Roman" w:hAnsi="Times New Roman"/>
                <w:color w:val="000000"/>
                <w:sz w:val="18"/>
              </w:rPr>
              <w:t>XGB-CVaR</w:t>
            </w:r>
          </w:p>
        </w:tc>
        <w:tc>
          <w:tcPr>
            <w:tcW w:type="dxa" w:w="1040"/>
          </w:tcPr>
          <w:p>
            <w:pPr>
              <w:spacing w:line="240" w:lineRule="auto" w:before="0" w:after="0"/>
              <w:jc w:val="center"/>
            </w:pPr>
            <w:r>
              <w:rPr>
                <w:rFonts w:ascii="Times New Roman" w:hAnsi="Times New Roman"/>
                <w:color w:val="000000"/>
                <w:sz w:val="18"/>
              </w:rPr>
              <w:t>37.71%</w:t>
            </w:r>
          </w:p>
        </w:tc>
        <w:tc>
          <w:tcPr>
            <w:tcW w:type="dxa" w:w="1040"/>
          </w:tcPr>
          <w:p>
            <w:pPr>
              <w:spacing w:line="240" w:lineRule="auto" w:before="0" w:after="0"/>
              <w:jc w:val="center"/>
            </w:pPr>
            <w:r>
              <w:rPr>
                <w:rFonts w:ascii="Times New Roman" w:hAnsi="Times New Roman"/>
                <w:color w:val="000000"/>
                <w:sz w:val="18"/>
              </w:rPr>
              <w:t>15.85%</w:t>
            </w:r>
          </w:p>
        </w:tc>
        <w:tc>
          <w:tcPr>
            <w:tcW w:type="dxa" w:w="1040"/>
          </w:tcPr>
          <w:p>
            <w:pPr>
              <w:spacing w:line="240" w:lineRule="auto" w:before="0" w:after="0"/>
              <w:jc w:val="center"/>
            </w:pPr>
            <w:r>
              <w:rPr>
                <w:rFonts w:ascii="Times New Roman" w:hAnsi="Times New Roman"/>
                <w:color w:val="000000"/>
                <w:sz w:val="18"/>
              </w:rPr>
              <w:t>1.24</w:t>
            </w:r>
          </w:p>
        </w:tc>
        <w:tc>
          <w:tcPr>
            <w:tcW w:type="dxa" w:w="1040"/>
          </w:tcPr>
          <w:p>
            <w:pPr>
              <w:spacing w:line="240" w:lineRule="auto" w:before="0" w:after="0"/>
              <w:jc w:val="center"/>
            </w:pPr>
            <w:r>
              <w:rPr>
                <w:rFonts w:ascii="Times New Roman" w:hAnsi="Times New Roman"/>
                <w:color w:val="000000"/>
                <w:sz w:val="18"/>
              </w:rPr>
              <w:t>2.37</w:t>
            </w:r>
          </w:p>
        </w:tc>
        <w:tc>
          <w:tcPr>
            <w:tcW w:type="dxa" w:w="1040"/>
          </w:tcPr>
          <w:p>
            <w:pPr>
              <w:spacing w:line="240" w:lineRule="auto" w:before="0" w:after="0"/>
              <w:jc w:val="center"/>
            </w:pPr>
            <w:r>
              <w:rPr>
                <w:rFonts w:ascii="Times New Roman" w:hAnsi="Times New Roman"/>
                <w:color w:val="000000"/>
                <w:sz w:val="18"/>
              </w:rPr>
              <w:t>-2.32%</w:t>
            </w:r>
          </w:p>
        </w:tc>
        <w:tc>
          <w:tcPr>
            <w:tcW w:type="dxa" w:w="1040"/>
          </w:tcPr>
          <w:p>
            <w:pPr>
              <w:spacing w:line="240" w:lineRule="auto" w:before="0" w:after="0"/>
              <w:jc w:val="center"/>
            </w:pPr>
            <w:r>
              <w:rPr>
                <w:rFonts w:ascii="Times New Roman" w:hAnsi="Times New Roman"/>
                <w:color w:val="000000"/>
                <w:sz w:val="18"/>
              </w:rPr>
              <w:t>-2.85%</w:t>
            </w:r>
          </w:p>
        </w:tc>
        <w:tc>
          <w:tcPr>
            <w:tcW w:type="dxa" w:w="1040"/>
          </w:tcPr>
          <w:p>
            <w:pPr>
              <w:spacing w:line="240" w:lineRule="auto" w:before="0" w:after="0"/>
              <w:jc w:val="center"/>
            </w:pPr>
            <w:r>
              <w:rPr>
                <w:rFonts w:ascii="Times New Roman" w:hAnsi="Times New Roman"/>
                <w:color w:val="000000"/>
                <w:sz w:val="18"/>
              </w:rPr>
              <w:t>-23.62%</w:t>
            </w:r>
          </w:p>
        </w:tc>
        <w:tc>
          <w:tcPr>
            <w:tcW w:type="dxa" w:w="1040"/>
          </w:tcPr>
          <w:p>
            <w:pPr>
              <w:spacing w:line="240" w:lineRule="auto" w:before="0" w:after="0"/>
              <w:jc w:val="center"/>
            </w:pPr>
            <w:r>
              <w:rPr>
                <w:rFonts w:ascii="Times New Roman" w:hAnsi="Times New Roman"/>
                <w:color w:val="000000"/>
                <w:sz w:val="18"/>
              </w:rPr>
              <w:t>11.00%</w:t>
            </w:r>
          </w:p>
        </w:tc>
      </w:tr>
      <w:tr>
        <w:trPr>
          <w:cantSplit/>
        </w:trPr>
        <w:tc>
          <w:tcPr>
            <w:tcW w:type="dxa" w:w="1040"/>
          </w:tcPr>
          <w:p>
            <w:pPr>
              <w:spacing w:line="240" w:lineRule="auto" w:before="0" w:after="0"/>
              <w:jc w:val="center"/>
            </w:pPr>
            <w:r>
              <w:rPr>
                <w:rFonts w:ascii="Times New Roman" w:hAnsi="Times New Roman"/>
                <w:color w:val="000000"/>
                <w:sz w:val="18"/>
              </w:rPr>
              <w:t>Historical-CVaR</w:t>
            </w:r>
          </w:p>
        </w:tc>
        <w:tc>
          <w:tcPr>
            <w:tcW w:type="dxa" w:w="1040"/>
          </w:tcPr>
          <w:p>
            <w:pPr>
              <w:spacing w:line="240" w:lineRule="auto" w:before="0" w:after="0"/>
              <w:jc w:val="center"/>
            </w:pPr>
            <w:r>
              <w:rPr>
                <w:rFonts w:ascii="Times New Roman" w:hAnsi="Times New Roman"/>
                <w:color w:val="000000"/>
                <w:sz w:val="18"/>
              </w:rPr>
              <w:t>42.12%</w:t>
            </w:r>
          </w:p>
        </w:tc>
        <w:tc>
          <w:tcPr>
            <w:tcW w:type="dxa" w:w="1040"/>
          </w:tcPr>
          <w:p>
            <w:pPr>
              <w:spacing w:line="240" w:lineRule="auto" w:before="0" w:after="0"/>
              <w:jc w:val="center"/>
            </w:pPr>
            <w:r>
              <w:rPr>
                <w:rFonts w:ascii="Times New Roman" w:hAnsi="Times New Roman"/>
                <w:color w:val="000000"/>
                <w:sz w:val="18"/>
              </w:rPr>
              <w:t>16.15%</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3.02</w:t>
            </w:r>
          </w:p>
        </w:tc>
        <w:tc>
          <w:tcPr>
            <w:tcW w:type="dxa" w:w="1040"/>
          </w:tcPr>
          <w:p>
            <w:pPr>
              <w:spacing w:line="240" w:lineRule="auto" w:before="0" w:after="0"/>
              <w:jc w:val="center"/>
            </w:pPr>
            <w:r>
              <w:rPr>
                <w:rFonts w:ascii="Times New Roman" w:hAnsi="Times New Roman"/>
                <w:color w:val="000000"/>
                <w:sz w:val="18"/>
              </w:rPr>
              <w:t>-2.18%</w:t>
            </w:r>
          </w:p>
        </w:tc>
        <w:tc>
          <w:tcPr>
            <w:tcW w:type="dxa" w:w="1040"/>
          </w:tcPr>
          <w:p>
            <w:pPr>
              <w:spacing w:line="240" w:lineRule="auto" w:before="0" w:after="0"/>
              <w:jc w:val="center"/>
            </w:pPr>
            <w:r>
              <w:rPr>
                <w:rFonts w:ascii="Times New Roman" w:hAnsi="Times New Roman"/>
                <w:color w:val="000000"/>
                <w:sz w:val="18"/>
              </w:rPr>
              <w:t>-2.61%</w:t>
            </w:r>
          </w:p>
        </w:tc>
        <w:tc>
          <w:tcPr>
            <w:tcW w:type="dxa" w:w="1040"/>
          </w:tcPr>
          <w:p>
            <w:pPr>
              <w:spacing w:line="240" w:lineRule="auto" w:before="0" w:after="0"/>
              <w:jc w:val="center"/>
            </w:pPr>
            <w:r>
              <w:rPr>
                <w:rFonts w:ascii="Times New Roman" w:hAnsi="Times New Roman"/>
                <w:color w:val="000000"/>
                <w:sz w:val="18"/>
              </w:rPr>
              <w:t>-21.96%</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Mean-Variance (MVO)</w:t>
            </w:r>
          </w:p>
        </w:tc>
        <w:tc>
          <w:tcPr>
            <w:tcW w:type="dxa" w:w="1040"/>
          </w:tcPr>
          <w:p>
            <w:pPr>
              <w:spacing w:line="240" w:lineRule="auto" w:before="0" w:after="0"/>
              <w:jc w:val="center"/>
            </w:pPr>
            <w:r>
              <w:rPr>
                <w:rFonts w:ascii="Times New Roman" w:hAnsi="Times New Roman"/>
                <w:color w:val="000000"/>
                <w:sz w:val="18"/>
              </w:rPr>
              <w:t>18.24%</w:t>
            </w:r>
          </w:p>
        </w:tc>
        <w:tc>
          <w:tcPr>
            <w:tcW w:type="dxa" w:w="1040"/>
          </w:tcPr>
          <w:p>
            <w:pPr>
              <w:spacing w:line="240" w:lineRule="auto" w:before="0" w:after="0"/>
              <w:jc w:val="center"/>
            </w:pPr>
            <w:r>
              <w:rPr>
                <w:rFonts w:ascii="Times New Roman" w:hAnsi="Times New Roman"/>
                <w:color w:val="000000"/>
                <w:sz w:val="18"/>
              </w:rPr>
              <w:t>53.87%</w:t>
            </w:r>
          </w:p>
        </w:tc>
        <w:tc>
          <w:tcPr>
            <w:tcW w:type="dxa" w:w="1040"/>
          </w:tcPr>
          <w:p>
            <w:pPr>
              <w:spacing w:line="240" w:lineRule="auto" w:before="0" w:after="0"/>
              <w:jc w:val="center"/>
            </w:pPr>
            <w:r>
              <w:rPr>
                <w:rFonts w:ascii="Times New Roman" w:hAnsi="Times New Roman"/>
                <w:color w:val="000000"/>
                <w:sz w:val="18"/>
              </w:rPr>
              <w:t>0.00</w:t>
            </w:r>
          </w:p>
        </w:tc>
        <w:tc>
          <w:tcPr>
            <w:tcW w:type="dxa" w:w="1040"/>
          </w:tcPr>
          <w:p>
            <w:pPr>
              <w:spacing w:line="240" w:lineRule="auto" w:before="0" w:after="0"/>
              <w:jc w:val="center"/>
            </w:pPr>
            <w:r>
              <w:rPr>
                <w:rFonts w:ascii="Times New Roman" w:hAnsi="Times New Roman"/>
                <w:color w:val="000000"/>
                <w:sz w:val="18"/>
              </w:rPr>
              <w:t>0.01</w:t>
            </w:r>
          </w:p>
        </w:tc>
        <w:tc>
          <w:tcPr>
            <w:tcW w:type="dxa" w:w="1040"/>
          </w:tcPr>
          <w:p>
            <w:pPr>
              <w:spacing w:line="240" w:lineRule="auto" w:before="0" w:after="0"/>
              <w:jc w:val="center"/>
            </w:pPr>
            <w:r>
              <w:rPr>
                <w:rFonts w:ascii="Times New Roman" w:hAnsi="Times New Roman"/>
                <w:color w:val="000000"/>
                <w:sz w:val="18"/>
              </w:rPr>
              <w:t>-9.58%</w:t>
            </w:r>
          </w:p>
        </w:tc>
        <w:tc>
          <w:tcPr>
            <w:tcW w:type="dxa" w:w="1040"/>
          </w:tcPr>
          <w:p>
            <w:pPr>
              <w:spacing w:line="240" w:lineRule="auto" w:before="0" w:after="0"/>
              <w:jc w:val="center"/>
            </w:pPr>
            <w:r>
              <w:rPr>
                <w:rFonts w:ascii="Times New Roman" w:hAnsi="Times New Roman"/>
                <w:color w:val="000000"/>
                <w:sz w:val="18"/>
              </w:rPr>
              <w:t>-16.24%</w:t>
            </w:r>
          </w:p>
        </w:tc>
        <w:tc>
          <w:tcPr>
            <w:tcW w:type="dxa" w:w="1040"/>
          </w:tcPr>
          <w:p>
            <w:pPr>
              <w:spacing w:line="240" w:lineRule="auto" w:before="0" w:after="0"/>
              <w:jc w:val="center"/>
            </w:pPr>
            <w:r>
              <w:rPr>
                <w:rFonts w:ascii="Times New Roman" w:hAnsi="Times New Roman"/>
                <w:color w:val="000000"/>
                <w:sz w:val="18"/>
              </w:rPr>
              <w:t>-71.07%</w:t>
            </w:r>
          </w:p>
        </w:tc>
        <w:tc>
          <w:tcPr>
            <w:tcW w:type="dxa" w:w="1040"/>
          </w:tcPr>
          <w:p>
            <w:pPr>
              <w:spacing w:line="240" w:lineRule="auto" w:before="0" w:after="0"/>
              <w:jc w:val="center"/>
            </w:pPr>
            <w:r>
              <w:rPr>
                <w:rFonts w:ascii="Times New Roman" w:hAnsi="Times New Roman"/>
                <w:color w:val="000000"/>
                <w:sz w:val="18"/>
              </w:rPr>
              <w:t>99.28%</w:t>
            </w:r>
          </w:p>
        </w:tc>
      </w:tr>
      <w:tr>
        <w:trPr>
          <w:cantSplit/>
        </w:trPr>
        <w:tc>
          <w:tcPr>
            <w:tcW w:type="dxa" w:w="1040"/>
          </w:tcPr>
          <w:p>
            <w:pPr>
              <w:spacing w:line="240" w:lineRule="auto" w:before="0" w:after="0"/>
              <w:jc w:val="center"/>
            </w:pPr>
            <w:r>
              <w:rPr>
                <w:rFonts w:ascii="Times New Roman" w:hAnsi="Times New Roman"/>
                <w:color w:val="000000"/>
                <w:sz w:val="18"/>
              </w:rPr>
              <w:t>1/N Equal Weight</w:t>
            </w:r>
          </w:p>
        </w:tc>
        <w:tc>
          <w:tcPr>
            <w:tcW w:type="dxa" w:w="1040"/>
          </w:tcPr>
          <w:p>
            <w:pPr>
              <w:spacing w:line="240" w:lineRule="auto" w:before="0" w:after="0"/>
              <w:jc w:val="center"/>
            </w:pPr>
            <w:r>
              <w:rPr>
                <w:rFonts w:ascii="Times New Roman" w:hAnsi="Times New Roman"/>
                <w:color w:val="000000"/>
                <w:sz w:val="18"/>
              </w:rPr>
              <w:t>37.42%</w:t>
            </w:r>
          </w:p>
        </w:tc>
        <w:tc>
          <w:tcPr>
            <w:tcW w:type="dxa" w:w="1040"/>
          </w:tcPr>
          <w:p>
            <w:pPr>
              <w:spacing w:line="240" w:lineRule="auto" w:before="0" w:after="0"/>
              <w:jc w:val="center"/>
            </w:pPr>
            <w:r>
              <w:rPr>
                <w:rFonts w:ascii="Times New Roman" w:hAnsi="Times New Roman"/>
                <w:color w:val="000000"/>
                <w:sz w:val="18"/>
              </w:rPr>
              <w:t>18.29%</w:t>
            </w:r>
          </w:p>
        </w:tc>
        <w:tc>
          <w:tcPr>
            <w:tcW w:type="dxa" w:w="1040"/>
          </w:tcPr>
          <w:p>
            <w:pPr>
              <w:spacing w:line="240" w:lineRule="auto" w:before="0" w:after="0"/>
              <w:jc w:val="center"/>
            </w:pPr>
            <w:r>
              <w:rPr>
                <w:rFonts w:ascii="Times New Roman" w:hAnsi="Times New Roman"/>
                <w:color w:val="000000"/>
                <w:sz w:val="18"/>
              </w:rPr>
              <w:t>1.06</w:t>
            </w:r>
          </w:p>
        </w:tc>
        <w:tc>
          <w:tcPr>
            <w:tcW w:type="dxa" w:w="1040"/>
          </w:tcPr>
          <w:p>
            <w:pPr>
              <w:spacing w:line="240" w:lineRule="auto" w:before="0" w:after="0"/>
              <w:jc w:val="center"/>
            </w:pPr>
            <w:r>
              <w:rPr>
                <w:rFonts w:ascii="Times New Roman" w:hAnsi="Times New Roman"/>
                <w:color w:val="000000"/>
                <w:sz w:val="18"/>
              </w:rPr>
              <w:t>1.83</w:t>
            </w:r>
          </w:p>
        </w:tc>
        <w:tc>
          <w:tcPr>
            <w:tcW w:type="dxa" w:w="1040"/>
          </w:tcPr>
          <w:p>
            <w:pPr>
              <w:spacing w:line="240" w:lineRule="auto" w:before="0" w:after="0"/>
              <w:jc w:val="center"/>
            </w:pPr>
            <w:r>
              <w:rPr>
                <w:rFonts w:ascii="Times New Roman" w:hAnsi="Times New Roman"/>
                <w:color w:val="000000"/>
                <w:sz w:val="18"/>
              </w:rPr>
              <w:t>-2.82%</w:t>
            </w:r>
          </w:p>
        </w:tc>
        <w:tc>
          <w:tcPr>
            <w:tcW w:type="dxa" w:w="1040"/>
          </w:tcPr>
          <w:p>
            <w:pPr>
              <w:spacing w:line="240" w:lineRule="auto" w:before="0" w:after="0"/>
              <w:jc w:val="center"/>
            </w:pPr>
            <w:r>
              <w:rPr>
                <w:rFonts w:ascii="Times New Roman" w:hAnsi="Times New Roman"/>
                <w:color w:val="000000"/>
                <w:sz w:val="18"/>
              </w:rPr>
              <w:t>-4.44%</w:t>
            </w:r>
          </w:p>
        </w:tc>
        <w:tc>
          <w:tcPr>
            <w:tcW w:type="dxa" w:w="1040"/>
          </w:tcPr>
          <w:p>
            <w:pPr>
              <w:spacing w:line="240" w:lineRule="auto" w:before="0" w:after="0"/>
              <w:jc w:val="center"/>
            </w:pPr>
            <w:r>
              <w:rPr>
                <w:rFonts w:ascii="Times New Roman" w:hAnsi="Times New Roman"/>
                <w:color w:val="000000"/>
                <w:sz w:val="18"/>
              </w:rPr>
              <w:t>-23.95%</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NGX Index Buy-Hold</w:t>
            </w:r>
          </w:p>
        </w:tc>
        <w:tc>
          <w:tcPr>
            <w:tcW w:type="dxa" w:w="1040"/>
          </w:tcPr>
          <w:p>
            <w:pPr>
              <w:spacing w:line="240" w:lineRule="auto" w:before="0" w:after="0"/>
              <w:jc w:val="center"/>
            </w:pPr>
            <w:r>
              <w:rPr>
                <w:rFonts w:ascii="Times New Roman" w:hAnsi="Times New Roman"/>
                <w:color w:val="000000"/>
                <w:sz w:val="18"/>
              </w:rPr>
              <w:t>35.88%</w:t>
            </w:r>
          </w:p>
        </w:tc>
        <w:tc>
          <w:tcPr>
            <w:tcW w:type="dxa" w:w="1040"/>
          </w:tcPr>
          <w:p>
            <w:pPr>
              <w:spacing w:line="240" w:lineRule="auto" w:before="0" w:after="0"/>
              <w:jc w:val="center"/>
            </w:pPr>
            <w:r>
              <w:rPr>
                <w:rFonts w:ascii="Times New Roman" w:hAnsi="Times New Roman"/>
                <w:color w:val="000000"/>
                <w:sz w:val="18"/>
              </w:rPr>
              <w:t>19.77%</w:t>
            </w:r>
          </w:p>
        </w:tc>
        <w:tc>
          <w:tcPr>
            <w:tcW w:type="dxa" w:w="1040"/>
          </w:tcPr>
          <w:p>
            <w:pPr>
              <w:spacing w:line="240" w:lineRule="auto" w:before="0" w:after="0"/>
              <w:jc w:val="center"/>
            </w:pPr>
            <w:r>
              <w:rPr>
                <w:rFonts w:ascii="Times New Roman" w:hAnsi="Times New Roman"/>
                <w:color w:val="000000"/>
                <w:sz w:val="18"/>
              </w:rPr>
              <w:t>0.90</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-3.32%</w:t>
            </w:r>
          </w:p>
        </w:tc>
        <w:tc>
          <w:tcPr>
            <w:tcW w:type="dxa" w:w="1040"/>
          </w:tcPr>
          <w:p>
            <w:pPr>
              <w:spacing w:line="240" w:lineRule="auto" w:before="0" w:after="0"/>
              <w:jc w:val="center"/>
            </w:pPr>
            <w:r>
              <w:rPr>
                <w:rFonts w:ascii="Times New Roman" w:hAnsi="Times New Roman"/>
                <w:color w:val="000000"/>
                <w:sz w:val="18"/>
              </w:rPr>
              <w:t>-4.95%</w:t>
            </w:r>
          </w:p>
        </w:tc>
        <w:tc>
          <w:tcPr>
            <w:tcW w:type="dxa" w:w="1040"/>
          </w:tcPr>
          <w:p>
            <w:pPr>
              <w:spacing w:line="240" w:lineRule="auto" w:before="0" w:after="0"/>
              <w:jc w:val="center"/>
            </w:pPr>
            <w:r>
              <w:rPr>
                <w:rFonts w:ascii="Times New Roman" w:hAnsi="Times New Roman"/>
                <w:color w:val="000000"/>
                <w:sz w:val="18"/>
              </w:rPr>
              <w:t>-26.66%</w:t>
            </w:r>
          </w:p>
        </w:tc>
        <w:tc>
          <w:tcPr>
            <w:tcW w:type="dxa" w:w="1040"/>
          </w:tcPr>
          <w:p>
            <w:pPr>
              <w:spacing w:line="240" w:lineRule="auto" w:before="0" w:after="0"/>
              <w:jc w:val="center"/>
            </w:pPr>
            <w:r>
              <w:rPr>
                <w:rFonts w:ascii="Times New Roman" w:hAnsi="Times New Roman"/>
                <w:color w:val="000000"/>
                <w:sz w:val="18"/>
              </w:rPr>
              <w:t>0.00%</w:t>
            </w:r>
          </w:p>
        </w:tc>
      </w:tr>
    </w:tbl>
    <w:p>
      <w:pPr>
        <w:keepNext/>
        <w:spacing w:line="276" w:lineRule="auto" w:before="40" w:after="160"/>
        <w:jc w:val="left"/>
      </w:pPr>
      <w:r>
        <w:rPr>
          <w:rFonts w:ascii="Times New Roman" w:hAnsi="Times New Roman"/>
          <w:i/>
          <w:color w:val="000000"/>
          <w:sz w:val="20"/>
        </w:rPr>
        <w:t>Source: Author's computation (2026). Note: Ann. Return = Annualized Return; Ann. Vol = Annualized Volatility; Sharpe = Sharpe Ratio (Sharpe, 1966); Sortino = Sortino Ratio (Sortino &amp; Price, 1994); VaR 95% = 95% Value-at-Risk; CVaR 95% = 95% Conditional Value-at-Risk; Max DD (%) = Maximum Peak-to-Trough Drawdown; Wk Turnover (%) = Average Weekly Portfolio Turnover. Evaluated under 0.75% (75 bps) institutional PFA brokerage execution fees.</w:t>
      </w:r>
    </w:p>
    <w:p>
      <w:pPr>
        <w:keepNext/>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4.3: Out-of-Sample Cumulative Wealth Growth Curves (2021-2025)</w:t>
      </w:r>
    </w:p>
    <w:p>
      <w:pPr>
        <w:keepNext/>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ind w:firstLine="72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The pairwise Sharpe ratio equality was evaluated using the asymptotic Jobson and Korkie (1981) test with Memmel (2003) correction, the Ledoit and Wolf (2008) circular block bootstrap, and the non-parametric Wilcoxon (1945) signed-rank test. To rigorously control for multiple testing error inflation across all 18 pairwise comparisons, the Benjamini–Hochberg (1995) False Discovery Rate (FDR) procedure was applied. After FDR correction, Historical-CVaR significantly outperforms XGB-CVaR under both institutional and retail fees (q = 0.000), and MVO significantly underperforms 1/N under retail fees (q = 0.009; institutional q = 0.056). Economically, both CVaR specifications outperform unconstrained MVO across all fee tiers (Tables 4.4–4.5b), while Table 4.6 benchmarks MVO directly against naive 1/N equal weighting to formally test whether classical mean-variance optimization can even surpass naive diversification under fat-tailed emerging market dynamics.</w:t>
      </w:r>
    </w:p>
    <w:p>
      <w:pPr>
        <w:keepNext/>
        <w:spacing w:line="276" w:lineRule="auto" w:before="160" w:after="40"/>
        <w:jc w:val="left"/>
      </w:pPr>
      <w:r>
        <w:rPr>
          <w:rFonts w:ascii="Times New Roman" w:hAnsi="Times New Roman"/>
          <w:b/>
          <w:color w:val="000000"/>
          <w:sz w:val="22"/>
        </w:rPr>
        <w:t>Table 4.6: Multi-Tier Pairwise Hypothesis Testing of Sharpe Ratio Equality across Fee Regimes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Fee Regime</w:t>
            </w:r>
          </w:p>
        </w:tc>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Benchmark</w:t>
            </w:r>
          </w:p>
        </w:tc>
        <w:tc>
          <w:tcPr>
            <w:tcW w:type="dxa" w:w="1170"/>
          </w:tcPr>
          <w:p>
            <w:pPr>
              <w:spacing w:line="240" w:lineRule="auto" w:before="0" w:after="0"/>
              <w:jc w:val="center"/>
            </w:pPr>
            <w:r>
              <w:rPr>
                <w:rFonts w:ascii="Times New Roman" w:hAnsi="Times New Roman"/>
                <w:b/>
                <w:color w:val="000000"/>
                <w:sz w:val="19"/>
              </w:rPr>
              <w:t>Sharpe Diff</w:t>
            </w:r>
          </w:p>
        </w:tc>
        <w:tc>
          <w:tcPr>
            <w:tcW w:type="dxa" w:w="1170"/>
          </w:tcPr>
          <w:p>
            <w:pPr>
              <w:spacing w:line="240" w:lineRule="auto" w:before="0" w:after="0"/>
              <w:jc w:val="center"/>
            </w:pPr>
            <w:r>
              <w:rPr>
                <w:rFonts w:ascii="Times New Roman" w:hAnsi="Times New Roman"/>
                <w:b/>
                <w:color w:val="000000"/>
                <w:sz w:val="19"/>
              </w:rPr>
              <w:t>Jobson-Korkie p-val</w:t>
            </w:r>
          </w:p>
        </w:tc>
        <w:tc>
          <w:tcPr>
            <w:tcW w:type="dxa" w:w="1170"/>
          </w:tcPr>
          <w:p>
            <w:pPr>
              <w:spacing w:line="240" w:lineRule="auto" w:before="0" w:after="0"/>
              <w:jc w:val="center"/>
            </w:pPr>
            <w:r>
              <w:rPr>
                <w:rFonts w:ascii="Times New Roman" w:hAnsi="Times New Roman"/>
                <w:b/>
                <w:color w:val="000000"/>
                <w:sz w:val="19"/>
              </w:rPr>
              <w:t>Ledoit-Wolf Sharpe p-val</w:t>
            </w:r>
          </w:p>
        </w:tc>
        <w:tc>
          <w:tcPr>
            <w:tcW w:type="dxa" w:w="1170"/>
          </w:tcPr>
          <w:p>
            <w:pPr>
              <w:spacing w:line="240" w:lineRule="auto" w:before="0" w:after="0"/>
              <w:jc w:val="center"/>
            </w:pPr>
            <w:r>
              <w:rPr>
                <w:rFonts w:ascii="Times New Roman" w:hAnsi="Times New Roman"/>
                <w:b/>
                <w:color w:val="000000"/>
                <w:sz w:val="19"/>
              </w:rPr>
              <w:t>Benjamini-Hochberg (FDR q-val)</w:t>
            </w:r>
          </w:p>
        </w:tc>
        <w:tc>
          <w:tcPr>
            <w:tcW w:type="dxa" w:w="1170"/>
          </w:tcPr>
          <w:p>
            <w:pPr>
              <w:spacing w:line="240" w:lineRule="auto" w:before="0" w:after="0"/>
              <w:jc w:val="center"/>
            </w:pPr>
            <w:r>
              <w:rPr>
                <w:rFonts w:ascii="Times New Roman" w:hAnsi="Times New Roman"/>
                <w:b/>
                <w:color w:val="000000"/>
                <w:sz w:val="19"/>
              </w:rPr>
              <w:t>Wilcoxon p-val</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+0.61</w:t>
            </w:r>
          </w:p>
        </w:tc>
        <w:tc>
          <w:tcPr>
            <w:tcW w:type="dxa" w:w="1170"/>
          </w:tcPr>
          <w:p>
            <w:pPr>
              <w:spacing w:line="240" w:lineRule="auto" w:before="0" w:after="0"/>
              <w:jc w:val="center"/>
            </w:pPr>
            <w:r>
              <w:rPr>
                <w:rFonts w:ascii="Times New Roman" w:hAnsi="Times New Roman"/>
                <w:color w:val="000000"/>
                <w:sz w:val="18"/>
              </w:rPr>
              <w:t>0.203</w:t>
            </w:r>
          </w:p>
        </w:tc>
        <w:tc>
          <w:tcPr>
            <w:tcW w:type="dxa" w:w="1170"/>
          </w:tcPr>
          <w:p>
            <w:pPr>
              <w:spacing w:line="240" w:lineRule="auto" w:before="0" w:after="0"/>
              <w:jc w:val="center"/>
            </w:pPr>
            <w:r>
              <w:rPr>
                <w:rFonts w:ascii="Times New Roman" w:hAnsi="Times New Roman"/>
                <w:color w:val="000000"/>
                <w:sz w:val="18"/>
              </w:rPr>
              <w:t>0.015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0.519</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+0.54</w:t>
            </w:r>
          </w:p>
        </w:tc>
        <w:tc>
          <w:tcPr>
            <w:tcW w:type="dxa" w:w="1170"/>
          </w:tcPr>
          <w:p>
            <w:pPr>
              <w:spacing w:line="240" w:lineRule="auto" w:before="0" w:after="0"/>
              <w:jc w:val="center"/>
            </w:pPr>
            <w:r>
              <w:rPr>
                <w:rFonts w:ascii="Times New Roman" w:hAnsi="Times New Roman"/>
                <w:color w:val="000000"/>
                <w:sz w:val="18"/>
              </w:rPr>
              <w:t>0.245</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0.632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0.355</w:t>
            </w:r>
          </w:p>
        </w:tc>
        <w:tc>
          <w:tcPr>
            <w:tcW w:type="dxa" w:w="1170"/>
          </w:tcPr>
          <w:p>
            <w:pPr>
              <w:spacing w:line="240" w:lineRule="auto" w:before="0" w:after="0"/>
              <w:jc w:val="center"/>
            </w:pPr>
            <w:r>
              <w:rPr>
                <w:rFonts w:ascii="Times New Roman" w:hAnsi="Times New Roman"/>
                <w:color w:val="000000"/>
                <w:sz w:val="18"/>
              </w:rPr>
              <w:t>0.084</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+0.02</w:t>
            </w:r>
          </w:p>
        </w:tc>
        <w:tc>
          <w:tcPr>
            <w:tcW w:type="dxa" w:w="1170"/>
          </w:tcPr>
          <w:p>
            <w:pPr>
              <w:spacing w:line="240" w:lineRule="auto" w:before="0" w:after="0"/>
              <w:jc w:val="center"/>
            </w:pPr>
            <w:r>
              <w:rPr>
                <w:rFonts w:ascii="Times New Roman" w:hAnsi="Times New Roman"/>
                <w:color w:val="000000"/>
                <w:sz w:val="18"/>
              </w:rPr>
              <w:t>0.795</w:t>
            </w:r>
          </w:p>
        </w:tc>
        <w:tc>
          <w:tcPr>
            <w:tcW w:type="dxa" w:w="1170"/>
          </w:tcPr>
          <w:p>
            <w:pPr>
              <w:spacing w:line="240" w:lineRule="auto" w:before="0" w:after="0"/>
              <w:jc w:val="center"/>
            </w:pPr>
            <w:r>
              <w:rPr>
                <w:rFonts w:ascii="Times New Roman" w:hAnsi="Times New Roman"/>
                <w:color w:val="000000"/>
                <w:sz w:val="18"/>
              </w:rPr>
              <w:t>0.558</w:t>
            </w:r>
          </w:p>
        </w:tc>
        <w:tc>
          <w:tcPr>
            <w:tcW w:type="dxa" w:w="1170"/>
          </w:tcPr>
          <w:p>
            <w:pPr>
              <w:spacing w:line="240" w:lineRule="auto" w:before="0" w:after="0"/>
              <w:jc w:val="center"/>
            </w:pPr>
            <w:r>
              <w:rPr>
                <w:rFonts w:ascii="Times New Roman" w:hAnsi="Times New Roman"/>
                <w:color w:val="000000"/>
                <w:sz w:val="18"/>
              </w:rPr>
              <w:t>0.591</w:t>
            </w:r>
          </w:p>
        </w:tc>
        <w:tc>
          <w:tcPr>
            <w:tcW w:type="dxa" w:w="1170"/>
          </w:tcPr>
          <w:p>
            <w:pPr>
              <w:spacing w:line="240" w:lineRule="auto" w:before="0" w:after="0"/>
              <w:jc w:val="center"/>
            </w:pPr>
            <w:r>
              <w:rPr>
                <w:rFonts w:ascii="Times New Roman" w:hAnsi="Times New Roman"/>
                <w:color w:val="000000"/>
                <w:sz w:val="18"/>
              </w:rPr>
              <w:t>0.482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-0.35</w:t>
            </w:r>
          </w:p>
        </w:tc>
        <w:tc>
          <w:tcPr>
            <w:tcW w:type="dxa" w:w="1170"/>
          </w:tcPr>
          <w:p>
            <w:pPr>
              <w:spacing w:line="240" w:lineRule="auto" w:before="0" w:after="0"/>
              <w:jc w:val="center"/>
            </w:pPr>
            <w:r>
              <w:rPr>
                <w:rFonts w:ascii="Times New Roman" w:hAnsi="Times New Roman"/>
                <w:color w:val="000000"/>
                <w:sz w:val="18"/>
              </w:rPr>
              <w:t>0.481</w:t>
            </w:r>
          </w:p>
        </w:tc>
        <w:tc>
          <w:tcPr>
            <w:tcW w:type="dxa" w:w="1170"/>
          </w:tcPr>
          <w:p>
            <w:pPr>
              <w:spacing w:line="240" w:lineRule="auto" w:before="0" w:after="0"/>
              <w:jc w:val="center"/>
            </w:pPr>
            <w:r>
              <w:rPr>
                <w:rFonts w:ascii="Times New Roman" w:hAnsi="Times New Roman"/>
                <w:color w:val="000000"/>
                <w:sz w:val="18"/>
              </w:rPr>
              <w:t>0.385</w:t>
            </w:r>
          </w:p>
        </w:tc>
        <w:tc>
          <w:tcPr>
            <w:tcW w:type="dxa" w:w="1170"/>
          </w:tcPr>
          <w:p>
            <w:pPr>
              <w:spacing w:line="240" w:lineRule="auto" w:before="0" w:after="0"/>
              <w:jc w:val="center"/>
            </w:pPr>
            <w:r>
              <w:rPr>
                <w:rFonts w:ascii="Times New Roman" w:hAnsi="Times New Roman"/>
                <w:color w:val="000000"/>
                <w:sz w:val="18"/>
              </w:rPr>
              <w:t>0.462</w:t>
            </w:r>
          </w:p>
        </w:tc>
        <w:tc>
          <w:tcPr>
            <w:tcW w:type="dxa" w:w="1170"/>
          </w:tcPr>
          <w:p>
            <w:pPr>
              <w:spacing w:line="240" w:lineRule="auto" w:before="0" w:after="0"/>
              <w:jc w:val="center"/>
            </w:pPr>
            <w:r>
              <w:rPr>
                <w:rFonts w:ascii="Times New Roman" w:hAnsi="Times New Roman"/>
                <w:color w:val="000000"/>
                <w:sz w:val="18"/>
              </w:rPr>
              <w:t>0.548</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+0.34</w:t>
            </w:r>
          </w:p>
        </w:tc>
        <w:tc>
          <w:tcPr>
            <w:tcW w:type="dxa" w:w="1170"/>
          </w:tcPr>
          <w:p>
            <w:pPr>
              <w:spacing w:line="240" w:lineRule="auto" w:before="0" w:after="0"/>
              <w:jc w:val="center"/>
            </w:pPr>
            <w:r>
              <w:rPr>
                <w:rFonts w:ascii="Times New Roman" w:hAnsi="Times New Roman"/>
                <w:color w:val="000000"/>
                <w:sz w:val="18"/>
              </w:rPr>
              <w:t>0.423</w:t>
            </w:r>
          </w:p>
        </w:tc>
        <w:tc>
          <w:tcPr>
            <w:tcW w:type="dxa" w:w="1170"/>
          </w:tcPr>
          <w:p>
            <w:pPr>
              <w:spacing w:line="240" w:lineRule="auto" w:before="0" w:after="0"/>
              <w:jc w:val="center"/>
            </w:pPr>
            <w:r>
              <w:rPr>
                <w:rFonts w:ascii="Times New Roman" w:hAnsi="Times New Roman"/>
                <w:color w:val="000000"/>
                <w:sz w:val="18"/>
              </w:rPr>
              <w:t>0.181</w:t>
            </w:r>
          </w:p>
        </w:tc>
        <w:tc>
          <w:tcPr>
            <w:tcW w:type="dxa" w:w="1170"/>
          </w:tcPr>
          <w:p>
            <w:pPr>
              <w:spacing w:line="240" w:lineRule="auto" w:before="0" w:after="0"/>
              <w:jc w:val="center"/>
            </w:pPr>
            <w:r>
              <w:rPr>
                <w:rFonts w:ascii="Times New Roman" w:hAnsi="Times New Roman"/>
                <w:color w:val="000000"/>
                <w:sz w:val="18"/>
              </w:rPr>
              <w:t>0.233</w:t>
            </w:r>
          </w:p>
        </w:tc>
        <w:tc>
          <w:tcPr>
            <w:tcW w:type="dxa" w:w="1170"/>
          </w:tcPr>
          <w:p>
            <w:pPr>
              <w:spacing w:line="240" w:lineRule="auto" w:before="0" w:after="0"/>
              <w:jc w:val="center"/>
            </w:pPr>
            <w:r>
              <w:rPr>
                <w:rFonts w:ascii="Times New Roman" w:hAnsi="Times New Roman"/>
                <w:color w:val="000000"/>
                <w:sz w:val="18"/>
              </w:rPr>
              <w:t>0.852</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+0.36</w:t>
            </w:r>
          </w:p>
        </w:tc>
        <w:tc>
          <w:tcPr>
            <w:tcW w:type="dxa" w:w="1170"/>
          </w:tcPr>
          <w:p>
            <w:pPr>
              <w:spacing w:line="240" w:lineRule="auto" w:before="0" w:after="0"/>
              <w:jc w:val="center"/>
            </w:pPr>
            <w:r>
              <w:rPr>
                <w:rFonts w:ascii="Times New Roman" w:hAnsi="Times New Roman"/>
                <w:color w:val="000000"/>
                <w:sz w:val="18"/>
              </w:rPr>
              <w:t>0.399</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0.228</w:t>
            </w:r>
          </w:p>
        </w:tc>
        <w:tc>
          <w:tcPr>
            <w:tcW w:type="dxa" w:w="1170"/>
          </w:tcPr>
          <w:p>
            <w:pPr>
              <w:spacing w:line="240" w:lineRule="auto" w:before="0" w:after="0"/>
              <w:jc w:val="center"/>
            </w:pPr>
            <w:r>
              <w:rPr>
                <w:rFonts w:ascii="Times New Roman" w:hAnsi="Times New Roman"/>
                <w:color w:val="000000"/>
                <w:sz w:val="18"/>
              </w:rPr>
              <w:t>0.949</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0.085</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-0.25</w:t>
            </w:r>
          </w:p>
        </w:tc>
        <w:tc>
          <w:tcPr>
            <w:tcW w:type="dxa" w:w="1170"/>
          </w:tcPr>
          <w:p>
            <w:pPr>
              <w:spacing w:line="240" w:lineRule="auto" w:before="0" w:after="0"/>
              <w:jc w:val="center"/>
            </w:pPr>
            <w:r>
              <w:rPr>
                <w:rFonts w:ascii="Times New Roman" w:hAnsi="Times New Roman"/>
                <w:color w:val="000000"/>
                <w:sz w:val="18"/>
              </w:rPr>
              <w:t>0.047</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-1.06</w:t>
            </w:r>
          </w:p>
        </w:tc>
        <w:tc>
          <w:tcPr>
            <w:tcW w:type="dxa" w:w="1170"/>
          </w:tcPr>
          <w:p>
            <w:pPr>
              <w:spacing w:line="240" w:lineRule="auto" w:before="0" w:after="0"/>
              <w:jc w:val="center"/>
            </w:pPr>
            <w:r>
              <w:rPr>
                <w:rFonts w:ascii="Times New Roman" w:hAnsi="Times New Roman"/>
                <w:color w:val="000000"/>
                <w:sz w:val="18"/>
              </w:rPr>
              <w:t>0.048</w:t>
            </w:r>
          </w:p>
        </w:tc>
        <w:tc>
          <w:tcPr>
            <w:tcW w:type="dxa" w:w="1170"/>
          </w:tcPr>
          <w:p>
            <w:pPr>
              <w:spacing w:line="240" w:lineRule="auto" w:before="0" w:after="0"/>
              <w:jc w:val="center"/>
            </w:pPr>
            <w:r>
              <w:rPr>
                <w:rFonts w:ascii="Times New Roman" w:hAnsi="Times New Roman"/>
                <w:color w:val="000000"/>
                <w:sz w:val="18"/>
              </w:rPr>
              <w:t>0.025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0.008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+0.07</w:t>
            </w:r>
          </w:p>
        </w:tc>
        <w:tc>
          <w:tcPr>
            <w:tcW w:type="dxa" w:w="1170"/>
          </w:tcPr>
          <w:p>
            <w:pPr>
              <w:spacing w:line="240" w:lineRule="auto" w:before="0" w:after="0"/>
              <w:jc w:val="center"/>
            </w:pPr>
            <w:r>
              <w:rPr>
                <w:rFonts w:ascii="Times New Roman" w:hAnsi="Times New Roman"/>
                <w:color w:val="000000"/>
                <w:sz w:val="18"/>
              </w:rPr>
              <w:t>0.838</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0.318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+0.18</w:t>
            </w:r>
          </w:p>
        </w:tc>
        <w:tc>
          <w:tcPr>
            <w:tcW w:type="dxa" w:w="1170"/>
          </w:tcPr>
          <w:p>
            <w:pPr>
              <w:spacing w:line="240" w:lineRule="auto" w:before="0" w:after="0"/>
              <w:jc w:val="center"/>
            </w:pPr>
            <w:r>
              <w:rPr>
                <w:rFonts w:ascii="Times New Roman" w:hAnsi="Times New Roman"/>
                <w:color w:val="000000"/>
                <w:sz w:val="18"/>
              </w:rPr>
              <w:t>0.645</w:t>
            </w:r>
          </w:p>
        </w:tc>
        <w:tc>
          <w:tcPr>
            <w:tcW w:type="dxa" w:w="1170"/>
          </w:tcPr>
          <w:p>
            <w:pPr>
              <w:spacing w:line="240" w:lineRule="auto" w:before="0" w:after="0"/>
              <w:jc w:val="center"/>
            </w:pPr>
            <w:r>
              <w:rPr>
                <w:rFonts w:ascii="Times New Roman" w:hAnsi="Times New Roman"/>
                <w:color w:val="000000"/>
                <w:sz w:val="18"/>
              </w:rPr>
              <w:t>0.485</w:t>
            </w:r>
          </w:p>
        </w:tc>
        <w:tc>
          <w:tcPr>
            <w:tcW w:type="dxa" w:w="1170"/>
          </w:tcPr>
          <w:p>
            <w:pPr>
              <w:spacing w:line="240" w:lineRule="auto" w:before="0" w:after="0"/>
              <w:jc w:val="center"/>
            </w:pPr>
            <w:r>
              <w:rPr>
                <w:rFonts w:ascii="Times New Roman" w:hAnsi="Times New Roman"/>
                <w:color w:val="000000"/>
                <w:sz w:val="18"/>
              </w:rPr>
              <w:t>0.546</w:t>
            </w:r>
          </w:p>
        </w:tc>
        <w:tc>
          <w:tcPr>
            <w:tcW w:type="dxa" w:w="1170"/>
          </w:tcPr>
          <w:p>
            <w:pPr>
              <w:spacing w:line="240" w:lineRule="auto" w:before="0" w:after="0"/>
              <w:jc w:val="center"/>
            </w:pPr>
            <w:r>
              <w:rPr>
                <w:rFonts w:ascii="Times New Roman" w:hAnsi="Times New Roman"/>
                <w:color w:val="000000"/>
                <w:sz w:val="18"/>
              </w:rPr>
              <w:t>0.573</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0.089</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-0.52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-1.77</w:t>
            </w:r>
          </w:p>
        </w:tc>
        <w:tc>
          <w:tcPr>
            <w:tcW w:type="dxa" w:w="1170"/>
          </w:tcPr>
          <w:p>
            <w:pPr>
              <w:spacing w:line="240" w:lineRule="auto" w:before="0" w:after="0"/>
              <w:jc w:val="center"/>
            </w:pPr>
            <w:r>
              <w:rPr>
                <w:rFonts w:ascii="Times New Roman" w:hAnsi="Times New Roman"/>
                <w:color w:val="000000"/>
                <w:sz w:val="18"/>
              </w:rPr>
              <w:t>0.004</w:t>
            </w:r>
          </w:p>
        </w:tc>
        <w:tc>
          <w:tcPr>
            <w:tcW w:type="dxa" w:w="1170"/>
          </w:tcPr>
          <w:p>
            <w:pPr>
              <w:spacing w:line="240" w:lineRule="auto" w:before="0" w:after="0"/>
              <w:jc w:val="center"/>
            </w:pPr>
            <w:r>
              <w:rPr>
                <w:rFonts w:ascii="Times New Roman" w:hAnsi="Times New Roman"/>
                <w:color w:val="000000"/>
                <w:sz w:val="18"/>
              </w:rPr>
              <w:t>0.002</w:t>
            </w:r>
          </w:p>
        </w:tc>
        <w:tc>
          <w:tcPr>
            <w:tcW w:type="dxa" w:w="1170"/>
          </w:tcPr>
          <w:p>
            <w:pPr>
              <w:spacing w:line="240" w:lineRule="auto" w:before="0" w:after="0"/>
              <w:jc w:val="center"/>
            </w:pPr>
            <w:r>
              <w:rPr>
                <w:rFonts w:ascii="Times New Roman" w:hAnsi="Times New Roman"/>
                <w:color w:val="000000"/>
                <w:sz w:val="18"/>
              </w:rPr>
              <w:t>0.009</w:t>
            </w:r>
          </w:p>
        </w:tc>
        <w:tc>
          <w:tcPr>
            <w:tcW w:type="dxa" w:w="1170"/>
          </w:tcPr>
          <w:p>
            <w:pPr>
              <w:spacing w:line="240" w:lineRule="auto" w:before="0" w:after="0"/>
              <w:jc w:val="center"/>
            </w:pPr>
            <w:r>
              <w:rPr>
                <w:rFonts w:ascii="Times New Roman" w:hAnsi="Times New Roman"/>
                <w:color w:val="000000"/>
                <w:sz w:val="18"/>
              </w:rPr>
              <w:t>0.000</w:t>
            </w:r>
          </w:p>
        </w:tc>
      </w:tr>
    </w:tbl>
    <w:p>
      <w:pPr>
        <w:keepNext/>
        <w:spacing w:line="276" w:lineRule="auto" w:before="40" w:after="160"/>
        <w:jc w:val="left"/>
      </w:pPr>
      <w:r>
        <w:rPr>
          <w:rFonts w:ascii="Times New Roman" w:hAnsi="Times New Roman"/>
          <w:i/>
          <w:color w:val="000000"/>
          <w:sz w:val="20"/>
        </w:rPr>
        <w:t>Source: Author's computation (2026). Note: Sharpe Diff = Difference in annualized Sharpe ratio (Strategy minus Benchmark); Jobson-Korkie p-val = Asymptotic Z-test p-value under Gaussian assumptions (Jobson &amp; Korkie, 1981; Memmel, 2003); Ledoit-Wolf Sharpe p-val = Circular block bootstrap p-value robust to fat tails and autocorrelation with 2,000 resamples (Ledoit &amp; Wolf, 2008); Benjamini-Hochberg (FDR q-val) = False Discovery Rate adjusted q-value controlling the expected proportion of false positives across all 18 simultaneous pairwise comparisons (Benjamini &amp; Hochberg, 1995); Wilcoxon p-val = Non-parametric Wilcoxon signed-rank test p-value (Wilcoxon, 1945).</w:t>
      </w:r>
    </w:p>
    <w:p>
      <w:pPr>
        <w:keepNext/>
        <w:spacing w:line="480" w:lineRule="auto" w:before="0" w:after="0"/>
        <w:jc w:val="left"/>
      </w:pPr>
      <w:r>
        <w:rPr>
          <w:rFonts w:ascii="Times New Roman" w:hAnsi="Times New Roman"/>
          <w:b/>
          <w:color w:val="000000"/>
          <w:sz w:val="24"/>
        </w:rPr>
        <w:t>4.8 Discussion of Findings</w:t>
      </w:r>
    </w:p>
    <w:p>
      <w:pPr>
        <w:spacing w:line="480" w:lineRule="auto" w:before="0" w:after="0"/>
        <w:ind w:firstLine="72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ind w:firstLine="72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The return distributions exhibit predominantly positive skewness (cross-sectional mean = +0.54) combined with excess kurtosis across all 28 assets (ranging from 2.20 to 14.47 among assets unaffected by corporate actions), indicating heavy-tailed, leptokurtic distributions. Under these conditions, standard variance , which penalizes upside and downside deviations symmetrically, overstates the risk contribution of positive outliers while underestimating the severity of left-tail losses. Econometrically, this confirms that empirical NGX equity returns are characterized by fat tails and asymmetric risk profiles. These results strongly support the theoretical arguments and empirical evidence of Mozumder et al. (2024), Adegboyo &amp; Sarwar (2025), Uzoaga et al. (2025a), and Alim et al. (2024), who emphasize that emerging frontier stock markets experience pronounced price jumps, policy shifts, and macroeconomic shocks that invalidate Gaussian assumptions. Conversely, these findings contrast with the theoretical premise of classical dispersion models (Bali et al., 2007; Samaniego Alcántar, 2023), which argue that standard variance can serve as an adequate proxy for portfolio risk when higher-order moments exhibit finite-sample instability. On the NGX, relying strictly on standard variance underestimates tail-risk exposure during market downturns, supporting the adoption of downside risk measures such as Conditional Value-at-Risk (CVaR).</w:t>
      </w:r>
    </w:p>
    <w:p>
      <w:pPr>
        <w:spacing w:line="480" w:lineRule="auto" w:before="0" w:after="0"/>
        <w:ind w:firstLine="720"/>
        <w:jc w:val="both"/>
      </w:pPr>
      <w:r>
        <w:rPr>
          <w:rFonts w:ascii="Times New Roman" w:hAnsi="Times New Roman"/>
          <w:color w:val="000000"/>
          <w:sz w:val="24"/>
        </w:rPr>
        <w:t>Secondly, regarding the performance of non-linear Machine Learning models in forecasting weekly NGX equity returns under Expanding-Window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Random Forest achieved an average out-of-sample directional accuracy of 38.1% across liquid NGX equities (with individual assets reaching up to 50.8%), compared to 37.9% for historical baselines and 37.8% for XGBoost.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et al., 2020; Chao, 2024; Ojo &amp; Okafor, 2024; Ajiga et al., 2024; Ferrari et al., 2024), demonstrating that machine learning algorithms capture non-linear market interactions and trend-persistence dynamics in emerging economies. However, this finding also engages with contrasting perspectives: it engages with the weak-form Efficient Market Hypothesis (Fama, 1970) by testing whether past technical price and volume patterns yield economic value, while contrasting with the findings of Moyoweshumba &amp; Seitshiro (2025) on the Johannesburg Stock Exchange. Whereas Moyoweshumba and Seitshiro found that machine learning return forecasts delivered dramatic gains over traditional Markowitz allocation on the JSE, on the NGX machine learning return forecasts added no statistically significant edge over historical sample means (gross Sharpe difference +0.02, q = 0.591).</w:t>
      </w:r>
    </w:p>
    <w:p>
      <w:pPr>
        <w:spacing w:line="480" w:lineRule="auto" w:before="0" w:after="0"/>
        <w:ind w:firstLine="72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at the unadjusted level under Ledoit-Wolf circular block bootstrap tests (p = 0.015), but is marginal after Benjamini–Hochberg False Discovery Rate correction for 18 simultaneous comparisons (q = 0.056). Crucially, the honestly significant finding that survives rigorous multiple testing correction is that the CVaR risk architecture decisively protects capital under transaction frictions: unconstrained MVO collapses against 1/N equal weighting under retail fees (FDR q = 0.009), while static low-turnover Historical-CVaR significantly outperforms high-turnover XGB-CVaR under institutional fees (Sharpe diff -0.25, FDR q = 0.000). Furthermore, Certainty Equivalent Return (CER) welfare analysis shows positive utility gains (+819 basis points CER gain over passive indexing). These results corroborate established portfolio selection theory (Markowitz, 1952; Rockafellar &amp; Uryasev, 2000; Bodnar et al., 2022; Hsiao, 2025), showing that convex tail-risk constraints improve risk-adjusted outcomes regardless of whether forward-looking ML return forecasts or historical sample means are employed. Nevertheless, these findings provide a nuanced contrast to the empirical work of San (2025) and the classic estimation-error critique of naive diversification, which assert that simple 1/N equal weighting consistently outperforms or equals optimized portfolios out-of-sample due to parameter uncertainty. While 1/N achieves a robust gross Sharpe of 1.07 on the NGX (Table 4.5), disciplined CVaR tail-loss minimization achieves superior downside protection (-22.09% max drawdown versus -23.95% for 1/N), demonstrating that tail-risk optimization delivers distinct economic value.</w:t>
      </w:r>
    </w:p>
    <w:p>
      <w:pPr>
        <w:spacing w:line="480" w:lineRule="auto" w:before="0" w:after="0"/>
        <w:ind w:firstLine="72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severe weight instability (99.28% average weekly turnover), resulting in a maximum drawdown of -86.38% and negative economic welfare (CER = -64.09%). This strongly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risk-adjusted outperformance prior to friction over the index, comparable to Historical-CVaR, weekly rebalancing turnover (11.00%) incurs an annual fee drag (~3.6% to ~7.2%) that erodes gross returns after fees. This finding aligns with transaction cost literature (Job, 2022; Alotaibi et al., 2022; Kevin &amp; Yugopuspito, 2025), indicating that structural tail-risk architecture (CVaR) plays a central role in frictional emerging markets. It also qualifies the assertions of high-frequency quantitative models that advocate unconstrained algorithmic rebalancing, demonstrating that without explicit turnover penalties or execution smoothing bands, transaction friction rapidly neutralizes statistical predictive edges on frontier exchanges.</w:t>
      </w:r>
    </w:p>
    <w:p>
      <w:pPr>
        <w:keepNext/>
        <w:pageBreakBefore/>
        <w:spacing w:line="480" w:lineRule="auto" w:before="0" w:after="0"/>
        <w:jc w:val="center"/>
      </w:pPr>
      <w:r>
        <w:rPr>
          <w:rFonts w:ascii="Times New Roman" w:hAnsi="Times New Roman"/>
          <w:b/>
          <w:color w:val="000000"/>
          <w:sz w:val="28"/>
        </w:rPr>
        <w:t>CHAPTER FIVE</w:t>
      </w:r>
    </w:p>
    <w:p>
      <w:pPr>
        <w:keepNext/>
        <w:spacing w:line="480" w:lineRule="auto" w:before="0" w:after="0"/>
        <w:jc w:val="center"/>
      </w:pPr>
      <w:r>
        <w:rPr>
          <w:rFonts w:ascii="Times New Roman" w:hAnsi="Times New Roman"/>
          <w:b/>
          <w:color w:val="000000"/>
          <w:sz w:val="24"/>
        </w:rPr>
        <w:t>SUMMARY, CONCLUSION AND RECOMMENDATIONS</w:t>
      </w:r>
    </w:p>
    <w:p>
      <w:pPr>
        <w:keepNext/>
        <w:spacing w:line="480" w:lineRule="auto" w:before="0" w:after="0"/>
        <w:jc w:val="left"/>
      </w:pPr>
      <w:r>
        <w:rPr>
          <w:rFonts w:ascii="Times New Roman" w:hAnsi="Times New Roman"/>
          <w:b/>
          <w:color w:val="000000"/>
          <w:sz w:val="24"/>
        </w:rPr>
        <w:t>5.1 Summary of Findings</w:t>
      </w:r>
    </w:p>
    <w:p>
      <w:pPr>
        <w:spacing w:line="480" w:lineRule="auto" w:before="0" w:after="0"/>
        <w:ind w:firstLine="720"/>
        <w:jc w:val="both"/>
      </w:pPr>
      <w:r>
        <w:rPr>
          <w:rFonts w:ascii="Times New Roman" w:hAnsi="Times New Roman"/>
          <w:color w:val="000000"/>
          <w:sz w:val="24"/>
        </w:rPr>
        <w:t>1. Statistical Non-Normality and Tail-Risk Exposure: Formal statistical diagnostic tests (Jarque-Bera and Shapiro-Wilk) rejected Gaussian normality across all 28 evaluated NGX equities (p &lt; 0.001). The empirical return distributions exhibited predominantly positive skewness (cross-sectional mean = +0.54) combined with excess kurtosis across all 28 assets (ranging from 2.20 to 14.47 among assets unaffected by corporate actions), indicating heavy-tailed, leptokurtic distributions that support the use of downside Conditional Value-at-Risk (CVaR) over standard variance.</w:t>
      </w:r>
    </w:p>
    <w:p>
      <w:pPr>
        <w:spacing w:line="480" w:lineRule="auto" w:before="0" w:after="0"/>
        <w:ind w:firstLine="720"/>
        <w:jc w:val="both"/>
      </w:pPr>
      <w:r>
        <w:rPr>
          <w:rFonts w:ascii="Times New Roman" w:hAnsi="Times New Roman"/>
          <w:color w:val="000000"/>
          <w:sz w:val="24"/>
        </w:rPr>
        <w:t>2. Machine Learning Return Forecasting Dynamics: Non-linear machine learning ensembles (Random Forest and XGBoost) evaluated under Expanding-Window Walk-Forward Validation captured time-varying market dynamics. Random Forest achieved the highest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ind w:firstLine="720"/>
        <w:jc w:val="both"/>
      </w:pPr>
      <w:r>
        <w:rPr>
          <w:rFonts w:ascii="Times New Roman" w:hAnsi="Times New Roman"/>
          <w:color w:val="000000"/>
          <w:sz w:val="24"/>
        </w:rPr>
        <w:t>3. Out-of-Sample Portfolio Optimization Performance: Integrating machine learning return forecasts into a convex Mean-CVaR optimization framework generated higher risk-adjusted returns under zero fee friction relative to the market index. XGBoost + Mean-CVaR achieved a gross Sharpe ratio of 1.52 (42.00% annualized return, -22.09% maximum drawdown) compared to 0.91 for the passive NGX Index Buy-Hold baseline. This gross outperformance over the index is statistically significant at the unadjusted level (Ledoit-Wolf circular block bootstrap p = 0.015), but marginal after Benjamini–Hochberg False Discovery Rate correction for 18 simultaneous comparisons (q = 0.056), while delivering Certainty Equivalent Return utility gains (+819 bps CER gain). Crucially, XGB-CVaR and Historical-CVaR achieved statistically indistinguishable gross Sharpe ratios (1.52 vs 1.50, difference +0.02, FDR q = 0.591), confirming that outperformance over the market index stems from the convex CVaR risk architecture rather than machine learning return forecasts. Under transaction friction, low-turnover Historical-CVaR significantly outperforms active XGB-CVaR under institutional fees (q = 0.000), and unconstrained MVO collapses against 1/N equal weighting under retail friction (q = 0.009).</w:t>
      </w:r>
    </w:p>
    <w:p>
      <w:pPr>
        <w:spacing w:line="480" w:lineRule="auto" w:before="0" w:after="0"/>
        <w:ind w:firstLine="720"/>
        <w:jc w:val="both"/>
      </w:pPr>
      <w:r>
        <w:rPr>
          <w:rFonts w:ascii="Times New Roman" w:hAnsi="Times New Roman"/>
          <w:color w:val="000000"/>
          <w:sz w:val="24"/>
        </w:rPr>
        <w:t>4. Transaction Cost Dynamics and Turnover Friction: Evaluating portfolio performance under market stress and multi-tier transaction cost friction demonstrated that unconstrained Markowitz Mean-Variance Optimization experiences severe performance degradation (-86.38% drawdown, -64.09% CER utility) due to high turnover (99.28% weekly turnover). Under institutional (0.75%) and retail (1.50%) brokerage fees, active ML rebalancing turnover (11.00%) creates an annual fee drag (~3.6% to ~7.2%) that erodes gross returns after fees, while low-turnover Historical-CVaR (0.38% turnover) maintains stable post-fee performance (net Sharpe 1.48 to 1.49, pairwise Ledoit-Wolf p = 0.000, FDR q = 0.000 vs XGB-CVaR).</w:t>
      </w:r>
    </w:p>
    <w:p>
      <w:pPr>
        <w:keepNext/>
        <w:spacing w:line="480" w:lineRule="auto" w:before="0" w:after="0"/>
        <w:jc w:val="left"/>
      </w:pPr>
      <w:r>
        <w:rPr>
          <w:rFonts w:ascii="Times New Roman" w:hAnsi="Times New Roman"/>
          <w:b/>
          <w:color w:val="000000"/>
          <w:sz w:val="24"/>
        </w:rPr>
        <w:t>5.2 Conclusion</w:t>
      </w:r>
    </w:p>
    <w:p>
      <w:pPr>
        <w:spacing w:line="480" w:lineRule="auto" w:before="0" w:after="0"/>
        <w:ind w:firstLine="72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16-year period (2010-2025). The research evaluated non-normality diagnostics, Machine Learning return forecasting (Random Forest and XGBoost) under Expanding-Window Walk-Forward Validation, and convex Mean-CVaR asset allocation backtesting.</w:t>
      </w:r>
    </w:p>
    <w:p>
      <w:pPr>
        <w:spacing w:line="480" w:lineRule="auto" w:before="0" w:after="0"/>
        <w:ind w:firstLine="720"/>
        <w:jc w:val="both"/>
      </w:pPr>
      <w:r>
        <w:rPr>
          <w:rFonts w:ascii="Times New Roman" w:hAnsi="Times New Roman"/>
          <w:color w:val="000000"/>
          <w:sz w:val="24"/>
        </w:rPr>
        <w:t>The overall conclusion of this research is that while tail-risk-aware CVaR optimization delivers substantial risk-adjusted outperformance and downside protection on the NGX (+819 bps CER gain over passive indexing), machine learning return forecasts provide no statistically significant enhancement over simple historical sample means, and high-turnover rebalancing incurs severe transaction fee drag. Consequently, structural tail-risk management via Conditional Value-at-Risk (CVaR) appears to be the primary contributor to real-world investor economic surplus in the NGX context studied. This indicates that downside tail-risk architecture plays a far more critical role than model forecasting complexity in frictional emerging equity markets.</w:t>
      </w:r>
    </w:p>
    <w:p>
      <w:pPr>
        <w:keepNext/>
        <w:spacing w:line="480" w:lineRule="auto" w:before="0" w:after="0"/>
        <w:jc w:val="left"/>
      </w:pPr>
      <w:r>
        <w:rPr>
          <w:rFonts w:ascii="Times New Roman" w:hAnsi="Times New Roman"/>
          <w:b/>
          <w:color w:val="000000"/>
          <w:sz w:val="24"/>
        </w:rPr>
        <w:t>5.3 Policy and Practical Recommendations</w:t>
      </w:r>
    </w:p>
    <w:p>
      <w:pPr>
        <w:keepNext/>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ind w:firstLine="720"/>
        <w:jc w:val="both"/>
      </w:pPr>
      <w:r>
        <w:rPr>
          <w:rFonts w:ascii="Times New Roman" w:hAnsi="Times New Roman"/>
          <w:color w:val="000000"/>
          <w:sz w:val="24"/>
        </w:rPr>
        <w:t>1. PENCOM Investment Guidelines Update: The National Pension Commission (PENCOM) may consider incorporating downside tail-risk metrics, such as Conditional Value-at-Risk (CVaR at 95% confidence level), alongside traditional variance-based measures in its Investment Guidelines for Fund I, Fund II, and Fund III equity portfolios. Pension Fund Administrators (PFAs) could evaluate CVaR-constrained allocation models to protect pension assets during extreme macroeconomic shocks.</w:t>
      </w:r>
    </w:p>
    <w:p>
      <w:pPr>
        <w:spacing w:line="480" w:lineRule="auto" w:before="0" w:after="0"/>
        <w:ind w:firstLine="720"/>
        <w:jc w:val="both"/>
      </w:pPr>
      <w:r>
        <w:rPr>
          <w:rFonts w:ascii="Times New Roman" w:hAnsi="Times New Roman"/>
          <w:color w:val="000000"/>
          <w:sz w:val="24"/>
        </w:rPr>
        <w:t>2. SEC &amp; NGX Regulatory Data Transparency: The Securities and Exchange Commission (SEC) and NGX Regulation should establish open-access, low-latency API data infrastructure for market participants to support quantitative risk management. Furthermore, the SEC should require asset management firms to publish quarterly CVaR metrics in fund factsheets to enhance retail investor risk transparency.</w:t>
      </w:r>
    </w:p>
    <w:p>
      <w:pPr>
        <w:keepNext/>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ind w:firstLine="720"/>
        <w:jc w:val="both"/>
      </w:pPr>
      <w:r>
        <w:rPr>
          <w:rFonts w:ascii="Times New Roman" w:hAnsi="Times New Roman"/>
          <w:color w:val="000000"/>
          <w:sz w:val="24"/>
        </w:rPr>
        <w:t>1. Adoption of Low-Turnover Tail-Risk Frameworks: Pension Fund Administrators (PFAs) and institutional fund managers operating on the NGX should evaluate Mean-CVaR asset allocation as a complement or alternative to classical Markowitz Mean-Variance Optimization. To prevent fee erosion, institutional managers should enforce strict turnover caps, employ turnover-penalized objective functions, or adopt quarterly rebalancing protocols.</w:t>
      </w:r>
    </w:p>
    <w:p>
      <w:pPr>
        <w:spacing w:line="480" w:lineRule="auto" w:before="0" w:after="0"/>
        <w:ind w:firstLine="720"/>
        <w:jc w:val="both"/>
      </w:pPr>
      <w:r>
        <w:rPr>
          <w:rFonts w:ascii="Times New Roman" w:hAnsi="Times New Roman"/>
          <w:color w:val="000000"/>
          <w:sz w:val="24"/>
        </w:rPr>
        <w:t>2. Dynamic Risk-Free Asset Allocation: Institutional portfolios should actively incorporate sovereign risk-free assets (such as Central Bank of Nigeria 91-day Treasury Bills) to stabilize portfolio Sharpe ratios during market drawdown regimes.</w:t>
      </w:r>
    </w:p>
    <w:p>
      <w:pPr>
        <w:keepNext/>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ind w:firstLine="720"/>
        <w:jc w:val="both"/>
      </w:pPr>
      <w:r>
        <w:rPr>
          <w:rFonts w:ascii="Times New Roman" w:hAnsi="Times New Roman"/>
          <w:color w:val="000000"/>
          <w:sz w:val="24"/>
        </w:rPr>
        <w:t>1. Stress-Testing and Downside Risk Auditing: Risk officers and quantitative portfolio managers should consider regular stress testing using historical block bootstrap resampling and non-parametric CVaR estimation to evaluate portfolio tail loss limits.</w:t>
      </w:r>
    </w:p>
    <w:p>
      <w:pPr>
        <w:spacing w:line="480" w:lineRule="auto" w:before="0" w:after="0"/>
        <w:ind w:firstLine="720"/>
        <w:jc w:val="both"/>
      </w:pPr>
      <w:r>
        <w:rPr>
          <w:rFonts w:ascii="Times New Roman" w:hAnsi="Times New Roman"/>
          <w:color w:val="000000"/>
          <w:sz w:val="24"/>
        </w:rPr>
        <w:t>2. Turnover-Constrained Rebalancing and Fee Auditing: Quantitative portfolio managers on frontier exchanges must implement turnover constraints (such as rebalancing bands, penalty terms, or quarterly re-allocation schedules) to prevent aggressive portfolio turnover from eroding gross risk-adjusted performance across institutional and retail transaction fee tiers.</w:t>
      </w:r>
    </w:p>
    <w:p>
      <w:pPr>
        <w:keepNext/>
        <w:spacing w:line="480" w:lineRule="auto" w:before="0" w:after="0"/>
        <w:jc w:val="left"/>
      </w:pPr>
      <w:r>
        <w:rPr>
          <w:rFonts w:ascii="Times New Roman" w:hAnsi="Times New Roman"/>
          <w:b/>
          <w:color w:val="000000"/>
          <w:sz w:val="24"/>
        </w:rPr>
        <w:t>5.4 Limitations of the Study</w:t>
      </w:r>
    </w:p>
    <w:p>
      <w:pPr>
        <w:spacing w:line="480" w:lineRule="auto" w:before="0" w:after="0"/>
        <w:ind w:firstLine="720"/>
        <w:jc w:val="both"/>
      </w:pPr>
      <w:r>
        <w:rPr>
          <w:rFonts w:ascii="Times New Roman" w:hAnsi="Times New Roman"/>
          <w:color w:val="000000"/>
          <w:sz w:val="24"/>
        </w:rPr>
        <w:t>While this study provides empirical insights into quantitative asset management on the Nigerian equity market, several methodological limitations are acknowledged:</w:t>
      </w:r>
    </w:p>
    <w:p>
      <w:pPr>
        <w:spacing w:line="480" w:lineRule="auto" w:before="0" w:after="0"/>
        <w:ind w:firstLine="720"/>
        <w:jc w:val="both"/>
      </w:pPr>
      <w:r>
        <w:rPr>
          <w:rFonts w:ascii="Times New Roman" w:hAnsi="Times New Roman"/>
          <w:color w:val="000000"/>
          <w:sz w:val="24"/>
        </w:rPr>
        <w:t>1. Asset Universe Scope: The study evaluated 28 liquid equities from the NGX Pension Index with complete 16-year histories (2010–2025). Recently listed high-capitalization assets (e.g., BUA Foods, Geregu Power, Aradel Holdings) were excluded to maintain continuous historical data without imputation.</w:t>
      </w:r>
    </w:p>
    <w:p>
      <w:pPr>
        <w:spacing w:line="480" w:lineRule="auto" w:before="0" w:after="0"/>
        <w:ind w:firstLine="720"/>
        <w:jc w:val="both"/>
      </w:pPr>
      <w:r>
        <w:rPr>
          <w:rFonts w:ascii="Times New Roman" w:hAnsi="Times New Roman"/>
          <w:color w:val="000000"/>
          <w:sz w:val="24"/>
        </w:rPr>
        <w:t>2. Data Frequency: Analysis was conducted using weekly log returns. While weekly sampling effectively mitigates daily bid-ask bounce and microstructural noise, it does not capture intraday high-frequency trading dynamics.</w:t>
      </w:r>
    </w:p>
    <w:p>
      <w:pPr>
        <w:spacing w:line="480" w:lineRule="auto" w:before="0" w:after="0"/>
        <w:ind w:firstLine="720"/>
        <w:jc w:val="both"/>
      </w:pPr>
      <w:r>
        <w:rPr>
          <w:rFonts w:ascii="Times New Roman" w:hAnsi="Times New Roman"/>
          <w:color w:val="000000"/>
          <w:sz w:val="24"/>
        </w:rPr>
        <w:t>3. Exogenous Macroeconomic Signals: The machine learning feature matrix focused on price and volume technical indicators; exogenous macroeconomic variables (such as USD/NGN exchange rate shocks and Brent crude oil prices) were not explicitly included in the feature set.</w:t>
      </w:r>
    </w:p>
    <w:p>
      <w:pPr>
        <w:spacing w:line="480" w:lineRule="auto" w:before="0" w:after="0"/>
        <w:ind w:firstLine="720"/>
        <w:jc w:val="both"/>
      </w:pPr>
      <w:r>
        <w:rPr>
          <w:rFonts w:ascii="Times New Roman" w:hAnsi="Times New Roman"/>
          <w:color w:val="000000"/>
          <w:sz w:val="24"/>
        </w:rPr>
        <w:t>4. Sample Selection Bias: The requirement for complete 16-year price histories (2010–2025) may introduce survivorship and sample-selection bias, as only securities that remained continuously listed and traded throughout the full sample period were retained. Firms that delisted, were suspended, or entered the market after 2010 are not represented in the analysis. This limitation should be considered when generalizing findings to the broader NGX universe.</w:t>
      </w:r>
    </w:p>
    <w:p>
      <w:pPr>
        <w:spacing w:line="480" w:lineRule="auto" w:before="0" w:after="0"/>
        <w:ind w:firstLine="720"/>
        <w:jc w:val="both"/>
      </w:pPr>
      <w:r>
        <w:rPr>
          <w:rFonts w:ascii="Times New Roman" w:hAnsi="Times New Roman"/>
          <w:color w:val="000000"/>
          <w:sz w:val="24"/>
        </w:rPr>
        <w:t>5. Price-Only Returns and Unadjusted Corporate Actions: This study used price-only (capital appreciation) returns rather than total returns inclusive of dividend distributions. Given that several NGX equities offer meaningful dividend yields, the reported returns may understate total investment performance across all strategies. Additionally, prices were not adjusted for corporate actions; these observations reflect mechanical price changes rather than economic returns and inflate the reported kurtosis for these three assets (MANSARD, TRANSCORP, and WEMABANK; see Section 4.2).</w:t>
      </w:r>
    </w:p>
    <w:p>
      <w:pPr>
        <w:keepNext/>
        <w:spacing w:line="480" w:lineRule="auto" w:before="0" w:after="0"/>
        <w:jc w:val="left"/>
      </w:pPr>
      <w:r>
        <w:rPr>
          <w:rFonts w:ascii="Times New Roman" w:hAnsi="Times New Roman"/>
          <w:b/>
          <w:color w:val="000000"/>
          <w:sz w:val="24"/>
        </w:rPr>
        <w:t>5.5 Suggestions for Further Research</w:t>
      </w:r>
    </w:p>
    <w:p>
      <w:pPr>
        <w:spacing w:line="480" w:lineRule="auto" w:before="0" w:after="0"/>
        <w:ind w:firstLine="720"/>
        <w:jc w:val="both"/>
      </w:pPr>
      <w:r>
        <w:rPr>
          <w:rFonts w:ascii="Times New Roman" w:hAnsi="Times New Roman"/>
          <w:color w:val="000000"/>
          <w:sz w:val="24"/>
        </w:rPr>
        <w:t>Based on the empirical findings and limitations of this research, the following directions for future investigation are suggested:</w:t>
      </w:r>
    </w:p>
    <w:p>
      <w:pPr>
        <w:spacing w:line="480" w:lineRule="auto" w:before="0" w:after="0"/>
        <w:ind w:firstLine="720"/>
        <w:jc w:val="both"/>
      </w:pPr>
      <w:r>
        <w:rPr>
          <w:rFonts w:ascii="Times New Roman" w:hAnsi="Times New Roman"/>
          <w:color w:val="000000"/>
          <w:sz w:val="24"/>
        </w:rPr>
        <w:t>1. Macroeconomic and Exogenous Feature Integration: Future research should expand the machine learning feature space to include macroeconomic variables, foreign exchange volatility, and crude oil price dynamics.</w:t>
      </w:r>
    </w:p>
    <w:p>
      <w:pPr>
        <w:spacing w:line="480" w:lineRule="auto" w:before="0" w:after="0"/>
        <w:ind w:firstLine="720"/>
        <w:jc w:val="both"/>
      </w:pPr>
      <w:r>
        <w:rPr>
          <w:rFonts w:ascii="Times New Roman" w:hAnsi="Times New Roman"/>
          <w:color w:val="000000"/>
          <w:sz w:val="24"/>
        </w:rPr>
        <w:t>2. Deep Learning and High-Frequency Architectures: Extending forecasting models to Transformer-based temporal models and Long Short-Term Memory (LSTM) networks on daily or intraday NGX trading data.</w:t>
      </w:r>
    </w:p>
    <w:p>
      <w:pPr>
        <w:spacing w:line="480" w:lineRule="auto" w:before="0" w:after="0"/>
        <w:ind w:firstLine="720"/>
        <w:jc w:val="both"/>
      </w:pPr>
      <w:r>
        <w:rPr>
          <w:rFonts w:ascii="Times New Roman" w:hAnsi="Times New Roman"/>
          <w:color w:val="000000"/>
          <w:sz w:val="24"/>
        </w:rPr>
        <w:t>3. Multi-Period Friction-Constrained CVaR Optimization: Incorporating transaction cost penalties directly into the CVaR objective function to minimize rebalancing turnover during high-volatility regimes.</w:t>
      </w:r>
    </w:p>
    <w:p>
      <w:pPr>
        <w:keepNext/>
        <w:spacing w:line="480" w:lineRule="auto" w:before="0" w:after="0"/>
        <w:jc w:val="left"/>
      </w:pPr>
      <w:r>
        <w:rPr>
          <w:rFonts w:ascii="Times New Roman" w:hAnsi="Times New Roman"/>
          <w:b/>
          <w:color w:val="000000"/>
          <w:sz w:val="24"/>
        </w:rPr>
        <w:t>5.6 Contribution to Knowledge</w:t>
      </w:r>
    </w:p>
    <w:p>
      <w:pPr>
        <w:spacing w:line="480" w:lineRule="auto" w:before="0" w:after="0"/>
        <w:ind w:firstLine="720"/>
        <w:jc w:val="both"/>
      </w:pPr>
      <w:r>
        <w:rPr>
          <w:rFonts w:ascii="Times New Roman" w:hAnsi="Times New Roman"/>
          <w:color w:val="000000"/>
          <w:sz w:val="24"/>
        </w:rPr>
        <w:t>This research contributes to quantitative finance literature in the following ways:</w:t>
      </w:r>
    </w:p>
    <w:p>
      <w:pPr>
        <w:spacing w:line="480" w:lineRule="auto" w:before="0" w:after="0"/>
        <w:ind w:firstLine="720"/>
        <w:jc w:val="both"/>
      </w:pPr>
      <w:r>
        <w:rPr>
          <w:rFonts w:ascii="Times New Roman" w:hAnsi="Times New Roman"/>
          <w:color w:val="000000"/>
          <w:sz w:val="24"/>
        </w:rPr>
        <w:t>1. Empirical Contribution: Provides an empirical evaluation of Machine Learning integrated with convex Mean-CVaR optimization on the Nigerian Exchange Group using a clean 16-year dataset (2010–2025).</w:t>
      </w:r>
    </w:p>
    <w:p>
      <w:pPr>
        <w:spacing w:line="480" w:lineRule="auto" w:before="0" w:after="0"/>
        <w:ind w:firstLine="720"/>
        <w:jc w:val="both"/>
      </w:pPr>
      <w:r>
        <w:rPr>
          <w:rFonts w:ascii="Times New Roman" w:hAnsi="Times New Roman"/>
          <w:color w:val="000000"/>
          <w:sz w:val="24"/>
        </w:rPr>
        <w:t>2. Theoretical Contribution: Evaluates the performance of classical Markowitz Mean-Variance Optimization under non-normal emerging market return distributions and examines how structural tail-risk architecture (CVaR) performs relative to model complexity post-fees.</w:t>
      </w:r>
    </w:p>
    <w:p>
      <w:pPr>
        <w:spacing w:line="480" w:lineRule="auto" w:before="0" w:after="0"/>
        <w:ind w:firstLine="720"/>
        <w:jc w:val="both"/>
      </w:pPr>
      <w:r>
        <w:rPr>
          <w:rFonts w:ascii="Times New Roman" w:hAnsi="Times New Roman"/>
          <w:color w:val="000000"/>
          <w:sz w:val="24"/>
        </w:rPr>
        <w:t>3. Practical Contribution: Formulates a low-turnover tail-risk asset allocation framework designed to improve economic welfare for institutional investors in frontier markets.</w:t>
      </w:r>
    </w:p>
    <w:p>
      <w:pPr>
        <w:keepNext/>
        <w:spacing w:line="480" w:lineRule="auto" w:before="0" w:after="0"/>
        <w:jc w:val="left"/>
      </w:pPr>
      <w:r>
        <w:rPr>
          <w:rFonts w:ascii="Times New Roman" w:hAnsi="Times New Roman"/>
          <w:b/>
          <w:color w:val="000000"/>
          <w:sz w:val="24"/>
        </w:rPr>
        <w:t>5.7 Data and Code Availability Statement</w:t>
      </w:r>
    </w:p>
    <w:p>
      <w:pPr>
        <w:spacing w:line="480" w:lineRule="auto" w:before="0" w:after="0"/>
        <w:ind w:firstLine="72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is open-source and publicly hosted on GitHub at:</w:t>
      </w:r>
    </w:p>
    <w:p>
      <w:pPr>
        <w:spacing w:line="480" w:lineRule="auto" w:before="0" w:after="0"/>
        <w:ind w:firstLine="720"/>
        <w:jc w:val="both"/>
      </w:pPr>
      <w:r>
        <w:rPr>
          <w:rFonts w:ascii="Times New Roman" w:hAnsi="Times New Roman"/>
          <w:color w:val="000000"/>
          <w:sz w:val="24"/>
        </w:rPr>
        <w:t>Repository URL: https://github.com/abdulameen962/equity-optimization</w:t>
      </w:r>
    </w:p>
    <w:p>
      <w:pPr>
        <w:keepNext/>
        <w:pageBreakBefore/>
        <w:spacing w:line="480" w:lineRule="auto" w:before="0" w:after="0"/>
        <w:jc w:val="center"/>
      </w:pPr>
      <w:r>
        <w:rPr>
          <w:rFonts w:ascii="Times New Roman" w:hAnsi="Times New Roman"/>
          <w:b/>
          <w:color w:val="000000"/>
          <w:sz w:val="28"/>
        </w:rPr>
        <w:t>REFERENCES</w:t>
      </w:r>
    </w:p>
    <w:p>
      <w:pPr>
        <w:spacing w:line="480" w:lineRule="auto" w:before="0" w:after="0"/>
        <w:ind w:left="720" w:hanging="720"/>
        <w:jc w:val="left"/>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left"/>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left"/>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left"/>
      </w:pPr>
      <w:r>
        <w:rPr>
          <w:rFonts w:ascii="Times New Roman" w:hAnsi="Times New Roman"/>
          <w:color w:val="000000"/>
          <w:sz w:val="24"/>
        </w:rPr>
        <w:t>Alfzari, S., Al-Shboul, M., &amp; Alshurideh, M. (2025). Predictive analytics in portfolio management: A fusion of AI and investment economics for optimal risk-return trade-offs. International Review of Management and Marketing, 15(2), 365–380. https://doi.org/10.32479/irmm.18594</w:t>
      </w:r>
    </w:p>
    <w:p>
      <w:pPr>
        <w:spacing w:line="480" w:lineRule="auto" w:before="0" w:after="0"/>
        <w:ind w:left="720" w:hanging="720"/>
        <w:jc w:val="left"/>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left"/>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left"/>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left"/>
      </w:pPr>
      <w:r>
        <w:rPr>
          <w:rFonts w:ascii="Times New Roman" w:hAnsi="Times New Roman"/>
          <w:color w:val="000000"/>
          <w:sz w:val="24"/>
        </w:rPr>
        <w:t>Artzner, P., Delbaen, F., Eber, J.-M., &amp; Heath, D. (1999). Coherent measures of risk. Mathematical Finance, 9(3), 203–228. https://doi.org/10.1111/1467-9965.00068</w:t>
      </w:r>
    </w:p>
    <w:p>
      <w:pPr>
        <w:spacing w:line="480" w:lineRule="auto" w:before="0" w:after="0"/>
        <w:ind w:left="720" w:hanging="720"/>
        <w:jc w:val="left"/>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left"/>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left"/>
      </w:pPr>
      <w:r>
        <w:rPr>
          <w:rFonts w:ascii="Times New Roman" w:hAnsi="Times New Roman"/>
          <w:color w:val="000000"/>
          <w:sz w:val="24"/>
        </w:rPr>
        <w:t>Benjamini, Y., &amp; Hochberg, Y. (1995). Controlling the false discovery rate: A practical and powerful approach to multiple testing. Journal of the Royal Statistical Society: Series B (Methodological), 57(1), 289–300. https://doi.org/10.1111/j.2517-6161.1995.tb02031.x</w:t>
      </w:r>
    </w:p>
    <w:p>
      <w:pPr>
        <w:spacing w:line="480" w:lineRule="auto" w:before="0" w:after="0"/>
        <w:ind w:left="720" w:hanging="720"/>
        <w:jc w:val="left"/>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left"/>
      </w:pPr>
      <w:r>
        <w:rPr>
          <w:rFonts w:ascii="Times New Roman" w:hAnsi="Times New Roman"/>
          <w:color w:val="000000"/>
          <w:sz w:val="24"/>
        </w:rPr>
        <w:t>Breiman, L. (2001). Random forests. Machine Learning, 45(1), 5–32. https://doi.org/10.1023/A:1010933404324</w:t>
      </w:r>
    </w:p>
    <w:p>
      <w:pPr>
        <w:spacing w:line="480" w:lineRule="auto" w:before="0" w:after="0"/>
        <w:ind w:left="720" w:hanging="720"/>
        <w:jc w:val="left"/>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left"/>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left"/>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left"/>
      </w:pPr>
      <w:r>
        <w:rPr>
          <w:rFonts w:ascii="Times New Roman" w:hAnsi="Times New Roman"/>
          <w:color w:val="000000"/>
          <w:sz w:val="24"/>
        </w:rPr>
        <w:t>Chen, T., &amp; Guestrin, C. (2016). XGBoost: A scalable tree boosting system. Proceedings of the 22nd ACM SIGKDD International Conference on Knowledge Discovery and Data Mining, 785–794. https://doi.org/10.1145/2939672.2939785</w:t>
      </w:r>
    </w:p>
    <w:p>
      <w:pPr>
        <w:spacing w:line="480" w:lineRule="auto" w:before="0" w:after="0"/>
        <w:ind w:left="720" w:hanging="720"/>
        <w:jc w:val="left"/>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left"/>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left"/>
      </w:pPr>
      <w:r>
        <w:rPr>
          <w:rFonts w:ascii="Times New Roman" w:hAnsi="Times New Roman"/>
          <w:color w:val="000000"/>
          <w:sz w:val="24"/>
        </w:rPr>
        <w:t>DeMiguel, V., Garlappi, L., &amp; Uppal, R. (2009). Optimal versus naive diversification: How inefficient is the 1/N portfolio strategy? The Review of Financial Studies, 22(5), 1915–1953. https://doi.org/10.1093/rfs/hhm075</w:t>
      </w:r>
    </w:p>
    <w:p>
      <w:pPr>
        <w:spacing w:line="480" w:lineRule="auto" w:before="0" w:after="0"/>
        <w:ind w:left="720" w:hanging="720"/>
        <w:jc w:val="left"/>
      </w:pPr>
      <w:r>
        <w:rPr>
          <w:rFonts w:ascii="Times New Roman" w:hAnsi="Times New Roman"/>
          <w:color w:val="000000"/>
          <w:sz w:val="24"/>
        </w:rPr>
        <w:t>Dickey, D. A., &amp; Fuller, W. A. (1979). Distribution of the estimators for autoregressive time series with a unit root. Journal of the American Statistical Association, 74(366), 427–431. https://doi.org/10.2307/2286348</w:t>
      </w:r>
    </w:p>
    <w:p>
      <w:pPr>
        <w:spacing w:line="480" w:lineRule="auto" w:before="0" w:after="0"/>
        <w:ind w:left="720" w:hanging="720"/>
        <w:jc w:val="left"/>
      </w:pPr>
      <w:r>
        <w:rPr>
          <w:rFonts w:ascii="Times New Roman" w:hAnsi="Times New Roman"/>
          <w:color w:val="000000"/>
          <w:sz w:val="24"/>
        </w:rPr>
        <w:t>Diebold, F. X., &amp; Mariano, R. S. (1995). Comparing predictive accuracy. Journal of Business &amp; Economic Statistics, 13(3), 253–263. https://doi.org/10.1080/07350015.1995.10524599</w:t>
      </w:r>
    </w:p>
    <w:p>
      <w:pPr>
        <w:spacing w:line="480" w:lineRule="auto" w:before="0" w:after="0"/>
        <w:ind w:left="720" w:hanging="720"/>
        <w:jc w:val="left"/>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left"/>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left"/>
      </w:pPr>
      <w:r>
        <w:rPr>
          <w:rFonts w:ascii="Times New Roman" w:hAnsi="Times New Roman"/>
          <w:color w:val="000000"/>
          <w:sz w:val="24"/>
        </w:rPr>
        <w:t>Fan, Y. (2025). Enhancing investment strategies with LSTM-based stock prediction and mean-variance portfolio optimization. Advances in Economics, Management and Political Sciences, 182, 110–117. https://doi.org/10.54254/2754-1169/2024.23667</w:t>
      </w:r>
    </w:p>
    <w:p>
      <w:pPr>
        <w:spacing w:line="480" w:lineRule="auto" w:before="0" w:after="0"/>
        <w:ind w:left="720" w:hanging="720"/>
        <w:jc w:val="left"/>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left"/>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left"/>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left"/>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left"/>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left"/>
      </w:pPr>
      <w:r>
        <w:rPr>
          <w:rFonts w:ascii="Times New Roman" w:hAnsi="Times New Roman"/>
          <w:color w:val="000000"/>
          <w:sz w:val="24"/>
        </w:rPr>
        <w:t>Hsiao, Y.-Y. (2025). A comprehensive survey of modern portfolio optimization: From traditional risk analysis to advanced analytics and machine learning approaches. Advances in Economics, Management and Political Sciences, 166, 189–194. https://doi.org/10.54254/2754-1169/2025.21140</w:t>
      </w:r>
    </w:p>
    <w:p>
      <w:pPr>
        <w:spacing w:line="480" w:lineRule="auto" w:before="0" w:after="0"/>
        <w:ind w:left="720" w:hanging="720"/>
        <w:jc w:val="left"/>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left"/>
      </w:pPr>
      <w:r>
        <w:rPr>
          <w:rFonts w:ascii="Times New Roman" w:hAnsi="Times New Roman"/>
          <w:color w:val="000000"/>
          <w:sz w:val="24"/>
        </w:rPr>
        <w:t>Jarque, C. M., &amp; Bera, A. K. (1987). A test for normality of observations and regression residuals. International Statistical Review, 55(2), 163–172. https://doi.org/10.2307/1403192</w:t>
      </w:r>
    </w:p>
    <w:p>
      <w:pPr>
        <w:spacing w:line="480" w:lineRule="auto" w:before="0" w:after="0"/>
        <w:ind w:left="720" w:hanging="720"/>
        <w:jc w:val="left"/>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left"/>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left"/>
      </w:pPr>
      <w:r>
        <w:rPr>
          <w:rFonts w:ascii="Times New Roman" w:hAnsi="Times New Roman"/>
          <w:color w:val="000000"/>
          <w:sz w:val="24"/>
        </w:rPr>
        <w:t>Kevin, J., &amp; Yugopuspito, P. (2025). Hybrid LSTM and PPO networks for dynamic portfolio optimization. arXiv:2511.17963. https://arxiv.org/abs/2511.17963</w:t>
      </w:r>
    </w:p>
    <w:p>
      <w:pPr>
        <w:spacing w:line="480" w:lineRule="auto" w:before="0" w:after="0"/>
        <w:ind w:left="720" w:hanging="720"/>
        <w:jc w:val="left"/>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left"/>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left"/>
      </w:pPr>
      <w:r>
        <w:rPr>
          <w:rFonts w:ascii="Times New Roman" w:hAnsi="Times New Roman"/>
          <w:color w:val="000000"/>
          <w:sz w:val="24"/>
        </w:rPr>
        <w:t>Li, G. (2023). Portfolio optimization and risk analysis in financial markets. Proceedings of the 2nd International Conference on Financial Technology and Business Analysis, 61, 236–246. https://doi.org/10.54254/2754-1169/61/20231273</w:t>
      </w:r>
    </w:p>
    <w:p>
      <w:pPr>
        <w:spacing w:line="480" w:lineRule="auto" w:before="0" w:after="0"/>
        <w:ind w:left="720" w:hanging="720"/>
        <w:jc w:val="left"/>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left"/>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left"/>
      </w:pPr>
      <w:r>
        <w:rPr>
          <w:rFonts w:ascii="Times New Roman" w:hAnsi="Times New Roman"/>
          <w:color w:val="000000"/>
          <w:sz w:val="24"/>
        </w:rPr>
        <w:t>Mahadevaswamy, G. H., &amp; Shyamala, G. (2022). Markowitz Model Is Right Choice to Investment. International Journal of Novel Research and Development, 7(7), 305–314.</w:t>
      </w:r>
    </w:p>
    <w:p>
      <w:pPr>
        <w:spacing w:line="480" w:lineRule="auto" w:before="0" w:after="0"/>
        <w:ind w:left="720" w:hanging="720"/>
        <w:jc w:val="left"/>
      </w:pPr>
      <w:r>
        <w:rPr>
          <w:rFonts w:ascii="Times New Roman" w:hAnsi="Times New Roman"/>
          <w:color w:val="000000"/>
          <w:sz w:val="24"/>
        </w:rPr>
        <w:t>Manogna, R. L., &amp; Kulkarni, N. (2025). Portfolio Optimization Model for Stock Price Prediction Using Machine Learning. Journal of Statistical Theory and Applications, 24, 1091–1108. https://doi.org/10.1007/s44199-025-00140-z</w:t>
      </w:r>
    </w:p>
    <w:p>
      <w:pPr>
        <w:spacing w:line="480" w:lineRule="auto" w:before="0" w:after="0"/>
        <w:ind w:left="720" w:hanging="720"/>
        <w:jc w:val="left"/>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left"/>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left"/>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left"/>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left"/>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left"/>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left"/>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left"/>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left"/>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left"/>
      </w:pPr>
      <w:r>
        <w:rPr>
          <w:rFonts w:ascii="Times New Roman" w:hAnsi="Times New Roman"/>
          <w:color w:val="000000"/>
          <w:sz w:val="24"/>
        </w:rPr>
        <w:t>Nigerian Exchange Group. (2024). Market report and listed securities directory. NGX Group. https://ngxgroup.com</w:t>
      </w:r>
    </w:p>
    <w:p>
      <w:pPr>
        <w:spacing w:line="480" w:lineRule="auto" w:before="0" w:after="0"/>
        <w:ind w:left="720" w:hanging="720"/>
        <w:jc w:val="left"/>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left"/>
      </w:pPr>
      <w:r>
        <w:rPr>
          <w:rFonts w:ascii="Times New Roman" w:hAnsi="Times New Roman"/>
          <w:color w:val="000000"/>
          <w:sz w:val="24"/>
        </w:rPr>
        <w:t>Okafor, C., &amp; Robertson, A. (2023). Maximizing returns: Portfolio optimization in the Nigerian Stock Exchange. International Journal of Advances in Applied Mathematics and Computer Science, 10(2), 14–28. https://americaserial.com/journals/ijaamcs/article/518</w:t>
      </w:r>
    </w:p>
    <w:p>
      <w:pPr>
        <w:spacing w:line="480" w:lineRule="auto" w:before="0" w:after="0"/>
        <w:ind w:left="720" w:hanging="720"/>
        <w:jc w:val="left"/>
      </w:pPr>
      <w:r>
        <w:rPr>
          <w:rFonts w:ascii="Times New Roman" w:hAnsi="Times New Roman"/>
          <w:color w:val="000000"/>
          <w:sz w:val="24"/>
        </w:rPr>
        <w:t>Rigamonti, A., &amp; Lučivjanská, K. (2024). Mean-semivariance portfolio optimization using minimum average partial. Annals of Operations Research, 334, 185–203. https://doi.org/10.1007/s10479-022-04736-x</w:t>
      </w:r>
    </w:p>
    <w:p>
      <w:pPr>
        <w:spacing w:line="480" w:lineRule="auto" w:before="0" w:after="0"/>
        <w:ind w:left="720" w:hanging="720"/>
        <w:jc w:val="left"/>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left"/>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left"/>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left"/>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left"/>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left"/>
      </w:pPr>
      <w:r>
        <w:rPr>
          <w:rFonts w:ascii="Times New Roman" w:hAnsi="Times New Roman"/>
          <w:color w:val="000000"/>
          <w:sz w:val="24"/>
        </w:rPr>
        <w:t>San, J. (2025). Stock Forecasting and Portfolio Optimization Based on ARIMA-GARCH, Random Forest and Monte Carlo Models. Advances in Economics, Business and Management Research, 333, 582–591. https://doi.org/10.2991/978-94-6463-652-9_61</w:t>
      </w:r>
    </w:p>
    <w:p>
      <w:pPr>
        <w:spacing w:line="480" w:lineRule="auto" w:before="0" w:after="0"/>
        <w:ind w:left="720" w:hanging="720"/>
        <w:jc w:val="left"/>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left"/>
      </w:pPr>
      <w:r>
        <w:rPr>
          <w:rFonts w:ascii="Times New Roman" w:hAnsi="Times New Roman"/>
          <w:color w:val="000000"/>
          <w:sz w:val="24"/>
        </w:rPr>
        <w:t>Shapiro, S. S., &amp; Wilk, M. B. (1965). An analysis of variance test for normality (complete samples). Biometrika, 52(3/4), 591–611. https://doi.org/10.2307/2333709</w:t>
      </w:r>
    </w:p>
    <w:p>
      <w:pPr>
        <w:spacing w:line="480" w:lineRule="auto" w:before="0" w:after="0"/>
        <w:ind w:left="720" w:hanging="720"/>
        <w:jc w:val="left"/>
      </w:pPr>
      <w:r>
        <w:rPr>
          <w:rFonts w:ascii="Times New Roman" w:hAnsi="Times New Roman"/>
          <w:color w:val="000000"/>
          <w:sz w:val="24"/>
        </w:rPr>
        <w:t>Sharpe, W. F. (1966). Mutual fund performance. The Journal of Business, 39(1), 119–138. https://doi.org/10.1086/294846</w:t>
      </w:r>
    </w:p>
    <w:p>
      <w:pPr>
        <w:spacing w:line="480" w:lineRule="auto" w:before="0" w:after="0"/>
        <w:ind w:left="720" w:hanging="720"/>
        <w:jc w:val="left"/>
      </w:pPr>
      <w:r>
        <w:rPr>
          <w:rFonts w:ascii="Times New Roman" w:hAnsi="Times New Roman"/>
          <w:color w:val="000000"/>
          <w:sz w:val="24"/>
        </w:rPr>
        <w:t>Ślusarczyk, D., &amp; Ślepaczuk, R. (2025). Optimal Markowitz portfolio using returns forecasted with time series and machine learning models. Journal of Big Data, 12, Article 127. https://doi.org/10.1186/s40537-025-01164-z</w:t>
      </w:r>
    </w:p>
    <w:p>
      <w:pPr>
        <w:spacing w:line="480" w:lineRule="auto" w:before="0" w:after="0"/>
        <w:ind w:left="720" w:hanging="720"/>
        <w:jc w:val="left"/>
      </w:pPr>
      <w:r>
        <w:rPr>
          <w:rFonts w:ascii="Times New Roman" w:hAnsi="Times New Roman"/>
          <w:color w:val="000000"/>
          <w:sz w:val="24"/>
        </w:rPr>
        <w:t>Sortino, F. A., &amp; Price, L. N. (1994). Performance measurement in a downside risk framework. The Journal of Investing, 3(3), 59–64. https://doi.org/10.3905/joi.3.3.59</w:t>
      </w:r>
    </w:p>
    <w:p>
      <w:pPr>
        <w:spacing w:line="480" w:lineRule="auto" w:before="0" w:after="0"/>
        <w:ind w:left="720" w:hanging="720"/>
        <w:jc w:val="left"/>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left"/>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left"/>
      </w:pPr>
      <w:r>
        <w:rPr>
          <w:rFonts w:ascii="Times New Roman" w:hAnsi="Times New Roman"/>
          <w:color w:val="000000"/>
          <w:sz w:val="24"/>
        </w:rPr>
        <w:t>Uzoaga, G. A., Adenomon, M. O., Nweze, N. O., &amp; Maijama, B. (2025a).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left"/>
      </w:pPr>
      <w:r>
        <w:rPr>
          <w:rFonts w:ascii="Times New Roman" w:hAnsi="Times New Roman"/>
          <w:color w:val="000000"/>
          <w:sz w:val="24"/>
        </w:rPr>
        <w:t>Uzoaga, G. A., Adenomon, M. O., Nweze, N. O., &amp; Maijamaa, B. (2025b). Predictive machine learning methods for stock returns among emerging economies in Africa. Science World Journal, 20(3), 941–947. https://dx.doi.org/10.4314/swj.v20i3.3</w:t>
      </w:r>
    </w:p>
    <w:p>
      <w:pPr>
        <w:spacing w:line="480" w:lineRule="auto" w:before="0" w:after="0"/>
        <w:ind w:left="720" w:hanging="720"/>
        <w:jc w:val="left"/>
      </w:pPr>
      <w:r>
        <w:rPr>
          <w:rFonts w:ascii="Times New Roman" w:hAnsi="Times New Roman"/>
          <w:color w:val="000000"/>
          <w:sz w:val="24"/>
        </w:rPr>
        <w:t>Wahid, A. J., Riaman, &amp; Sukono. (2025). A Systematic Literature Review on Mean-CVaR Based Financial Asset Portfolio Weight Allocation Using K-Means Clustering. CAUCHY – Jurnal Matematika Murni dan Aplikasi, 10(2), 1069–1091. https://doi.org/10.18860/cauchy.v10i2.36590</w:t>
      </w:r>
    </w:p>
    <w:p>
      <w:pPr>
        <w:spacing w:line="480" w:lineRule="auto" w:before="0" w:after="0"/>
        <w:ind w:left="720" w:hanging="720"/>
        <w:jc w:val="left"/>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left"/>
      </w:pPr>
      <w:r>
        <w:rPr>
          <w:rFonts w:ascii="Times New Roman" w:hAnsi="Times New Roman"/>
          <w:color w:val="000000"/>
          <w:sz w:val="24"/>
        </w:rPr>
        <w:t>Wilcoxon, F. (1945). Individual comparisons by ranking methods. Biometrics Bulletin, 1(6), 80–83. https://doi.org/10.2307/3001968</w:t>
      </w:r>
    </w:p>
    <w:p>
      <w:pPr>
        <w:spacing w:line="480" w:lineRule="auto" w:before="0" w:after="0"/>
        <w:ind w:left="720" w:hanging="720"/>
        <w:jc w:val="left"/>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left"/>
      </w:pPr>
      <w:r>
        <w:rPr>
          <w:rFonts w:ascii="Times New Roman" w:hAnsi="Times New Roman"/>
          <w:color w:val="000000"/>
          <w:sz w:val="24"/>
        </w:rPr>
        <w:t>Yu, S. (2024). Advancing stock market return forecasting with LSTM models and financial indicators. In Proceedings of the International Conference on Economic Management and Green Development, Advances in Economics, Management and Political Sciences (Vol. 122, pp. 137–144). https://doi.org/10.54254/2754-1169/2024.17734</w:t>
      </w:r>
    </w:p>
    <w:p>
      <w:pPr>
        <w:spacing w:line="480" w:lineRule="auto" w:before="0" w:after="0"/>
        <w:ind w:left="720" w:hanging="720"/>
        <w:jc w:val="left"/>
      </w:pPr>
      <w:r>
        <w:rPr>
          <w:rFonts w:ascii="Times New Roman" w:hAnsi="Times New Roman"/>
          <w:color w:val="000000"/>
          <w:sz w:val="24"/>
        </w:rPr>
        <w:t>Zaimovic, A., Arnaut-Berilo, A., &amp; Bešlija, R. (2024). International portfolio diversification benefits: An empirical investigation of the 28 European stock markets. The South East European Journal of Economics and Business, 19(1), 96–112. https://doi.org/10.2478/jeb-2024-0007</w:t>
      </w:r>
    </w:p>
    <w:p>
      <w:pPr>
        <w:spacing w:line="480" w:lineRule="auto" w:before="0" w:after="0"/>
        <w:ind w:left="720" w:hanging="720"/>
        <w:jc w:val="left"/>
      </w:pPr>
      <w:r>
        <w:rPr>
          <w:rFonts w:ascii="Times New Roman" w:hAnsi="Times New Roman"/>
          <w:color w:val="000000"/>
          <w:sz w:val="24"/>
        </w:rPr>
        <w:t>Zapata Quimbayo, C., &amp; León, B. (2025). Downside risk measures and ESG factors in optimal portfolio construction: Evidence from European equity markets. Economics - Innovative and Economics Research Journal, 13(4), 5–17. https://doi.org/10.2478/eoik-2025-0082</w:t>
      </w:r>
    </w:p>
    <w:p>
      <w:pPr>
        <w:spacing w:line="480" w:lineRule="auto" w:before="0" w:after="0"/>
        <w:ind w:left="720" w:hanging="720"/>
        <w:jc w:val="left"/>
      </w:pPr>
      <w:r>
        <w:rPr>
          <w:rFonts w:ascii="Times New Roman" w:hAnsi="Times New Roman"/>
          <w:color w:val="000000"/>
          <w:sz w:val="24"/>
        </w:rPr>
        <w:t>Zhang, G. (2025). Using machine learning for stock return prediction. Advances in Economics, Management and Political Sciences, 185, 119–126. https://doi.org/10.54254/2754-1169/2025.LH23915</w:t>
      </w:r>
    </w:p>
    <w:p>
      <w:pPr>
        <w:spacing w:line="480" w:lineRule="auto" w:before="0" w:after="0"/>
        <w:ind w:left="720" w:hanging="720"/>
        <w:jc w:val="left"/>
      </w:pPr>
      <w:r>
        <w:rPr>
          <w:rFonts w:ascii="Times New Roman" w:hAnsi="Times New Roman"/>
          <w:color w:val="000000"/>
          <w:sz w:val="24"/>
        </w:rPr>
        <w:t>Zhang, Y. (2024). Integrating forecasting and mean-variance portfolio optimization: A machine learning approach. Advances in Economics, Management and Political Sciences, 90, 157–168. https://doi.org/10.54254/2754-1169/90/20242002</w:t>
      </w:r>
    </w:p>
    <w:p>
      <w:pPr>
        <w:spacing w:line="480" w:lineRule="auto" w:before="0" w:after="0"/>
        <w:ind w:left="720" w:hanging="720"/>
        <w:jc w:val="left"/>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D2BF6"/>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D2B3E"/>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0D58"/>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sz w:val="24"/>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1257</TotalTime>
  <Pages>64</Pages>
  <Words>15338</Words>
  <Characters>87429</Characters>
  <Application>Microsoft Office Word</Application>
  <DocSecurity>0</DocSecurity>
  <Lines>728</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131</cp:revision>
  <dcterms:created xsi:type="dcterms:W3CDTF">2026-04-26T17:15:00Z</dcterms:created>
  <dcterms:modified xsi:type="dcterms:W3CDTF">2026-09-26T14:55:00Z</dcterms:modified>
</cp:coreProperties>
</file>