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SANNI ABDUL</w:t>
      </w:r>
      <w:r w:rsidR="3CB00BA7" w:rsidRPr="00244161">
        <w:rPr>
          <w:rFonts w:eastAsia="Times New Roman" w:ascii="Times New Roman" w:hAnsi="Times New Roman"/>
          <w:b/>
          <w:bCs/>
          <w:color w:val="000000" w:themeColor="text1"/>
          <w:sz w:val="28"/>
          <w:szCs w:val="28"/>
        </w:rPr>
        <w:t>-</w:t>
      </w:r>
      <w:r w:rsidRPr="00244161">
        <w:rPr>
          <w:rFonts w:eastAsia="Times New Roman" w:ascii="Times New Roman" w:hAnsi="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ascii="Times New Roman" w:hAnsi="Times New Roman"/>
          <w:b/>
          <w:bCs/>
          <w:color w:val="000000" w:themeColor="text1"/>
          <w:sz w:val="28"/>
          <w:szCs w:val="28"/>
        </w:rPr>
        <w:t>OSUN</w:t>
      </w:r>
      <w:proofErr w:type="gramEnd"/>
      <w:r w:rsidRPr="00244161">
        <w:rPr>
          <w:rFonts w:eastAsia="Times New Roman" w:ascii="Times New Roman" w:hAnsi="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ascii="Times New Roman" w:hAnsi="Times New Roman"/>
          <w:bCs/>
          <w:color w:val="000000" w:themeColor="text1"/>
        </w:rPr>
        <w:t>achelor of Science (</w:t>
      </w:r>
      <w:proofErr w:type="spellStart"/>
      <w:r w:rsidR="00D21EAF" w:rsidRPr="00244161">
        <w:rPr>
          <w:rFonts w:eastAsia="Times New Roman" w:ascii="Times New Roman" w:hAnsi="Times New Roman"/>
          <w:bCs/>
          <w:color w:val="000000" w:themeColor="text1"/>
        </w:rPr>
        <w:t>B.Sc</w:t>
      </w:r>
      <w:proofErr w:type="spellEnd"/>
      <w:r w:rsidR="00D21EAF" w:rsidRPr="00244161">
        <w:rPr>
          <w:rFonts w:eastAsia="Times New Roman" w:ascii="Times New Roman" w:hAnsi="Times New Roman"/>
          <w:bCs/>
          <w:color w:val="000000" w:themeColor="text1"/>
        </w:rPr>
        <w:t xml:space="preserve">) Department of Economics, Obafemi </w:t>
      </w:r>
      <w:proofErr w:type="spellStart"/>
      <w:r w:rsidR="00D21EAF" w:rsidRPr="00244161">
        <w:rPr>
          <w:rFonts w:eastAsia="Times New Roman" w:ascii="Times New Roman" w:hAnsi="Times New Roman"/>
          <w:bCs/>
          <w:color w:val="000000" w:themeColor="text1"/>
        </w:rPr>
        <w:t>Awolowo</w:t>
      </w:r>
      <w:proofErr w:type="spellEnd"/>
      <w:r w:rsidR="00D21EAF" w:rsidRPr="00244161">
        <w:rPr>
          <w:rFonts w:eastAsia="Times New Roman" w:ascii="Times New Roman" w:hAnsi="Times New Roman"/>
          <w:bCs/>
          <w:color w:val="000000" w:themeColor="text1"/>
        </w:rPr>
        <w:t xml:space="preserve"> University, </w:t>
      </w:r>
      <w:proofErr w:type="gramStart"/>
      <w:r w:rsidR="00D21EAF" w:rsidRPr="00244161">
        <w:rPr>
          <w:rFonts w:eastAsia="Times New Roman" w:ascii="Times New Roman" w:hAnsi="Times New Roman"/>
          <w:bCs/>
          <w:color w:val="000000" w:themeColor="text1"/>
        </w:rPr>
        <w:t>Ile</w:t>
      </w:r>
      <w:proofErr w:type="gramEnd"/>
      <w:r w:rsidR="00D21EAF" w:rsidRPr="00244161">
        <w:rPr>
          <w:rFonts w:eastAsia="Times New Roman" w:ascii="Times New Roman" w:hAnsi="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Yetunde</w:t>
      </w:r>
      <w:proofErr w:type="spellEnd"/>
      <w:r w:rsidRPr="00244161">
        <w:rPr>
          <w:rFonts w:eastAsia="Times New Roman" w:ascii="Times New Roman" w:hAnsi="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ascii="Times New Roman" w:hAnsi="Times New Roman"/>
          <w:bCs/>
          <w:color w:val="000000" w:themeColor="text1"/>
        </w:rPr>
        <w:t>programme</w:t>
      </w:r>
      <w:proofErr w:type="spellEnd"/>
      <w:r w:rsidRPr="00244161">
        <w:rPr>
          <w:rFonts w:eastAsia="Times New Roman" w:ascii="Times New Roman" w:hAnsi="Times New Roman"/>
          <w:bCs/>
          <w:color w:val="000000" w:themeColor="text1"/>
        </w:rPr>
        <w:t xml:space="preserve"> in Obafemi </w:t>
      </w:r>
      <w:proofErr w:type="spellStart"/>
      <w:r w:rsidRPr="00244161">
        <w:rPr>
          <w:rFonts w:eastAsia="Times New Roman" w:ascii="Times New Roman" w:hAnsi="Times New Roman"/>
          <w:bCs/>
          <w:color w:val="000000" w:themeColor="text1"/>
        </w:rPr>
        <w:t>Awolowo</w:t>
      </w:r>
      <w:proofErr w:type="spellEnd"/>
      <w:r w:rsidRPr="00244161">
        <w:rPr>
          <w:rFonts w:eastAsia="Times New Roman" w:ascii="Times New Roman" w:hAnsi="Times New Roman"/>
          <w:bCs/>
          <w:color w:val="000000" w:themeColor="text1"/>
        </w:rPr>
        <w:t xml:space="preserve"> University, Ile-Ife.</w:t>
      </w:r>
      <w:r w:rsidR="00010979" w:rsidRPr="00244161">
        <w:rPr>
          <w:rFonts w:eastAsia="Times New Roman" w:ascii="Times New Roman" w:hAnsi="Times New Roman"/>
          <w:bCs/>
          <w:color w:val="000000" w:themeColor="text1"/>
        </w:rPr>
        <w:t xml:space="preserve"> </w:t>
      </w:r>
      <w:r w:rsidRPr="00244161">
        <w:rPr>
          <w:rFonts w:eastAsia="Times New Roman" w:ascii="Times New Roman" w:hAnsi="Times New Roman"/>
          <w:bCs/>
          <w:color w:val="000000" w:themeColor="text1"/>
        </w:rPr>
        <w:t xml:space="preserve">My sincere appreciation goes to my supervisor, Prof. O.R </w:t>
      </w:r>
      <w:proofErr w:type="spellStart"/>
      <w:r w:rsidRPr="00244161">
        <w:rPr>
          <w:rFonts w:eastAsia="Times New Roman" w:ascii="Times New Roman" w:hAnsi="Times New Roman"/>
          <w:bCs/>
          <w:color w:val="000000" w:themeColor="text1"/>
        </w:rPr>
        <w:t>Olayeni</w:t>
      </w:r>
      <w:proofErr w:type="spellEnd"/>
      <w:r w:rsidRPr="00244161">
        <w:rPr>
          <w:rFonts w:eastAsia="Times New Roman" w:ascii="Times New Roman" w:hAnsi="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ascii="Times New Roman" w:hAnsi="Times New Roman"/>
          <w:bCs/>
          <w:color w:val="000000" w:themeColor="text1"/>
        </w:rPr>
        <w:t xml:space="preserve">lly guide and elevate you, sir. </w:t>
      </w:r>
      <w:r w:rsidRPr="00244161">
        <w:rPr>
          <w:rFonts w:eastAsia="Times New Roman" w:ascii="Times New Roman" w:hAnsi="Times New Roman"/>
          <w:bCs/>
          <w:color w:val="000000" w:themeColor="text1"/>
        </w:rPr>
        <w:t xml:space="preserve">I am also deeply thankful to Prof. D.O </w:t>
      </w:r>
      <w:proofErr w:type="spellStart"/>
      <w:r w:rsidRPr="00244161">
        <w:rPr>
          <w:rFonts w:eastAsia="Times New Roman" w:ascii="Times New Roman" w:hAnsi="Times New Roman"/>
          <w:bCs/>
          <w:color w:val="000000" w:themeColor="text1"/>
        </w:rPr>
        <w:t>Olayungbo</w:t>
      </w:r>
      <w:proofErr w:type="spellEnd"/>
      <w:r w:rsidRPr="00244161">
        <w:rPr>
          <w:rFonts w:eastAsia="Times New Roman" w:ascii="Times New Roman" w:hAnsi="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Special thanks go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w:t>
      </w:r>
      <w:r w:rsidR="000B583E" w:rsidRPr="00244161">
        <w:rPr>
          <w:rFonts w:eastAsia="Times New Roman" w:ascii="Times New Roman" w:hAnsi="Times New Roman"/>
          <w:bCs/>
          <w:color w:val="000000" w:themeColor="text1"/>
        </w:rPr>
        <w:t>tunde</w:t>
      </w:r>
      <w:proofErr w:type="spellEnd"/>
      <w:r w:rsidR="000B583E" w:rsidRPr="00244161">
        <w:rPr>
          <w:rFonts w:eastAsia="Times New Roman" w:ascii="Times New Roman" w:hAnsi="Times New Roman"/>
          <w:bCs/>
          <w:color w:val="000000" w:themeColor="text1"/>
        </w:rPr>
        <w:t xml:space="preserve"> and my sister, Miss </w:t>
      </w:r>
      <w:proofErr w:type="spellStart"/>
      <w:r w:rsidR="000B583E" w:rsidRPr="00244161">
        <w:rPr>
          <w:rFonts w:eastAsia="Times New Roman" w:ascii="Times New Roman" w:hAnsi="Times New Roman"/>
          <w:bCs/>
          <w:color w:val="000000" w:themeColor="text1"/>
        </w:rPr>
        <w:t>Sanni</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Nofisat</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Opeyemi</w:t>
      </w:r>
      <w:proofErr w:type="spellEnd"/>
      <w:r w:rsidR="000B583E" w:rsidRPr="00244161">
        <w:rPr>
          <w:rFonts w:eastAsia="Times New Roman" w:ascii="Times New Roman" w:hAnsi="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My appreciation also goes out to </w:t>
      </w:r>
      <w:proofErr w:type="spellStart"/>
      <w:r w:rsidR="004B354E" w:rsidRPr="00244161">
        <w:rPr>
          <w:rFonts w:eastAsia="Times New Roman" w:ascii="Times New Roman" w:hAnsi="Times New Roman"/>
          <w:bCs/>
          <w:color w:val="000000" w:themeColor="text1"/>
        </w:rPr>
        <w:t>Mr</w:t>
      </w:r>
      <w:proofErr w:type="spellEnd"/>
      <w:r w:rsidR="004B354E" w:rsidRPr="00244161">
        <w:rPr>
          <w:rFonts w:eastAsia="Times New Roman" w:ascii="Times New Roman" w:hAnsi="Times New Roman"/>
          <w:bCs/>
          <w:color w:val="000000" w:themeColor="text1"/>
        </w:rPr>
        <w:t xml:space="preserve"> Samuel for his work which acted as a guidance and standard for how a good undergraduate thesis should be.</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To my wonderful friends, </w:t>
      </w:r>
      <w:proofErr w:type="spellStart"/>
      <w:r w:rsidR="004B354E" w:rsidRPr="00244161">
        <w:rPr>
          <w:rFonts w:eastAsia="Times New Roman" w:ascii="Times New Roman" w:hAnsi="Times New Roman"/>
          <w:bCs/>
          <w:color w:val="000000" w:themeColor="text1"/>
        </w:rPr>
        <w:t>Iyowun</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Aishat</w:t>
      </w:r>
      <w:proofErr w:type="spellEnd"/>
      <w:r w:rsidR="00F100DD" w:rsidRPr="00244161">
        <w:rPr>
          <w:rFonts w:eastAsia="Times New Roman" w:ascii="Times New Roman" w:hAnsi="Times New Roman"/>
          <w:bCs/>
          <w:color w:val="000000" w:themeColor="text1"/>
        </w:rPr>
        <w:t xml:space="preserve"> </w:t>
      </w:r>
      <w:proofErr w:type="spellStart"/>
      <w:r w:rsidR="00F100DD" w:rsidRPr="00244161">
        <w:rPr>
          <w:rFonts w:eastAsia="Times New Roman" w:ascii="Times New Roman" w:hAnsi="Times New Roman"/>
          <w:bCs/>
          <w:color w:val="000000" w:themeColor="text1"/>
        </w:rPr>
        <w:t>Iteoluwakiisi</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Ojuade</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Saidat</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Oluwabukunmi</w:t>
      </w:r>
      <w:proofErr w:type="spellEnd"/>
      <w:r w:rsidR="004B354E" w:rsidRPr="00244161">
        <w:rPr>
          <w:rFonts w:eastAsia="Times New Roman" w:ascii="Times New Roman" w:hAnsi="Times New Roman"/>
          <w:bCs/>
          <w:color w:val="000000" w:themeColor="text1"/>
        </w:rPr>
        <w:t>,</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Olaseyinde</w:t>
      </w:r>
      <w:proofErr w:type="spellEnd"/>
      <w:r w:rsidR="006A73D9" w:rsidRPr="00244161">
        <w:rPr>
          <w:rFonts w:eastAsia="Times New Roman" w:ascii="Times New Roman" w:hAnsi="Times New Roman"/>
          <w:bCs/>
          <w:color w:val="000000" w:themeColor="text1"/>
        </w:rPr>
        <w:t xml:space="preserve"> John</w:t>
      </w:r>
      <w:r w:rsidR="004B354E" w:rsidRPr="00244161">
        <w:rPr>
          <w:rFonts w:eastAsia="Times New Roman" w:ascii="Times New Roman" w:hAnsi="Times New Roman"/>
          <w:bCs/>
          <w:color w:val="000000" w:themeColor="text1"/>
        </w:rPr>
        <w:t xml:space="preserve">, </w:t>
      </w:r>
      <w:r w:rsidR="00335CD6" w:rsidRPr="00244161">
        <w:rPr>
          <w:rFonts w:eastAsia="Times New Roman" w:ascii="Times New Roman" w:hAnsi="Times New Roman"/>
          <w:bCs/>
          <w:color w:val="000000" w:themeColor="text1"/>
        </w:rPr>
        <w:t>Possible,</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Oluwagbemileke</w:t>
      </w:r>
      <w:proofErr w:type="spellEnd"/>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Oluwadara</w:t>
      </w:r>
      <w:proofErr w:type="spellEnd"/>
      <w:r w:rsidR="00335CD6" w:rsidRPr="00244161">
        <w:rPr>
          <w:rFonts w:eastAsia="Times New Roman" w:ascii="Times New Roman" w:hAnsi="Times New Roman"/>
          <w:bCs/>
          <w:color w:val="000000" w:themeColor="text1"/>
        </w:rPr>
        <w:t xml:space="preserve"> </w:t>
      </w:r>
      <w:proofErr w:type="spellStart"/>
      <w:r w:rsidR="00335CD6" w:rsidRPr="00244161">
        <w:rPr>
          <w:rFonts w:eastAsia="Times New Roman" w:ascii="Times New Roman" w:hAnsi="Times New Roman"/>
          <w:bCs/>
          <w:color w:val="000000" w:themeColor="text1"/>
        </w:rPr>
        <w:t>Taiwo</w:t>
      </w:r>
      <w:proofErr w:type="spellEnd"/>
      <w:r w:rsidR="00335CD6" w:rsidRPr="00244161">
        <w:rPr>
          <w:rFonts w:eastAsia="Times New Roman" w:ascii="Times New Roman" w:hAnsi="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before="0"/>
        <w:ind w:firstLine="720"/>
        <w:jc w:val="both"/>
        <w:rPr>
          <w:rFonts w:eastAsia="Times New Roman"/>
          <w:color w:val="000000" w:themeColor="text1"/>
        </w:rPr>
      </w:pPr>
      <w:r>
        <w:rPr>
          <w:rFonts w:ascii="Times New Roman" w:hAnsi="Times New Roman"/>
          <w:color w:val="000000"/>
          <w:sz w:val="24"/>
        </w:rPr>
        <w:t>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 Here γ = 3.0 is the risk-aversion coefficient, consistent with the MVO utility specification.</w:t>
      </w:r>
    </w:p>
    <w:p w:rsidR="00047592" w:rsidRPr="00244161" w:rsidRDefault="006163AF" w:rsidP="000A6C98">
      <w:pPr>
        <w:spacing w:before="0" w:after="0" w:line="480" w:lineRule="auto"/>
        <w:jc w:val="both"/>
        <w:rPr>
          <w:rFonts w:eastAsia="Times New Roman"/>
          <w:color w:val="000000" w:themeColor="text1"/>
        </w:rPr>
      </w:pPr>
      <w:r w:rsidRPr="00244161">
        <w:rPr>
          <w:rFonts w:eastAsia="Times New Roman" w:ascii="Times New Roman" w:hAnsi="Times New Roman"/>
          <w:b/>
          <w:color w:val="000000" w:themeColor="text1"/>
        </w:rPr>
        <w:t xml:space="preserve">Keywords: </w:t>
      </w:r>
      <w:r w:rsidRPr="00244161">
        <w:rPr>
          <w:rFonts w:eastAsia="Times New Roman" w:ascii="Times New Roman" w:hAnsi="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ONE: INTRODUCTION</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1.1 Background to the Study</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1.2 Statement of the Research Problem</w:t>
        <w:tab/>
        <w:t>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1.3 Research Questions</w:t>
        <w:tab/>
        <w:t>10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1.4 Objectives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1.5 Justification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1.6 Scope of the Study</w:t>
        <w:tab/>
        <w:t>14</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TWO: LITERATURE REVIEW</w:t>
        <w:tab/>
        <w:t>15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2.1 Conceptual Framework</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2.1.1 Portfolio Optimization</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2.1.2 Tail-Risk-Aware Portfolio Optimization</w:t>
        <w:tab/>
        <w:t>16</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2.1.3 Equity Return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2.1.4 Machine Learning in Financial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2.1.5 Nigerian Exchange Group (NGX) Market Characteristics</w:t>
        <w:tab/>
        <w:t>19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2.2 Theoretical Framework</w:t>
        <w:tab/>
        <w:t>21</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2.2.1 Modern Portfolio Theory (MPT)</w:t>
        <w:tab/>
        <w:t>22</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2.2.2 Post Modern Portfolio Theory (PMPT)</w:t>
        <w:tab/>
        <w:t>23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2.2.3 Statistical Learning Theory</w:t>
        <w:tab/>
        <w:t>24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2.3 Empirical Framework</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2.3.1 Mean-Variance Portfolio Optimization</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2.3.2 VaR and CVaR Based Portfolio Models</w:t>
        <w:tab/>
        <w:t>28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2.3.3 Integrated Forecasting and Optimization Models</w:t>
        <w:tab/>
        <w:t>28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2.4 Research Gap</w:t>
        <w:tab/>
        <w:t>31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2.5 Summary of Gaps in Literature</w:t>
        <w:tab/>
        <w:t>32</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THREE: RESEARCH METHODOLOGY</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3.1 Theoretical Framework</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3.2 Model Specification</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3.2.1 Predictive Machine Learning Models</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3.2.2 Random Forest Specification</w:t>
        <w:tab/>
        <w:t>37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3.2.3 eXtreme Gradient Boosting (XGBoost)</w:t>
        <w:tab/>
        <w:t>39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3.2.4 The Tail-Risk Aware (Mean-CVaR) Optimization Model</w:t>
        <w:tab/>
        <w:t>40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3.3 Estimation Techniques</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3.3.1 Time-Series Data Partitioning (Train-Test Split)</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3.3.2 Model Training and Hyperparameter Tuning</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3.3.3 Portfolio Turnover and Transaction Costs</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3.3.4 Feature Importance Extraction</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3.3.5 Evaluation Metrics for Forecasting and Portfolio Performance</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3.3.6 Benchmark Portfolios for Evaluation</w:t>
        <w:tab/>
        <w:t>48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3.4 Description and Measurement of Study Variables</w:t>
        <w:tab/>
        <w:t>49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3.5 Data Preprocessing and Feature Scaling</w:t>
        <w:tab/>
        <w:t>52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3.6 Software and Implementation Tools</w:t>
        <w:tab/>
        <w:t>53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3.7 Sources of Data</w:t>
        <w:tab/>
        <w:t>53</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FOUR: DATA ANALYSIS, PRESENTATION AND DISCUSSION</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4.1 Empirical Results and Asset Universe Breakdown</w:t>
        <w:tab/>
        <w:t>54</w:t>
      </w:r>
    </w:p>
    <w:p w:rsidR="00A72284" w:rsidRPr="00244161" w:rsidRDefault="00FD0CC7">
      <w:pPr>
        <w:tabs>
          <w:tab w:val="right" w:leader="dot" w:pos="9360"/>
        </w:tabs>
        <w:spacing w:before="0" w:after="40" w:line="276" w:lineRule="auto"/>
        <w:ind w:left="500"/>
        <w:rPr>
          <w:rFonts w:eastAsia="Times New Roman"/>
        </w:rPr>
      </w:pPr>
      <w:r>
        <w:rPr>
          <w:rFonts w:ascii="Times New Roman" w:hAnsi="Times New Roman"/>
          <w:b w:val="0"/>
          <w:color w:val="000000"/>
          <w:sz w:val="24"/>
        </w:rPr>
        <w:t>4.1.1 Asset Universe Breakdown and Selection Rationale</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4.2 Descriptive Statistics and Market Characteristics</w:t>
        <w:tab/>
        <w:t>56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4.3 Statistical Non-Normality and Stationarity Diagnostic Tests</w:t>
        <w:tab/>
        <w:t>57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4.4 Sectoral Correlation and Multi-Asset Diversification</w:t>
        <w:tab/>
        <w:t>58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4.5 Machine Learning Return Forecasting Results</w:t>
        <w:tab/>
        <w:t>59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4.5.1 Econometric Evaluation: Forecast Accuracy and Portfolio Value</w:t>
        <w:tab/>
        <w:t>60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4.6 Feature Importance and Predictive Driver Analysis</w:t>
        <w:tab/>
        <w:t>63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4.7 Out-of-Sample Portfolio Optimization Backtest and Sensitivity Analysis</w:t>
        <w:tab/>
        <w:t>64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4.7.1 Statistical Significance of Portfolio Outperformance across Market Fee Regimes</w:t>
        <w:tab/>
        <w:t>66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4.8 Discussion of Findings</w:t>
        <w:tab/>
        <w:t>68</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FIVE: SUMMARY, CONCLUSION AND RECOMMENDATIONS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5.1 Summary of Findings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5.2 Conclusion</w:t>
        <w:tab/>
        <w:t>73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5.3 Policy and Practical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5.3.1 Regulatory and Macroeconomic Policy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5.3.2 Institutional Asset Allocation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5.3.3 Quantitative Risk Management Recommendations</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5.4 Limitations of the Study</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5.5 Suggestions for Further Research</w:t>
        <w:tab/>
        <w:t>76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5.6 Contribution to Knowledge</w:t>
        <w:tab/>
        <w:t>77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5.7 Data and Code Availability Statement</w:t>
        <w:tab/>
        <w:t>77</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REFERENCES</w:t>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3.1: Description and Measurement of Study Variables</w:t>
        <w:tab/>
        <w:t>51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4.0: NGX Pension Index Asset Universe Breakdown &amp; Exclusion Rationale</w:t>
        <w:tab/>
        <w:t>54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4.1: Descriptive Statistics of 28 NGX Equity Log Returns (2010-2025)</w:t>
        <w:tab/>
        <w:t>56</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4.2: Empirical Non-Normality (JB, SW) and Stationarity (ADF) Diagnostic Tests (All 28 Equities)</w:t>
        <w:tab/>
        <w:t>57</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4.3: Out-of-Sample Predictive Performance Metrics across All 28 NGX Equities (2021-2025 Walk-Forward)</w:t>
        <w:tab/>
        <w:t>60</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4.4: Out-of-Sample Portfolio Performance with 1.50% Retail Transaction Fees &amp; Market Slippage</w:t>
        <w:tab/>
        <w:t>64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 Out-of-Sample Portfolio Performance under Zero Transaction Fees (Gross Performance - 0.00%)</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4.5b: Out-of-Sample Portfolio Performance under 0.75% Institutional PFA Transaction Fees</w:t>
        <w:tab/>
        <w:t>65</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4.6: Multi-Tier Pairwise Hypothesis Testing of Sharpe Ratio Equality across Fee Regimes</w:t>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2.1: Conceptual Framework for Equity Return Forecasting and Mean-CVaR Optimization</w:t>
        <w:tab/>
        <w:t>21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4.1: NGX 28 Equity Log Return Pairwise Correlation Matrix (2010-2025)</w:t>
        <w:tab/>
        <w:t>58</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4.2: Feature Importance Breakdown across Technical Indicators</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4.3: Out-of-Sample Cumulative Wealth Growth Curves (2021-2025)</w:t>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ascii="Times New Roman" w:hAnsi="Times New Roman"/>
          <w:color w:val="000000" w:themeColor="text1"/>
        </w:rPr>
        <w:t>(</w:t>
      </w:r>
      <w:proofErr w:type="spellStart"/>
      <w:r w:rsidR="00600686" w:rsidRPr="00244161">
        <w:rPr>
          <w:rFonts w:eastAsia="Times New Roman" w:ascii="Times New Roman" w:hAnsi="Times New Roman"/>
          <w:color w:val="000000" w:themeColor="text1"/>
        </w:rPr>
        <w:t>Sulaiman</w:t>
      </w:r>
      <w:proofErr w:type="spellEnd"/>
      <w:r w:rsidR="00600686" w:rsidRPr="00244161">
        <w:rPr>
          <w:rFonts w:eastAsia="Times New Roman" w:ascii="Times New Roman" w:hAnsi="Times New Roman"/>
          <w:color w:val="000000" w:themeColor="text1"/>
        </w:rPr>
        <w:t xml:space="preserve"> et al., 2023</w:t>
      </w:r>
      <w:r w:rsidRPr="00244161">
        <w:rPr>
          <w:rFonts w:eastAsia="Times New Roman" w:ascii="Times New Roman" w:hAnsi="Times New Roman"/>
          <w:color w:val="000000" w:themeColor="text1"/>
        </w:rPr>
        <w:t xml:space="preserve">). The stock market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ascii="Times New Roman" w:hAnsi="Times New Roman"/>
          <w:color w:val="000000" w:themeColor="text1"/>
        </w:rPr>
        <w:t>Mahadevaswamy</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Shyamala</w:t>
      </w:r>
      <w:proofErr w:type="spellEnd"/>
      <w:r w:rsidRPr="00244161">
        <w:rPr>
          <w:rFonts w:eastAsia="Times New Roman" w:ascii="Times New Roman" w:hAnsi="Times New Roman"/>
          <w:color w:val="000000" w:themeColor="text1"/>
        </w:rPr>
        <w:t>, 2022), based on their level of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ratio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Diversification is not an automatic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reduction mechanism as its effectiveness depends on the co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how to optimally allocate resources. For example, </w:t>
      </w:r>
      <w:r w:rsidR="4652B728" w:rsidRPr="00244161">
        <w:rPr>
          <w:rFonts w:eastAsia="Times New Roman" w:ascii="Times New Roman" w:hAnsi="Times New Roman"/>
          <w:color w:val="000000" w:themeColor="text1"/>
        </w:rPr>
        <w:t>international</w:t>
      </w:r>
      <w:r w:rsidRPr="00244161">
        <w:rPr>
          <w:rFonts w:eastAsia="Times New Roman" w:ascii="Times New Roman" w:hAnsi="Times New Roman"/>
          <w:color w:val="000000" w:themeColor="text1"/>
        </w:rPr>
        <w:t xml:space="preserve"> equity diversification was historically more reliable for U.S. investors prior to 2009, however, the post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crisis period favored diversification through a portfolio of stocks and bonds </w:t>
      </w:r>
      <w:r w:rsidRPr="00244161">
        <w:rPr>
          <w:rFonts w:eastAsia="Times New Roman" w:ascii="Times New Roman" w:hAnsi="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ascii="Times New Roman" w:hAnsi="Times New Roman"/>
          <w:color w:val="000000" w:themeColor="text1"/>
        </w:rPr>
        <w:t>over  time</w:t>
      </w:r>
      <w:proofErr w:type="gramEnd"/>
      <w:r w:rsidRPr="00244161">
        <w:rPr>
          <w:rFonts w:eastAsia="Times New Roman" w:ascii="Times New Roman" w:hAnsi="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deal with the problems that come with diversification, portfolio management has become a step</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by</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As markets keep evolving, portfolio management is essential for long</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term growth </w:t>
      </w:r>
      <w:r w:rsidR="79E2A240"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maximize returns (Yadav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The main goal of portfolio construction is to </w:t>
      </w:r>
      <w:r w:rsidR="28879BD1" w:rsidRPr="00244161">
        <w:rPr>
          <w:rFonts w:eastAsia="Times New Roman" w:ascii="Times New Roman" w:hAnsi="Times New Roman"/>
          <w:color w:val="000000" w:themeColor="text1"/>
        </w:rPr>
        <w:t>diversify</w:t>
      </w:r>
      <w:r w:rsidRPr="00244161">
        <w:rPr>
          <w:rFonts w:eastAsia="Times New Roman" w:ascii="Times New Roman" w:hAnsi="Times New Roman"/>
          <w:color w:val="000000" w:themeColor="text1"/>
        </w:rPr>
        <w:t xml:space="preserve"> unsystematic risk through a two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allocation plan. Firstly, investors balance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by splitting funds between the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w:t>
      </w:r>
      <w:r w:rsidR="6FE3A5EF" w:rsidRPr="00244161">
        <w:rPr>
          <w:rFonts w:eastAsia="Times New Roman" w:ascii="Times New Roman" w:hAnsi="Times New Roman"/>
          <w:color w:val="000000" w:themeColor="text1"/>
        </w:rPr>
        <w:t>optimization</w:t>
      </w:r>
      <w:r w:rsidRPr="00244161">
        <w:rPr>
          <w:rFonts w:eastAsia="Times New Roman" w:ascii="Times New Roman" w:hAnsi="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ascii="Times New Roman" w:hAnsi="Times New Roman"/>
          <w:color w:val="000000" w:themeColor="text1"/>
        </w:rPr>
        <w:t>maximize</w:t>
      </w:r>
      <w:r w:rsidRPr="00244161">
        <w:rPr>
          <w:rFonts w:eastAsia="Times New Roman" w:ascii="Times New Roman" w:hAnsi="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ascii="Times New Roman" w:hAnsi="Times New Roman"/>
          <w:color w:val="000000" w:themeColor="text1"/>
        </w:rPr>
        <w:t>volatility,</w:t>
      </w:r>
      <w:r w:rsidRPr="00244161">
        <w:rPr>
          <w:rFonts w:eastAsia="Times New Roman" w:ascii="Times New Roman" w:hAnsi="Times New Roman"/>
          <w:color w:val="000000" w:themeColor="text1"/>
        </w:rPr>
        <w:t xml:space="preserve"> and unpredictability of financial markets, and assists in meeting their unique financial goals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ascii="Times New Roman" w:hAnsi="Times New Roman"/>
          <w:color w:val="000000" w:themeColor="text1"/>
        </w:rPr>
        <w:lastRenderedPageBreak/>
        <w:t>that allow for a more sophisticated analysis of correlated risk (</w:t>
      </w:r>
      <w:proofErr w:type="spellStart"/>
      <w:r w:rsidRPr="00244161">
        <w:rPr>
          <w:rFonts w:eastAsia="Times New Roman" w:ascii="Times New Roman" w:hAnsi="Times New Roman"/>
          <w:color w:val="000000" w:themeColor="text1"/>
        </w:rPr>
        <w:t>Senescall</w:t>
      </w:r>
      <w:proofErr w:type="spellEnd"/>
      <w:r w:rsidRPr="00244161">
        <w:rPr>
          <w:rFonts w:eastAsia="Times New Roman" w:ascii="Times New Roman" w:hAnsi="Times New Roman"/>
          <w:color w:val="000000" w:themeColor="text1"/>
        </w:rPr>
        <w:t xml:space="preserve"> &amp; Low, 2024). Optimization models provide a structure for an investor's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ascii="Times New Roman" w:hAnsi="Times New Roman"/>
          <w:color w:val="000000" w:themeColor="text1"/>
        </w:rPr>
        <w:t>Tjiwidjaja</w:t>
      </w:r>
      <w:proofErr w:type="spellEnd"/>
      <w:r w:rsidRPr="00244161">
        <w:rPr>
          <w:rFonts w:eastAsia="Times New Roman" w:ascii="Times New Roman" w:hAnsi="Times New Roman"/>
          <w:color w:val="000000" w:themeColor="text1"/>
        </w:rPr>
        <w:t>,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introduced by Harry </w:t>
      </w:r>
      <w:r w:rsidR="046D6FE9" w:rsidRPr="00244161">
        <w:rPr>
          <w:rFonts w:eastAsia="Times New Roman" w:ascii="Times New Roman" w:hAnsi="Times New Roman"/>
          <w:color w:val="000000" w:themeColor="text1"/>
        </w:rPr>
        <w:t>Markowitz (</w:t>
      </w:r>
      <w:r w:rsidRPr="00244161">
        <w:rPr>
          <w:rFonts w:eastAsia="Times New Roman" w:ascii="Times New Roman" w:hAnsi="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His foundational contributions laid the foundations for the modern portfolio theory (</w:t>
      </w:r>
      <w:proofErr w:type="spellStart"/>
      <w:r w:rsidRPr="00244161">
        <w:rPr>
          <w:rFonts w:eastAsia="Times New Roman" w:ascii="Times New Roman" w:hAnsi="Times New Roman"/>
          <w:color w:val="000000" w:themeColor="text1"/>
        </w:rPr>
        <w:t>Mba</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expectations, investors' decisions based solely on expected returns and variances, exhibiting rational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While Markowitz’s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ascii="Times New Roman" w:hAnsi="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w:t>
      </w:r>
      <w:r w:rsidRPr="00244161">
        <w:rPr>
          <w:rFonts w:eastAsia="Times New Roman" w:ascii="Times New Roman" w:hAnsi="Times New Roman"/>
          <w:i/>
          <w:iCs/>
          <w:color w:val="000000" w:themeColor="text1"/>
        </w:rPr>
        <w:t>)</w:t>
      </w:r>
      <w:r w:rsidRPr="00244161">
        <w:rPr>
          <w:rFonts w:eastAsia="Times New Roman" w:ascii="Times New Roman" w:hAnsi="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shows that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doesn't truly perceive the </w:t>
      </w:r>
      <w:r w:rsidR="23513D7A"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perception of risk.</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Due to the limitations of the mean and variance approach, other risk measures like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emerged.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ascii="Times New Roman" w:hAnsi="Times New Roman"/>
          <w:color w:val="000000" w:themeColor="text1"/>
        </w:rPr>
        <w:t>Leccadito</w:t>
      </w:r>
      <w:proofErr w:type="spellEnd"/>
      <w:r w:rsidRPr="00244161">
        <w:rPr>
          <w:rFonts w:eastAsia="Times New Roman" w:ascii="Times New Roman" w:hAnsi="Times New Roman"/>
          <w:color w:val="000000" w:themeColor="text1"/>
        </w:rPr>
        <w:t xml:space="preserve"> et al.,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rPr>
          <w:rFonts w:ascii="Times New Roman" w:hAnsi="Times New Roman"/>
        </w:rPr>
        <w:lastRenderedPageBreak/>
        <w:t>beyond the traditional measures thereby aiding investors in the construction of a more robust portfolio (Fan, 2025).</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to increased precision and profits in stock market investments (Fan, 2025; Ashrafzadeh et al., 2025; </w:t>
      </w:r>
      <w:r w:rsidRPr="00244161">
        <w:rPr>
          <w:rFonts w:ascii="Times New Roman" w:hAnsi="Times New Roman"/>
        </w:rPr>
        <w:lastRenderedPageBreak/>
        <w:t>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potential for improvement within portfolio and risk management decisions in volatile markets and </w:t>
      </w:r>
      <w:r w:rsidRPr="00244161">
        <w:rPr>
          <w:rFonts w:ascii="Times New Roman" w:hAnsi="Times New Roman"/>
        </w:rPr>
        <w:lastRenderedPageBreak/>
        <w:t xml:space="preserve">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1.2 Statement of the Research Problem</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ascii="Times New Roman" w:hAnsi="Times New Roman"/>
          <w:color w:val="000000" w:themeColor="text1"/>
        </w:rPr>
        <w:t>Espiga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Fernández</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is done by allocating capital across multiple assets, balancing correlations and individual assets risk </w:t>
      </w:r>
      <w:r w:rsidR="7D460ACF"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an efficient portfolio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By combining uncorrelated assets, investors could diversify away all unsystematic risk potentially </w:t>
      </w:r>
      <w:r w:rsidRPr="00244161">
        <w:rPr>
          <w:rFonts w:eastAsia="Times New Roman" w:ascii="Times New Roman" w:hAnsi="Times New Roman"/>
          <w:color w:val="000000" w:themeColor="text1"/>
        </w:rPr>
        <w:lastRenderedPageBreak/>
        <w:t>improving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 However, </w:t>
      </w:r>
      <w:proofErr w:type="spellStart"/>
      <w:r w:rsidRPr="00244161">
        <w:rPr>
          <w:rFonts w:eastAsia="Times New Roman" w:ascii="Times New Roman" w:hAnsi="Times New Roman"/>
          <w:color w:val="000000" w:themeColor="text1"/>
        </w:rPr>
        <w:t>misestimation</w:t>
      </w:r>
      <w:proofErr w:type="spellEnd"/>
      <w:r w:rsidRPr="00244161">
        <w:rPr>
          <w:rFonts w:eastAsia="Times New Roman" w:ascii="Times New Roman" w:hAnsi="Times New Roman"/>
          <w:color w:val="000000" w:themeColor="text1"/>
        </w:rPr>
        <w:t xml:space="preserve"> of these inputs can distort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return profile and investment outcomes (Job, 2022;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Portfolio optimization failures are primarily driven by poor estimation of risk and returns. Studies have criticised the mean-variance optimization model for estimation errors in the expected </w:t>
      </w:r>
      <w:r w:rsidRPr="00244161">
        <w:rPr>
          <w:rFonts w:ascii="Times New Roman" w:hAnsi="Times New Roman"/>
        </w:rPr>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using classical frameworks </w:t>
      </w:r>
      <w:r w:rsidR="65CA31DB" w:rsidRPr="00244161">
        <w:rPr>
          <w:rFonts w:eastAsia="Times New Roman" w:ascii="Times New Roman" w:hAnsi="Times New Roman"/>
          <w:color w:val="000000" w:themeColor="text1"/>
        </w:rPr>
        <w:t>has</w:t>
      </w:r>
      <w:r w:rsidRPr="00244161">
        <w:rPr>
          <w:rFonts w:eastAsia="Times New Roman" w:ascii="Times New Roman" w:hAnsi="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based losses and do not sufficiently account for the magnitude of losses in the tail of the return distribution.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proposed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ascii="Times New Roman" w:hAnsi="Times New Roman"/>
          <w:color w:val="000000" w:themeColor="text1"/>
        </w:rPr>
        <w:t>With</w:t>
      </w:r>
      <w:r w:rsidRPr="00244161">
        <w:rPr>
          <w:rFonts w:eastAsia="Times New Roman" w:ascii="Times New Roman" w:hAnsi="Times New Roman"/>
          <w:color w:val="000000" w:themeColor="text1"/>
        </w:rPr>
        <w:t xml:space="preserve"> this measure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rather than variance, it has been shown to be more robust than </w:t>
      </w:r>
      <w:r w:rsidRPr="00244161">
        <w:rPr>
          <w:rFonts w:eastAsia="Times New Roman" w:ascii="Times New Roman" w:hAnsi="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is essentially depends on how well </w:t>
      </w:r>
      <w:r w:rsidR="4CF19147" w:rsidRPr="00244161">
        <w:rPr>
          <w:rFonts w:eastAsia="Times New Roman" w:ascii="Times New Roman" w:hAnsi="Times New Roman"/>
          <w:color w:val="000000" w:themeColor="text1"/>
        </w:rPr>
        <w:t>input</w:t>
      </w:r>
      <w:r w:rsidRPr="00244161">
        <w:rPr>
          <w:rFonts w:eastAsia="Times New Roman" w:ascii="Times New Roman" w:hAnsi="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tailed distributions. This indicates an important need for a hybrid combination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optimization and forward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study aims to answer the following questions: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w:t>
      </w:r>
      <w:r w:rsidRPr="00244161">
        <w:rPr>
          <w:rFonts w:ascii="Times New Roman" w:hAnsi="Times New Roman"/>
        </w:rPr>
        <w:lastRenderedPageBreak/>
        <w:t>poor risk allocation under flawed variance assumptions leads to substantial real economic losses and suboptimal capital allocation.</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w:t>
      </w:r>
      <w:r w:rsidRPr="00244161">
        <w:rPr>
          <w:rFonts w:ascii="Times New Roman" w:hAnsi="Times New Roman"/>
        </w:rPr>
        <w:lastRenderedPageBreak/>
        <w:t>(PFAs)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This integrated research framework delivers substantive practical, economic, and policy benefits to these stakeholders across three primary dimensions:</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before="0"/>
        <w:ind w:firstLine="720"/>
        <w:jc w:val="both"/>
        <w:rPr>
          <w:rFonts w:eastAsia="Times New Roman"/>
          <w:color w:val="000000" w:themeColor="text1"/>
        </w:rPr>
      </w:pPr>
      <w:r>
        <w:rPr>
          <w:rFonts w:ascii="Times New Roman" w:hAnsi="Times New Roman"/>
          <w:color w:val="000000"/>
          <w:sz w:val="24"/>
        </w:rP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research will examine the current literature regarding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Understanding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optimization has become increasingly important in modern financial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due to rising market volatility and uncertainty. Forecasting improves the accuracy of return estimates while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enhances </w:t>
      </w:r>
      <w:r w:rsidR="7EA46923" w:rsidRPr="00244161">
        <w:rPr>
          <w:rFonts w:eastAsia="Times New Roman" w:ascii="Times New Roman" w:hAnsi="Times New Roman"/>
          <w:color w:val="000000" w:themeColor="text1"/>
        </w:rPr>
        <w:t>portfolio</w:t>
      </w:r>
      <w:r w:rsidRPr="00244161">
        <w:rPr>
          <w:rFonts w:eastAsia="Times New Roman" w:ascii="Times New Roman" w:hAnsi="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Building from portfolio optimization, an efficient allocation principle is necessary as it focuses on how resources should be distributed across assets to achieve the best possible balance </w:t>
      </w:r>
      <w:r w:rsidRPr="00244161">
        <w:rPr>
          <w:rFonts w:ascii="Times New Roman" w:hAnsi="Times New Roman"/>
        </w:rPr>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As a result of modern advances in technology and market complexities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model, black</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litterman</w:t>
      </w:r>
      <w:proofErr w:type="spellEnd"/>
      <w:r w:rsidRPr="00244161">
        <w:rPr>
          <w:rFonts w:eastAsia="Times New Roman" w:ascii="Times New Roman" w:hAnsi="Times New Roman"/>
          <w:color w:val="000000" w:themeColor="text1"/>
        </w:rPr>
        <w:t xml:space="preserve"> model and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2.1.2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Aware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2002;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ascii="Times New Roman" w:hAnsi="Times New Roman"/>
          <w:color w:val="000000" w:themeColor="text1"/>
        </w:rPr>
        <w:t>Alim</w:t>
      </w:r>
      <w:proofErr w:type="spellEnd"/>
      <w:r w:rsidRPr="00244161">
        <w:rPr>
          <w:rFonts w:eastAsia="Times New Roman" w:ascii="Times New Roman" w:hAnsi="Times New Roman"/>
          <w:color w:val="000000" w:themeColor="text1"/>
        </w:rPr>
        <w:t xml:space="preserve"> et al., 2024; Bali et al., 2007). </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2.1.3 Equity Return Forecasting</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correlations, and volatility clustering that can be modeled to generate abnormal returns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2.1.4 Machine Learning in Financial Forecasting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ascii="Times New Roman" w:hAnsi="Times New Roman"/>
          <w:color w:val="000000" w:themeColor="text1"/>
        </w:rPr>
        <w:t>Heteroskedasticity</w:t>
      </w:r>
      <w:proofErr w:type="spellEnd"/>
      <w:r w:rsidRPr="00244161">
        <w:rPr>
          <w:rFonts w:eastAsia="Times New Roman" w:ascii="Times New Roman" w:hAnsi="Times New Roman"/>
          <w:color w:val="000000" w:themeColor="text1"/>
        </w:rPr>
        <w:t xml:space="preserve"> (GARCH) have </w:t>
      </w:r>
      <w:r w:rsidRPr="00244161">
        <w:rPr>
          <w:rFonts w:eastAsia="Times New Roman" w:ascii="Times New Roman" w:hAnsi="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nature of stock market volatility (San, 2025; </w:t>
      </w:r>
      <w:proofErr w:type="spellStart"/>
      <w:r w:rsidRPr="00244161">
        <w:rPr>
          <w:rFonts w:eastAsia="Times New Roman" w:ascii="Times New Roman" w:hAnsi="Times New Roman"/>
          <w:color w:val="000000" w:themeColor="text1"/>
        </w:rPr>
        <w:t>Ajiga</w:t>
      </w:r>
      <w:proofErr w:type="spellEnd"/>
      <w:r w:rsidRPr="00244161">
        <w:rPr>
          <w:rFonts w:eastAsia="Times New Roman" w:ascii="Times New Roman" w:hAnsi="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2.1.5 Nigerian Exchange Group (NGX) market characteristics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xml:space="preserve">,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fundamental characteristic of returns on the NGX is their significant deviation from the normal distribution. A stylized fact consistent with the Efficient Market Hypothesis (EMH) </w:t>
      </w:r>
      <w:r w:rsidRPr="00244161">
        <w:rPr>
          <w:rFonts w:ascii="Times New Roman" w:hAnsi="Times New Roman"/>
        </w:rPr>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All these pose investment challenges to investments in Nigerian equities. Historical precedents, such as the 2014 oil price crash and the COVID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19 pandemic, demonstrate how external crises can trigger severe market downturns, </w:t>
      </w:r>
      <w:r w:rsidR="563E7CB1" w:rsidRPr="00244161">
        <w:rPr>
          <w:rFonts w:eastAsia="Times New Roman" w:ascii="Times New Roman" w:hAnsi="Times New Roman"/>
          <w:color w:val="000000" w:themeColor="text1"/>
        </w:rPr>
        <w:t>disrupt</w:t>
      </w:r>
      <w:r w:rsidRPr="00244161">
        <w:rPr>
          <w:rFonts w:eastAsia="Times New Roman" w:ascii="Times New Roman" w:hAnsi="Times New Roman"/>
          <w:color w:val="000000" w:themeColor="text1"/>
        </w:rPr>
        <w:t xml:space="preserve"> market </w:t>
      </w:r>
      <w:r w:rsidR="3F73DB7A" w:rsidRPr="00244161">
        <w:rPr>
          <w:rFonts w:eastAsia="Times New Roman" w:ascii="Times New Roman" w:hAnsi="Times New Roman"/>
          <w:color w:val="000000" w:themeColor="text1"/>
        </w:rPr>
        <w:t>capitalization,</w:t>
      </w:r>
      <w:r w:rsidRPr="00244161">
        <w:rPr>
          <w:rFonts w:eastAsia="Times New Roman" w:ascii="Times New Roman" w:hAnsi="Times New Roman"/>
          <w:color w:val="000000" w:themeColor="text1"/>
        </w:rPr>
        <w:t xml:space="preserve"> and </w:t>
      </w:r>
      <w:r w:rsidR="3630184A" w:rsidRPr="00244161">
        <w:rPr>
          <w:rFonts w:eastAsia="Times New Roman" w:ascii="Times New Roman" w:hAnsi="Times New Roman"/>
          <w:color w:val="000000" w:themeColor="text1"/>
        </w:rPr>
        <w:t>erase</w:t>
      </w:r>
      <w:r w:rsidRPr="00244161">
        <w:rPr>
          <w:rFonts w:eastAsia="Times New Roman" w:ascii="Times New Roman" w:hAnsi="Times New Roman"/>
          <w:color w:val="000000" w:themeColor="text1"/>
        </w:rPr>
        <w:t xml:space="preserve"> investor wealth (</w:t>
      </w:r>
      <w:proofErr w:type="spellStart"/>
      <w:r w:rsidRPr="00244161">
        <w:rPr>
          <w:rFonts w:eastAsia="Times New Roman" w:ascii="Times New Roman" w:hAnsi="Times New Roman"/>
          <w:color w:val="000000" w:themeColor="text1"/>
        </w:rPr>
        <w:t>Fapetu</w:t>
      </w:r>
      <w:proofErr w:type="spellEnd"/>
      <w:r w:rsidRPr="00244161">
        <w:rPr>
          <w:rFonts w:eastAsia="Times New Roman" w:ascii="Times New Roman" w:hAnsi="Times New Roman"/>
          <w:color w:val="000000" w:themeColor="text1"/>
        </w:rPr>
        <w:t xml:space="preserve"> et al., 2021). Furthermore, the market is characterized by frequent structural breaks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abrupt shifts in market regimes caused by policy changes or economic shocks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complicate the application of traditional linear forecasting models and necessitate adaptive risk management strategies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before="0"/>
        <w:ind w:firstLine="0"/>
        <w:jc w:val="center"/>
        <w:rPr>
          <w:rFonts w:eastAsia="Times New Roman"/>
          <w:i/>
          <w:color w:val="000000" w:themeColor="text1"/>
        </w:rPr>
      </w:pPr>
      <w:r>
        <w:rPr>
          <w:rFonts w:ascii="Times New Roman" w:hAnsi="Times New Roman"/>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2.2.1 Modern Portfolio Theory (MPT)</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ascii="Times New Roman" w:hAnsi="Times New Roman"/>
          <w:color w:val="000000" w:themeColor="text1"/>
        </w:rPr>
        <w:t>Samaniego</w:t>
      </w:r>
      <w:proofErr w:type="spellEnd"/>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Alcántar</w:t>
      </w:r>
      <w:proofErr w:type="spellEnd"/>
      <w:r w:rsidRPr="00244161">
        <w:rPr>
          <w:rFonts w:eastAsia="Times New Roman" w:ascii="Times New Roman" w:hAnsi="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offs (</w:t>
      </w:r>
      <w:proofErr w:type="spellStart"/>
      <w:r w:rsidRPr="00244161">
        <w:rPr>
          <w:rFonts w:eastAsia="Times New Roman" w:ascii="Times New Roman" w:hAnsi="Times New Roman"/>
          <w:color w:val="000000" w:themeColor="text1"/>
        </w:rPr>
        <w:t>Bodnar</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2.2.2 Post Modern Portfolio Theory (PMPT)</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 By moving away from standard deviation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penalizes upside potential just as much as downside loss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The theoretical evolution of measuring downside risk acts as a bridge between semi-variance and quantile-based metrics like Value at Risk (VaR) and Conditional Value at Risk (CVaR). While semi-variance looks at the volatility of losses, CVaR (also known as Expected 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2.2.3 Statistical Learning Theory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the other hand, if a model is too complex, it exhibits high variance, meaning it is so sensitive that </w:t>
      </w:r>
      <w:r w:rsidRPr="00244161">
        <w:rPr>
          <w:rFonts w:ascii="Times New Roman" w:hAnsi="Times New Roman"/>
        </w:rPr>
        <w:lastRenderedPageBreak/>
        <w:t>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section of the literature review offers a summary of the connection between portfolio optimization </w:t>
      </w:r>
      <w:proofErr w:type="spellStart"/>
      <w:r w:rsidRPr="00244161">
        <w:rPr>
          <w:rFonts w:eastAsia="Times New Roman" w:ascii="Times New Roman" w:hAnsi="Times New Roman"/>
          <w:color w:val="000000" w:themeColor="text1"/>
        </w:rPr>
        <w:t>techniques</w:t>
      </w:r>
      <w:proofErr w:type="gramStart"/>
      <w:r w:rsidRPr="00244161">
        <w:rPr>
          <w:rFonts w:eastAsia="Times New Roman" w:ascii="Times New Roman" w:hAnsi="Times New Roman"/>
          <w:color w:val="000000" w:themeColor="text1"/>
        </w:rPr>
        <w:t>,equity</w:t>
      </w:r>
      <w:proofErr w:type="spellEnd"/>
      <w:proofErr w:type="gramEnd"/>
      <w:r w:rsidRPr="00244161">
        <w:rPr>
          <w:rFonts w:eastAsia="Times New Roman" w:ascii="Times New Roman" w:hAnsi="Times New Roman"/>
          <w:color w:val="000000" w:themeColor="text1"/>
        </w:rPr>
        <w:t xml:space="preserve"> return forecasting and integrated forecasting approach and their individual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2.3.1 Mean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Variance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 xml:space="preserve">2.3.2 </w:t>
      </w:r>
      <w:proofErr w:type="spellStart"/>
      <w:r w:rsidRPr="00244161">
        <w:rPr>
          <w:rFonts w:eastAsia="Times New Roman" w:ascii="Times New Roman" w:hAnsi="Times New Roman"/>
          <w:b/>
          <w:bCs/>
          <w:color w:val="000000" w:themeColor="text1"/>
        </w:rPr>
        <w:t>VaR</w:t>
      </w:r>
      <w:proofErr w:type="spellEnd"/>
      <w:r w:rsidRPr="00244161">
        <w:rPr>
          <w:rFonts w:eastAsia="Times New Roman" w:ascii="Times New Roman" w:hAnsi="Times New Roman"/>
          <w:b/>
          <w:bCs/>
          <w:color w:val="000000" w:themeColor="text1"/>
        </w:rPr>
        <w:t xml:space="preserve"> and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xml:space="preserve"> Based Portfolio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Value at 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has become a widely accepted benchmark for measuring financial risk, endorsed by the financial regulatory </w:t>
      </w:r>
      <w:r w:rsidR="5EE0DA64" w:rsidRPr="00244161">
        <w:rPr>
          <w:rFonts w:eastAsia="Times New Roman" w:ascii="Times New Roman" w:hAnsi="Times New Roman"/>
          <w:color w:val="000000" w:themeColor="text1"/>
        </w:rPr>
        <w:t>body of</w:t>
      </w:r>
      <w:r w:rsidRPr="00244161">
        <w:rPr>
          <w:rFonts w:eastAsia="Times New Roman" w:ascii="Times New Roman" w:hAnsi="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w:t>
      </w:r>
      <w:r w:rsidR="51DDBDD4" w:rsidRPr="00244161">
        <w:rPr>
          <w:rFonts w:eastAsia="Times New Roman" w:ascii="Times New Roman" w:hAnsi="Times New Roman"/>
          <w:color w:val="000000" w:themeColor="text1"/>
        </w:rPr>
        <w:t>, 2020</w:t>
      </w:r>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Fatouros</w:t>
      </w:r>
      <w:proofErr w:type="spellEnd"/>
      <w:r w:rsidRPr="00244161">
        <w:rPr>
          <w:rFonts w:eastAsia="Times New Roman" w:ascii="Times New Roman" w:hAnsi="Times New Roman"/>
          <w:color w:val="000000" w:themeColor="text1"/>
        </w:rPr>
        <w:t xml:space="preserve"> et al., 2023).</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Conditional Value at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on the other hand acts as a step up since it is derived from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but improves coherence properties and satisfies the shortcomings of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like subadditivity and convexity properties enabling it to better handle tail risk and achieving a higher accumulated risk</w:t>
      </w:r>
      <w:r w:rsidR="3CB00BA7" w:rsidRPr="00244161">
        <w:rPr>
          <w:rFonts w:eastAsia="Times New Roman" w:ascii="Times New Roman" w:hAnsi="Times New Roman"/>
          <w:color w:val="000000" w:themeColor="text1"/>
        </w:rPr>
        <w:t>-</w:t>
      </w:r>
      <w:r w:rsidR="00E87707" w:rsidRPr="00244161">
        <w:rPr>
          <w:rFonts w:eastAsia="Times New Roman" w:ascii="Times New Roman" w:hAnsi="Times New Roman"/>
          <w:color w:val="000000" w:themeColor="text1"/>
        </w:rPr>
        <w:t>adjusted returns</w:t>
      </w:r>
      <w:r w:rsidRPr="00244161">
        <w:rPr>
          <w:rFonts w:eastAsia="Times New Roman" w:ascii="Times New Roman" w:hAnsi="Times New Roman"/>
          <w:color w:val="000000" w:themeColor="text1"/>
        </w:rPr>
        <w:t xml:space="preserve">. According to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achieves superior returns compared to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underscoring a more accurate measurement of financial risk.</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2.3.3 Integrated Forecasting and Optimization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rPr>
          <w:rFonts w:ascii="Times New Roman" w:hAnsi="Times New Roman"/>
        </w:rPr>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Building</w:t>
      </w:r>
      <w:r w:rsidR="36B93CDD" w:rsidRPr="00244161">
        <w:rPr>
          <w:rFonts w:eastAsia="Times New Roman" w:ascii="Times New Roman" w:hAnsi="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which assume the future will look like the past</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these frameworks use the predicted returns generated by ML models as the inputs for the optimization process (</w:t>
      </w:r>
      <w:proofErr w:type="spellStart"/>
      <w:r w:rsidR="36B93CDD" w:rsidRPr="00244161">
        <w:rPr>
          <w:rFonts w:eastAsia="Times New Roman" w:ascii="Times New Roman" w:hAnsi="Times New Roman"/>
          <w:color w:val="000000" w:themeColor="text1"/>
        </w:rPr>
        <w:t>Ashrafzadeh</w:t>
      </w:r>
      <w:proofErr w:type="spellEnd"/>
      <w:r w:rsidR="36B93CDD" w:rsidRPr="00244161">
        <w:rPr>
          <w:rFonts w:eastAsia="Times New Roman" w:ascii="Times New Roman" w:hAnsi="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ascii="Times New Roman" w:hAnsi="Times New Roman"/>
          <w:color w:val="000000" w:themeColor="text1"/>
        </w:rPr>
        <w:t>Chaweewanchon</w:t>
      </w:r>
      <w:proofErr w:type="spellEnd"/>
      <w:r w:rsidR="36B93CDD" w:rsidRPr="00244161">
        <w:rPr>
          <w:rFonts w:eastAsia="Times New Roman" w:ascii="Times New Roman" w:hAnsi="Times New Roman"/>
          <w:color w:val="000000" w:themeColor="text1"/>
        </w:rPr>
        <w:t xml:space="preserve"> and </w:t>
      </w:r>
      <w:proofErr w:type="spellStart"/>
      <w:r w:rsidR="36B93CDD" w:rsidRPr="00244161">
        <w:rPr>
          <w:rFonts w:eastAsia="Times New Roman" w:ascii="Times New Roman" w:hAnsi="Times New Roman"/>
          <w:color w:val="000000" w:themeColor="text1"/>
        </w:rPr>
        <w:t>Chaysiri</w:t>
      </w:r>
      <w:proofErr w:type="spellEnd"/>
      <w:r w:rsidR="36B93CDD" w:rsidRPr="00244161">
        <w:rPr>
          <w:rFonts w:eastAsia="Times New Roman" w:ascii="Times New Roman" w:hAnsi="Times New Roman"/>
          <w:color w:val="000000" w:themeColor="text1"/>
        </w:rPr>
        <w:t xml:space="preserve"> (2022) proposed a two</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step approach where stocks are first pre</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ascii="Times New Roman" w:hAnsi="Times New Roman"/>
          <w:color w:val="000000" w:themeColor="text1"/>
        </w:rPr>
        <w:t>Manogna</w:t>
      </w:r>
      <w:proofErr w:type="spellEnd"/>
      <w:r w:rsidR="36B93CDD" w:rsidRPr="00244161">
        <w:rPr>
          <w:rFonts w:eastAsia="Times New Roman" w:ascii="Times New Roman" w:hAnsi="Times New Roman"/>
          <w:color w:val="000000" w:themeColor="text1"/>
        </w:rPr>
        <w:t xml:space="preserve"> and Kulkarni (2025) utilized similar frameworks, showing that combining LSTM or </w:t>
      </w:r>
      <w:proofErr w:type="spellStart"/>
      <w:r w:rsidR="36B93CDD" w:rsidRPr="00244161">
        <w:rPr>
          <w:rFonts w:eastAsia="Times New Roman" w:ascii="Times New Roman" w:hAnsi="Times New Roman"/>
          <w:color w:val="000000" w:themeColor="text1"/>
        </w:rPr>
        <w:t>XGBoost</w:t>
      </w:r>
      <w:proofErr w:type="spellEnd"/>
      <w:r w:rsidR="36B93CDD" w:rsidRPr="00244161">
        <w:rPr>
          <w:rFonts w:eastAsia="Times New Roman" w:ascii="Times New Roman" w:hAnsi="Times New Roman"/>
          <w:color w:val="000000" w:themeColor="text1"/>
        </w:rPr>
        <w:t xml:space="preserve"> predictions with mean</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rPr>
          <w:rFonts w:ascii="Times New Roman" w:hAnsi="Times New Roman"/>
        </w:rPr>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Furthermore, there is a clear shortage of research integrating predictive modeling with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driven,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portfolios perform under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2.5 Summary of Gaps in Literature</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before="0" w:after="0" w:line="480" w:lineRule="auto"/>
        <w:ind w:firstLine="720"/>
        <w:jc w:val="both"/>
        <w:rPr>
          <w:rFonts w:eastAsia="Times New Roman"/>
          <w:color w:val="000000" w:themeColor="text1"/>
        </w:rPr>
      </w:pPr>
      <w:r>
        <w:rPr>
          <w:rFonts w:ascii="Times New Roman" w:hAnsi="Times New Roman"/>
          <w:sz w:val="24"/>
        </w:rP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3.1.1 Modern Portfolio Theory and Tail Risk </w:t>
      </w:r>
    </w:p>
    <w:p w:rsidR="5F9D19BA" w:rsidRPr="00244161" w:rsidRDefault="1C72C910"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ascii="Times New Roman" w:hAnsi="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 2020). </w:t>
      </w:r>
      <w:r w:rsidR="1DA66D02" w:rsidRPr="00244161">
        <w:rPr>
          <w:rFonts w:eastAsia="Times New Roman" w:ascii="Times New Roman" w:hAnsi="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ascii="Times New Roman" w:hAnsi="Times New Roman"/>
          <w:color w:val="000000" w:themeColor="text1"/>
        </w:rPr>
        <w:t>Alotaibi</w:t>
      </w:r>
      <w:proofErr w:type="spellEnd"/>
      <w:r w:rsidR="2EF1A0F4" w:rsidRPr="00244161">
        <w:rPr>
          <w:rFonts w:eastAsia="Times New Roman" w:ascii="Times New Roman" w:hAnsi="Times New Roman"/>
          <w:color w:val="000000" w:themeColor="text1"/>
        </w:rPr>
        <w:t xml:space="preserve"> et al.</w:t>
      </w:r>
      <w:r w:rsidR="1DA66D02" w:rsidRPr="00244161">
        <w:rPr>
          <w:rFonts w:eastAsia="Times New Roman" w:ascii="Times New Roman" w:hAnsi="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ascii="Times New Roman" w:hAnsi="Times New Roman"/>
          <w:color w:val="000000" w:themeColor="text1"/>
        </w:rPr>
        <w:t>CVaR</w:t>
      </w:r>
      <w:proofErr w:type="spellEnd"/>
      <w:r w:rsidR="1DA66D02" w:rsidRPr="00244161">
        <w:rPr>
          <w:rFonts w:eastAsia="Times New Roman" w:ascii="Times New Roman" w:hAnsi="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ascii="Times New Roman" w:hAnsi="Times New Roman"/>
          <w:color w:val="000000" w:themeColor="text1"/>
        </w:rPr>
        <w:t>Rockafellar</w:t>
      </w:r>
      <w:proofErr w:type="spellEnd"/>
      <w:r w:rsidR="1DA66D02" w:rsidRPr="00244161">
        <w:rPr>
          <w:rFonts w:eastAsia="Times New Roman" w:ascii="Times New Roman" w:hAnsi="Times New Roman"/>
          <w:color w:val="000000" w:themeColor="text1"/>
        </w:rPr>
        <w:t xml:space="preserve"> &amp; </w:t>
      </w:r>
      <w:proofErr w:type="spellStart"/>
      <w:r w:rsidR="1DA66D02" w:rsidRPr="00244161">
        <w:rPr>
          <w:rFonts w:eastAsia="Times New Roman" w:ascii="Times New Roman" w:hAnsi="Times New Roman"/>
          <w:color w:val="000000" w:themeColor="text1"/>
        </w:rPr>
        <w:t>Uryasev</w:t>
      </w:r>
      <w:proofErr w:type="spellEnd"/>
      <w:r w:rsidR="1DA66D02" w:rsidRPr="00244161">
        <w:rPr>
          <w:rFonts w:eastAsia="Times New Roman" w:ascii="Times New Roman" w:hAnsi="Times New Roman"/>
          <w:color w:val="000000" w:themeColor="text1"/>
        </w:rPr>
        <w:t>, 2002)</w:t>
      </w:r>
      <w:r w:rsidR="72271ABC" w:rsidRPr="00244161">
        <w:rPr>
          <w:rFonts w:eastAsia="Times New Roman" w:ascii="Times New Roman" w:hAnsi="Times New Roman"/>
          <w:color w:val="000000" w:themeColor="text1"/>
        </w:rPr>
        <w:t>.</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3.1.2 Machine Learning Theories for Forecasting </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ascii="Times New Roman" w:hAnsi="Times New Roman"/>
          <w:color w:val="000000" w:themeColor="text1"/>
        </w:rPr>
        <w:t>Fama</w:t>
      </w:r>
      <w:proofErr w:type="spellEnd"/>
      <w:r w:rsidRPr="00244161">
        <w:rPr>
          <w:rFonts w:eastAsia="Times New Roman" w:ascii="Times New Roman" w:hAnsi="Times New Roman"/>
          <w:color w:val="000000" w:themeColor="text1"/>
        </w:rPr>
        <w:t>, 1970).</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ascii="Times New Roman" w:hAnsi="Times New Roman"/>
        </w:rPr>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ascii="Times New Roman" w:hAnsi="Times New Roman"/>
          <w:color w:val="000000" w:themeColor="text1"/>
        </w:rPr>
        <w:t>eXtreme</w:t>
      </w:r>
      <w:proofErr w:type="spellEnd"/>
      <w:r w:rsidRPr="00244161">
        <w:rPr>
          <w:rFonts w:eastAsia="Times New Roman" w:ascii="Times New Roman" w:hAnsi="Times New Roman"/>
          <w:color w:val="000000" w:themeColor="text1"/>
        </w:rPr>
        <w:t xml:space="preserve"> Gradient Boosting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before="0" w:after="0" w:line="480" w:lineRule="auto"/>
        <w:jc w:val="left"/>
        <w:rPr>
          <w:rFonts w:eastAsia="Times New Roman"/>
          <w:b/>
          <w:bCs/>
          <w:color w:val="000000" w:themeColor="text1"/>
        </w:rPr>
      </w:pPr>
      <w:r>
        <w:rPr>
          <w:rFonts w:ascii="Times New Roman" w:hAnsi="Times New Roman"/>
          <w:b/>
          <w:color w:val="000000"/>
          <w:sz w:val="24"/>
        </w:rPr>
        <w:t>3.2.1 Predictive Machine Learning Models</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aim of the predictive phase of the study is to forecast </w:t>
      </w:r>
      <w:r w:rsidR="771C9D9C" w:rsidRPr="00244161">
        <w:rPr>
          <w:rFonts w:eastAsia="Times New Roman" w:ascii="Times New Roman" w:hAnsi="Times New Roman"/>
          <w:color w:val="000000" w:themeColor="text1"/>
        </w:rPr>
        <w:t>future</w:t>
      </w:r>
      <w:r w:rsidRPr="00244161">
        <w:rPr>
          <w:rFonts w:eastAsia="Times New Roman" w:ascii="Times New Roman" w:hAnsi="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and interacting market dynamics. </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w:proofErr w:type="gramStart"/>
      <w:r w:rsidRPr="00244161">
        <w:rPr>
          <w:rFonts w:eastAsia="Times New Roman" w:ascii="Times New Roman" w:hAnsi="Times New Roman"/>
          <w:color w:val="000000" w:themeColor="text1"/>
        </w:rPr>
        <w:t>Rt+</w:t>
      </w:r>
      <w:proofErr w:type="gramEnd"/>
      <w:r w:rsidRPr="00244161">
        <w:rPr>
          <w:rFonts w:eastAsia="Times New Roman" w:ascii="Times New Roman" w:hAnsi="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244161"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6CE743C7" w:rsidRPr="00244161">
        <w:rPr>
          <w:rFonts w:eastAsia="Times New Roman" w:ascii="Times New Roman" w:hAnsi="Times New Roman"/>
          <w:color w:val="000000" w:themeColor="text1"/>
        </w:rPr>
        <w:t>here</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is the dependent </w:t>
      </w:r>
      <w:r w:rsidR="61939115" w:rsidRPr="00244161">
        <w:rPr>
          <w:rFonts w:eastAsia="Times New Roman" w:ascii="Times New Roman" w:hAnsi="Times New Roman"/>
          <w:color w:val="000000" w:themeColor="text1"/>
        </w:rPr>
        <w:t>variable</w:t>
      </w:r>
      <w:r w:rsidR="6CE743C7" w:rsidRPr="00244161">
        <w:rPr>
          <w:rFonts w:eastAsia="Times New Roman" w:ascii="Times New Roman" w:hAnsi="Times New Roman"/>
          <w:color w:val="000000" w:themeColor="text1"/>
        </w:rPr>
        <w:t xml:space="preserve"> </w:t>
      </w:r>
      <w:r w:rsidR="2DFEE1D4" w:rsidRPr="00244161">
        <w:rPr>
          <w:rFonts w:eastAsia="Times New Roman" w:ascii="Times New Roman" w:hAnsi="Times New Roman"/>
          <w:color w:val="000000" w:themeColor="text1"/>
        </w:rPr>
        <w:t>representing</w:t>
      </w:r>
      <w:r w:rsidR="6CE743C7" w:rsidRPr="00244161">
        <w:rPr>
          <w:rFonts w:eastAsia="Times New Roman" w:ascii="Times New Roman" w:hAnsi="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F </m:t>
        </m:r>
      </m:oMath>
      <w:r w:rsidR="6CE743C7" w:rsidRPr="00244161">
        <w:rPr>
          <w:rFonts w:eastAsia="Times New Roman" w:ascii="Times New Roman" w:hAnsi="Times New Roman"/>
          <w:color w:val="000000" w:themeColor="text1"/>
        </w:rPr>
        <w:t xml:space="preserve"> represents the complex, non</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ascii="Times New Roman" w:hAnsi="Times New Roman"/>
          <w:color w:val="000000" w:themeColor="text1"/>
        </w:rPr>
        <w:t>XGBoost</w:t>
      </w:r>
      <w:proofErr w:type="spellEnd"/>
      <w:r w:rsidR="6CE743C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ascii="Times New Roman" w:hAnsi="Times New Roman"/>
          <w:color w:val="000000" w:themeColor="text1"/>
        </w:rPr>
        <w:t xml:space="preserve"> is the multi</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dimensional feature vector containing the independent variables strictly observed at the end of </w:t>
      </w:r>
      <w:r w:rsidR="6CE743C7" w:rsidRPr="00244161">
        <w:rPr>
          <w:rFonts w:eastAsia="Times New Roman" w:ascii="Times New Roman" w:hAnsi="Times New Roman"/>
          <w:color w:val="000000" w:themeColor="text1"/>
        </w:rPr>
        <w:lastRenderedPageBreak/>
        <w:t>week</w:t>
      </w:r>
      <w:r w:rsidR="5936A5B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ascii="Times New Roman" w:hAnsi="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ascii="Times New Roman" w:hAnsi="Times New Roman"/>
          <w:color w:val="000000" w:themeColor="text1"/>
        </w:rPr>
        <w:t>.</w:t>
      </w:r>
    </w:p>
    <w:p w:rsidR="3F330B67" w:rsidRPr="00244161" w:rsidRDefault="4692CF0F" w:rsidP="00B61C71">
      <w:pPr>
        <w:spacing w:after="0" w:line="480" w:lineRule="auto" w:before="0"/>
        <w:ind w:firstLine="720"/>
        <w:jc w:val="both"/>
        <w:rPr>
          <w:rFonts w:eastAsia="Times New Roman"/>
          <w:color w:val="000000" w:themeColor="text1"/>
        </w:rPr>
      </w:pPr>
      <w:r>
        <w:rPr>
          <w:rFonts w:ascii="Times New Roman" w:hAnsi="Times New Roman"/>
          <w:sz w:val="24"/>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X_t is mathematically defined as a column vector containing the technical momentum, trend, volatility, and volume indicators alongside historical autoregressive return lags.</w:t>
      </w:r>
    </w:p>
    <w:p w:rsidR="5C0CF8D3" w:rsidRPr="00244161" w:rsidRDefault="00244161"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Momentum and Oscillator Indicators:</w:t>
      </w:r>
      <w:r w:rsidRPr="00244161">
        <w:rPr>
          <w:rFonts w:eastAsia="Times New Roman" w:ascii="Times New Roman" w:hAnsi="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Relative Strength </w:t>
      </w:r>
      <w:proofErr w:type="gramStart"/>
      <w:r w:rsidRPr="00244161">
        <w:rPr>
          <w:rFonts w:eastAsia="Times New Roman" w:ascii="Times New Roman" w:hAnsi="Times New Roman"/>
          <w:color w:val="000000" w:themeColor="text1"/>
        </w:rPr>
        <w:t>Index</w:t>
      </w:r>
      <w:r w:rsidR="76B9F1C7" w:rsidRPr="00244161">
        <w:rPr>
          <w:rFonts w:eastAsia="Times New Roman" w:ascii="Times New Roman" w:hAnsi="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before="0" w:after="0" w:line="480" w:lineRule="auto"/>
        <w:ind w:firstLine="720"/>
        <w:jc w:val="both"/>
        <w:rPr>
          <w:rFonts w:eastAsia="Times New Roman"/>
          <w:color w:val="000000" w:themeColor="text1"/>
        </w:rPr>
      </w:pPr>
      <w:r>
        <w:rPr>
          <w:rFonts w:ascii="Times New Roman" w:hAnsi="Times New Roman"/>
          <w:sz w:val="24"/>
        </w:rPr>
        <w:t>Autoregressive (Lagged) Returns: The sequence of R_{i,t}, R_{i,t-1}, R_{i,t-2}, and R_{i,t-3}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Trend and Volatility Indicators:</w:t>
      </w:r>
      <w:r w:rsidRPr="00244161">
        <w:rPr>
          <w:rFonts w:eastAsia="Times New Roman" w:ascii="Times New Roman" w:hAnsi="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 the absolute strength and direction of the trend. Crucially for the subsequent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captures intra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week market volatility and extreme price fluctuations.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Volume Flow:</w:t>
      </w:r>
      <w:r w:rsidRPr="00244161">
        <w:rPr>
          <w:rFonts w:eastAsia="Times New Roman" w:ascii="Times New Roman" w:hAnsi="Times New Roman"/>
          <w:color w:val="000000" w:themeColor="text1"/>
        </w:rPr>
        <w:t xml:space="preserve"> 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specific autoregressive functional form is strictly structured to avoid look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ascii="Times New Roman" w:hAnsi="Times New Roman"/>
          <w:color w:val="000000" w:themeColor="text1"/>
        </w:rPr>
        <w:t xml:space="preserve"> </w:t>
      </w:r>
      <w:r w:rsidRPr="00244161">
        <w:rPr>
          <w:rFonts w:eastAsia="Times New Roman" w:ascii="Times New Roman" w:hAnsi="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ascii="Times New Roman" w:hAnsi="Times New Roman"/>
          <w:color w:val="000000" w:themeColor="text1"/>
        </w:rPr>
        <w:t xml:space="preserve"> Group</w:t>
      </w:r>
      <w:r w:rsidRPr="00244161">
        <w:rPr>
          <w:rFonts w:eastAsia="Times New Roman" w:ascii="Times New Roman" w:hAnsi="Times New Roman"/>
          <w:color w:val="000000" w:themeColor="text1"/>
        </w:rPr>
        <w:t>.</w:t>
      </w:r>
    </w:p>
    <w:p w:rsidR="2DC85E35" w:rsidRPr="00244161" w:rsidRDefault="009586D3"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3.2.2 Random Forest Specification</w:t>
      </w:r>
    </w:p>
    <w:p w:rsidR="2DC85E35" w:rsidRPr="00244161" w:rsidRDefault="153AB6A9" w:rsidP="00B61C71">
      <w:pPr>
        <w:spacing w:after="0" w:line="480" w:lineRule="auto" w:before="0"/>
        <w:ind w:firstLine="720"/>
        <w:jc w:val="both"/>
        <w:rPr>
          <w:rFonts w:eastAsia="Times New Roman"/>
          <w:color w:val="000000" w:themeColor="text1"/>
        </w:rPr>
      </w:pPr>
      <w:r w:rsidRPr="00244161">
        <w:rPr>
          <w:rFonts w:ascii="Times New Roman" w:hAnsi="Times New Roman"/>
        </w:rPr>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Bootstrap Aggregating (Bagging)</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ascii="Times New Roman" w:hAnsi="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where </w:t>
      </w:r>
      <m:oMath>
        <m:r>
          <w:rPr>
            <w:rFonts w:ascii="Cambria Math" w:hAnsi="Cambria Math"/>
            <w:color w:val="000000" w:themeColor="text1"/>
          </w:rPr>
          <m:t>S</m:t>
        </m:r>
      </m:oMath>
      <w:r w:rsidRPr="00244161">
        <w:rPr>
          <w:rFonts w:eastAsia="Times New Roman" w:ascii="Times New Roman" w:hAnsi="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ascii="Times New Roman" w:hAnsi="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drawn </w:t>
      </w:r>
      <w:proofErr w:type="gramStart"/>
      <w:r w:rsidRPr="00244161">
        <w:rPr>
          <w:rFonts w:eastAsia="Times New Roman" w:ascii="Times New Roman" w:hAnsi="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A distinct regression tree, denoted </w:t>
      </w:r>
      <w:proofErr w:type="gramStart"/>
      <w:r w:rsidRPr="00244161">
        <w:rPr>
          <w:rFonts w:eastAsia="Times New Roman" w:ascii="Times New Roman" w:hAnsi="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w:t>
      </w:r>
    </w:p>
    <w:p w:rsidR="2DC85E35" w:rsidRPr="00244161" w:rsidRDefault="51B10977"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Tree Construction and Feature Randomness</w:t>
      </w:r>
    </w:p>
    <w:p w:rsidR="2DC85E35" w:rsidRPr="00244161" w:rsidRDefault="31514E1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At each node of the </w:t>
      </w:r>
      <w:proofErr w:type="gramStart"/>
      <w:r w:rsidRPr="00244161">
        <w:rPr>
          <w:rFonts w:eastAsia="Times New Roman" w:ascii="Times New Roman" w:hAnsi="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a random subset of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ascii="Times New Roman" w:hAnsi="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For regression tasks, this subset is typically established </w:t>
      </w:r>
      <w:proofErr w:type="gramStart"/>
      <w:r w:rsidRPr="00244161">
        <w:rPr>
          <w:rFonts w:eastAsia="Times New Roman" w:ascii="Times New Roman" w:hAnsi="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ascii="Times New Roman" w:hAnsi="Times New Roman"/>
          <w:color w:val="000000" w:themeColor="text1"/>
        </w:rPr>
        <w:t>.</w:t>
      </w:r>
    </w:p>
    <w:p w:rsidR="00F2530B"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ascii="Times New Roman" w:hAnsi="Times New Roman"/>
          <w:color w:val="000000" w:themeColor="text1"/>
        </w:rPr>
        <w:t xml:space="preserve"> (from the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ascii="Times New Roman" w:hAnsi="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ascii="Times New Roman" w:hAnsi="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ascii="Times New Roman" w:hAnsi="Times New Roman"/>
          <w:color w:val="000000" w:themeColor="text1"/>
        </w:rPr>
        <w:t xml:space="preserve"> is chosen to minimize:</w:t>
      </w:r>
    </w:p>
    <w:p w:rsidR="00F2530B" w:rsidRPr="00244161" w:rsidRDefault="00244161"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 </w:t>
      </w:r>
      <w:r w:rsidR="52A98F5E" w:rsidRPr="00244161">
        <w:rPr>
          <w:rFonts w:eastAsia="Times New Roman" w:ascii="Times New Roman" w:hAnsi="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ascii="Times New Roman" w:hAnsi="Times New Roman"/>
          <w:color w:val="000000" w:themeColor="text1"/>
        </w:rPr>
        <w:t xml:space="preserve"> are the partitioned feature </w:t>
      </w:r>
      <w:r w:rsidR="77E39F4B" w:rsidRPr="00244161">
        <w:rPr>
          <w:rFonts w:eastAsia="Times New Roman" w:ascii="Times New Roman" w:hAnsi="Times New Roman"/>
          <w:color w:val="000000" w:themeColor="text1"/>
        </w:rPr>
        <w:t>spaces and</w:t>
      </w:r>
      <w:r w:rsidR="52A98F5E"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ascii="Times New Roman" w:hAnsi="Times New Roman"/>
          <w:color w:val="000000" w:themeColor="text1"/>
        </w:rPr>
        <w:t xml:space="preserve"> represents the mean of the observed returns within that specific </w:t>
      </w:r>
      <w:r w:rsidR="2A427B96" w:rsidRPr="00244161">
        <w:rPr>
          <w:rFonts w:eastAsia="Times New Roman" w:ascii="Times New Roman" w:hAnsi="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deeply without pruning. While a single unpruned tree captures highly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market relationships with low bias, it </w:t>
      </w:r>
      <w:r w:rsidR="5219A071" w:rsidRPr="00244161">
        <w:rPr>
          <w:rFonts w:eastAsia="Times New Roman" w:ascii="Times New Roman" w:hAnsi="Times New Roman"/>
          <w:color w:val="000000" w:themeColor="text1"/>
        </w:rPr>
        <w:t>suffers</w:t>
      </w:r>
      <w:r w:rsidRPr="00244161">
        <w:rPr>
          <w:rFonts w:eastAsia="Times New Roman" w:ascii="Times New Roman" w:hAnsi="Times New Roman"/>
          <w:color w:val="000000" w:themeColor="text1"/>
        </w:rPr>
        <w:t xml:space="preserve"> high variance (over</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ascii="Times New Roman" w:hAnsi="Times New Roman"/>
          <w:color w:val="000000" w:themeColor="text1"/>
        </w:rPr>
        <w:t xml:space="preserve"> independently trained trees.</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aggregate Random Forest prediction for the weekly return at </w:t>
      </w:r>
      <w:proofErr w:type="gramStart"/>
      <w:r w:rsidRPr="00244161">
        <w:rPr>
          <w:rFonts w:eastAsia="Times New Roman" w:ascii="Times New Roman" w:hAnsi="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is mathematically specified as:</w:t>
      </w:r>
    </w:p>
    <w:p w:rsidR="2DC85E35" w:rsidRPr="00244161" w:rsidRDefault="00244161"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CC3A70" w:rsidRPr="00244161">
        <w:rPr>
          <w:rFonts w:eastAsia="Times New Roman" w:ascii="Times New Roman" w:hAnsi="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ascii="Times New Roman" w:hAnsi="Times New Roman"/>
          <w:color w:val="000000" w:themeColor="text1"/>
        </w:rPr>
        <w:t xml:space="preserve"> is the forecasted logarit</w:t>
      </w:r>
      <w:r w:rsidR="00CC3A70" w:rsidRPr="00244161">
        <w:rPr>
          <w:rFonts w:eastAsia="Times New Roman" w:ascii="Times New Roman" w:hAnsi="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ascii="Times New Roman" w:hAnsi="Times New Roman"/>
          <w:color w:val="000000" w:themeColor="text1"/>
        </w:rPr>
        <w:t xml:space="preserve"> is the total number of regression trees in the forest ensemble (a hyperparameter that will be optimized d</w:t>
      </w:r>
      <w:r w:rsidR="00CC3A70" w:rsidRPr="00244161">
        <w:rPr>
          <w:rFonts w:eastAsia="Times New Roman" w:ascii="Times New Roman" w:hAnsi="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ascii="Times New Roman" w:hAnsi="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ascii="Times New Roman" w:hAnsi="Times New Roman"/>
          <w:color w:val="000000" w:themeColor="text1"/>
        </w:rPr>
        <w:t>-</w:t>
      </w:r>
      <w:proofErr w:type="spellStart"/>
      <w:r w:rsidR="665A2B6B" w:rsidRPr="00244161">
        <w:rPr>
          <w:rFonts w:eastAsia="Times New Roman" w:ascii="Times New Roman" w:hAnsi="Times New Roman"/>
          <w:color w:val="000000" w:themeColor="text1"/>
        </w:rPr>
        <w:t>th</w:t>
      </w:r>
      <w:proofErr w:type="spellEnd"/>
      <w:r w:rsidR="665A2B6B" w:rsidRPr="00244161">
        <w:rPr>
          <w:rFonts w:eastAsia="Times New Roman" w:ascii="Times New Roman" w:hAnsi="Times New Roman"/>
          <w:color w:val="000000" w:themeColor="text1"/>
        </w:rPr>
        <w:t xml:space="preserve"> individual regression tree based on the 13</w:t>
      </w:r>
      <w:r w:rsidR="3CB00BA7" w:rsidRPr="00244161">
        <w:rPr>
          <w:rFonts w:eastAsia="Times New Roman" w:ascii="Times New Roman" w:hAnsi="Times New Roman"/>
          <w:color w:val="000000" w:themeColor="text1"/>
        </w:rPr>
        <w:t>-</w:t>
      </w:r>
      <w:r w:rsidR="665A2B6B" w:rsidRPr="00244161">
        <w:rPr>
          <w:rFonts w:eastAsia="Times New Roman" w:ascii="Times New Roman" w:hAnsi="Times New Roman"/>
          <w:color w:val="000000" w:themeColor="text1"/>
        </w:rPr>
        <w:t xml:space="preserve">dimensional feature vector </w:t>
      </w:r>
      <m:oMath>
        <m:sSub>
          <m:e>
            <m:r>
              <m:t>X</m:t>
            </m:r>
          </m:e>
          <m:sub>
            <m:r>
              <m:t>t</m:t>
            </m:r>
          </m:sub>
        </m:sSub>
      </m:oMath>
      <w:r w:rsidR="665A2B6B" w:rsidRPr="00244161">
        <w:rPr>
          <w:rFonts w:eastAsia="Times New Roman" w:ascii="Times New Roman" w:hAnsi="Times New Roman"/>
          <w:color w:val="000000" w:themeColor="text1"/>
        </w:rPr>
        <w:t>.</w:t>
      </w:r>
    </w:p>
    <w:p w:rsidR="2DC85E35" w:rsidRPr="00244161" w:rsidRDefault="3184A9BB"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3.2.3 </w:t>
      </w:r>
      <w:proofErr w:type="spellStart"/>
      <w:proofErr w:type="gramStart"/>
      <w:r w:rsidRPr="00244161">
        <w:rPr>
          <w:rFonts w:eastAsia="Times New Roman" w:ascii="Times New Roman" w:hAnsi="Times New Roman"/>
          <w:b/>
          <w:bCs/>
          <w:color w:val="000000" w:themeColor="text1"/>
        </w:rPr>
        <w:t>eXtreme</w:t>
      </w:r>
      <w:proofErr w:type="spellEnd"/>
      <w:proofErr w:type="gramEnd"/>
      <w:r w:rsidRPr="00244161">
        <w:rPr>
          <w:rFonts w:eastAsia="Times New Roman" w:ascii="Times New Roman" w:hAnsi="Times New Roman"/>
          <w:b/>
          <w:bCs/>
          <w:color w:val="000000" w:themeColor="text1"/>
        </w:rPr>
        <w:t xml:space="preserve"> Gradient Boosting (</w:t>
      </w: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w:t>
      </w:r>
    </w:p>
    <w:p w:rsidR="169D4331" w:rsidRPr="00244161" w:rsidRDefault="4A995ECD" w:rsidP="00B61C71">
      <w:pPr>
        <w:spacing w:after="0" w:line="480" w:lineRule="auto" w:before="0"/>
        <w:ind w:firstLine="720"/>
        <w:jc w:val="both"/>
        <w:rPr>
          <w:rFonts w:eastAsia="Times New Roman"/>
          <w:color w:val="000000" w:themeColor="text1"/>
        </w:rPr>
      </w:pPr>
      <w:r w:rsidRPr="00244161">
        <w:rPr>
          <w:rFonts w:ascii="Times New Roman" w:hAnsi="Times New Roman"/>
        </w:rPr>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The Additive Model Specification</w:t>
      </w:r>
    </w:p>
    <w:p w:rsidR="2B09352C" w:rsidRPr="00244161" w:rsidRDefault="0031267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ascii="Times New Roman" w:hAnsi="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containing the thirteen extracted market indicators, the aggregated XGBoost forecast is defined as:</w:t>
      </w:r>
    </w:p>
    <w:p w:rsidR="28C1B626" w:rsidRPr="00244161" w:rsidRDefault="00244161"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58A85989" w:rsidRPr="00244161">
        <w:rPr>
          <w:rFonts w:eastAsia="Times New Roman" w:ascii="Times New Roman" w:hAnsi="Times New Roman"/>
          <w:color w:val="000000" w:themeColor="text1"/>
        </w:rPr>
        <w:t>he</w:t>
      </w:r>
      <w:r w:rsidRPr="00244161">
        <w:rPr>
          <w:rFonts w:eastAsia="Times New Roman" w:ascii="Times New Roman" w:hAnsi="Times New Roman"/>
          <w:color w:val="000000" w:themeColor="text1"/>
        </w:rPr>
        <w:t>re</w:t>
      </w:r>
      <w:r w:rsidR="00D7573B"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ascii="Times New Roman" w:hAnsi="Times New Roman"/>
          <w:color w:val="000000" w:themeColor="text1"/>
        </w:rPr>
        <w:t xml:space="preserve"> is th</w:t>
      </w:r>
      <w:r w:rsidR="00D7573B" w:rsidRPr="00244161">
        <w:rPr>
          <w:rFonts w:eastAsia="Times New Roman" w:ascii="Times New Roman" w:hAnsi="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ascii="Times New Roman" w:hAnsi="Times New Roman"/>
          <w:color w:val="000000" w:themeColor="text1"/>
        </w:rPr>
        <w:t xml:space="preserve"> is the</w:t>
      </w:r>
      <w:r w:rsidR="00D7573B" w:rsidRPr="00244161">
        <w:rPr>
          <w:rFonts w:eastAsia="Times New Roman" w:ascii="Times New Roman" w:hAnsi="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ascii="Times New Roman" w:hAnsi="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ascii="Times New Roman" w:hAnsi="Times New Roman"/>
          <w:color w:val="000000" w:themeColor="text1"/>
        </w:rPr>
        <w:t>of all possible trees.</w:t>
      </w:r>
    </w:p>
    <w:p w:rsidR="65F995CD" w:rsidRPr="00244161" w:rsidRDefault="31F2CD3E"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2. The Regularized Objective Function</w:t>
      </w:r>
    </w:p>
    <w:p w:rsidR="65F995CD" w:rsidRPr="00244161" w:rsidRDefault="31F2CD3E"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Financial time series are notoriously noisy, making complex models highly susceptible to overfitting.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addresses this by optimizing a regularized objective function at each sequential step</w:t>
      </w:r>
      <w:r w:rsidR="7C990296"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(not to be confused with time </w:t>
      </w:r>
      <w:proofErr w:type="gramStart"/>
      <w:r w:rsidRPr="00244161">
        <w:rPr>
          <w:rFonts w:eastAsia="Times New Roman" w:ascii="Times New Roman" w:hAnsi="Times New Roman"/>
          <w:color w:val="000000" w:themeColor="text1"/>
        </w:rPr>
        <w:t>index</w:t>
      </w:r>
      <w:r w:rsidR="6B6BF4DF" w:rsidRPr="00244161">
        <w:rPr>
          <w:rFonts w:eastAsia="Times New Roman" w:ascii="Times New Roman" w:hAnsi="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ascii="Times New Roman" w:hAnsi="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D7573B" w:rsidRPr="00244161">
        <w:rPr>
          <w:rFonts w:eastAsia="Times New Roman" w:ascii="Times New Roman" w:hAnsi="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ascii="Times New Roman" w:hAnsi="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ascii="Times New Roman" w:hAnsi="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ascii="Times New Roman" w:hAnsi="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ascii="Times New Roman" w:hAnsi="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1F1BE260" w:rsidRPr="00244161">
        <w:rPr>
          <w:rFonts w:eastAsia="Times New Roman" w:ascii="Times New Roman" w:hAnsi="Times New Roman"/>
          <w:color w:val="000000" w:themeColor="text1"/>
        </w:rPr>
        <w:t>here</w:t>
      </w:r>
      <w:proofErr w:type="gramEnd"/>
      <w:r w:rsidR="1F1BE26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1F1BE260" w:rsidRPr="00244161">
        <w:rPr>
          <w:rFonts w:eastAsia="Times New Roman" w:ascii="Times New Roman" w:hAnsi="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ascii="Times New Roman" w:hAnsi="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ascii="Times New Roman" w:hAnsi="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ascii="Times New Roman" w:hAnsi="Times New Roman"/>
          <w:color w:val="000000" w:themeColor="text1"/>
        </w:rPr>
        <w:t xml:space="preserve"> is the L2 regularization term </w:t>
      </w:r>
      <w:r w:rsidR="1F1BE260" w:rsidRPr="00244161">
        <w:rPr>
          <w:rFonts w:eastAsia="Times New Roman" w:ascii="Times New Roman" w:hAnsi="Times New Roman"/>
          <w:color w:val="000000" w:themeColor="text1"/>
        </w:rPr>
        <w:lastRenderedPageBreak/>
        <w:t>on the weights. By aggressively penalizing complexity, the XGBoost model isolates true predictive signals from transient market noise on the NGX.</w:t>
      </w:r>
    </w:p>
    <w:p w:rsidR="7187619A" w:rsidRPr="00244161" w:rsidRDefault="714FCAC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3.2.4 The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 Aware (Mean</w:t>
      </w:r>
      <w:r w:rsidR="3CB00BA7" w:rsidRPr="00244161">
        <w:rPr>
          <w:rFonts w:eastAsia="Times New Roman" w:ascii="Times New Roman" w:hAnsi="Times New Roman"/>
          <w:b/>
          <w:bCs/>
          <w:color w:val="000000" w:themeColor="text1"/>
        </w:rPr>
        <w:t>-</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Optimization Model</w:t>
      </w:r>
    </w:p>
    <w:p w:rsidR="78861E12" w:rsidRPr="00244161" w:rsidRDefault="406F5F67" w:rsidP="00B61C71">
      <w:pPr>
        <w:spacing w:after="0" w:line="480" w:lineRule="auto" w:before="0"/>
        <w:ind w:firstLine="720"/>
        <w:jc w:val="both"/>
        <w:rPr>
          <w:rFonts w:eastAsia="Times New Roman"/>
          <w:color w:val="000000" w:themeColor="text1"/>
        </w:rPr>
      </w:pPr>
      <w:r>
        <w:rPr>
          <w:rFonts w:ascii="Times New Roman" w:hAnsi="Times New Roman"/>
          <w:sz w:val="24"/>
        </w:rP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account for the severe downside volatility inherent in emerging equity markets, this study discards the traditional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assumes normally distributed returns) in favor of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Conditional Value at Risk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framework.</w:t>
      </w:r>
    </w:p>
    <w:p w:rsidR="0C80C9C9" w:rsidRPr="00244161" w:rsidRDefault="47BC7A9E"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1. Formulation of Portfolio Loss and </w:t>
      </w:r>
      <w:proofErr w:type="spellStart"/>
      <w:r w:rsidRPr="00244161">
        <w:rPr>
          <w:rFonts w:eastAsia="Times New Roman" w:ascii="Times New Roman" w:hAnsi="Times New Roman"/>
          <w:b/>
          <w:bCs/>
          <w:color w:val="000000" w:themeColor="text1"/>
        </w:rPr>
        <w:t>VaR</w:t>
      </w:r>
      <w:proofErr w:type="spellEnd"/>
    </w:p>
    <w:p w:rsidR="0C80C9C9" w:rsidRPr="00244161" w:rsidRDefault="47BC7A9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m:oMath>
        <m:r>
          <w:rPr>
            <w:rFonts w:ascii="Cambria Math" w:hAnsi="Cambria Math"/>
            <w:color w:val="000000" w:themeColor="text1"/>
          </w:rPr>
          <m:t>w </m:t>
        </m:r>
      </m:oMath>
      <w:r w:rsidRPr="00244161">
        <w:rPr>
          <w:rFonts w:eastAsia="Times New Roman" w:ascii="Times New Roman" w:hAnsi="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ascii="Times New Roman" w:hAnsi="Times New Roman"/>
          <w:color w:val="000000" w:themeColor="text1"/>
        </w:rPr>
        <w:t xml:space="preserve">constituent assets of the NGX Pension </w:t>
      </w:r>
      <w:r w:rsidR="4C9A470E" w:rsidRPr="00244161">
        <w:rPr>
          <w:rFonts w:eastAsia="Times New Roman" w:ascii="Times New Roman" w:hAnsi="Times New Roman"/>
          <w:color w:val="000000" w:themeColor="text1"/>
        </w:rPr>
        <w:t>Index and</w:t>
      </w:r>
      <w:r w:rsidRPr="00244161">
        <w:rPr>
          <w:rFonts w:eastAsia="Times New Roman" w:ascii="Times New Roman" w:hAnsi="Times New Roman"/>
          <w:color w:val="000000" w:themeColor="text1"/>
        </w:rPr>
        <w:t xml:space="preserve"> </w:t>
      </w:r>
      <m:oMath>
        <m:r>
          <w:rPr>
            <w:rFonts w:ascii="Cambria Math" w:hAnsi="Cambria Math"/>
            <w:color w:val="000000" w:themeColor="text1"/>
          </w:rPr>
          <m:t>r </m:t>
        </m:r>
      </m:oMath>
      <w:r w:rsidRPr="00244161">
        <w:rPr>
          <w:rFonts w:eastAsia="Times New Roman" w:ascii="Times New Roman" w:hAnsi="Times New Roman"/>
          <w:color w:val="000000" w:themeColor="text1"/>
        </w:rPr>
        <w:t xml:space="preserve"> r</w:t>
      </w:r>
      <w:r w:rsidR="55AB2E1B" w:rsidRPr="00244161">
        <w:rPr>
          <w:rFonts w:eastAsia="Times New Roman" w:ascii="Times New Roman" w:hAnsi="Times New Roman"/>
          <w:color w:val="000000" w:themeColor="text1"/>
        </w:rPr>
        <w:t xml:space="preserve"> r</w:t>
      </w:r>
      <w:r w:rsidRPr="00244161">
        <w:rPr>
          <w:rFonts w:eastAsia="Times New Roman" w:ascii="Times New Roman" w:hAnsi="Times New Roman"/>
          <w:color w:val="000000" w:themeColor="text1"/>
        </w:rPr>
        <w:t xml:space="preserve">epresent the vector of actual asset returns. The portfolio loss function is defined as the negative of the portfolio </w:t>
      </w:r>
      <w:r w:rsidR="29AD428E" w:rsidRPr="00244161">
        <w:rPr>
          <w:rFonts w:eastAsia="Times New Roman" w:ascii="Times New Roman" w:hAnsi="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ascii="Times New Roman" w:hAnsi="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ascii="Times New Roman" w:hAnsi="Times New Roman"/>
          <w:color w:val="000000" w:themeColor="text1"/>
        </w:rPr>
        <w:t>).</w:t>
      </w:r>
      <w:r w:rsidR="00501293" w:rsidRPr="00244161">
        <w:rPr>
          <w:rFonts w:eastAsia="Times New Roman" w:ascii="Times New Roman" w:hAnsi="Times New Roman"/>
          <w:color w:val="000000" w:themeColor="text1"/>
        </w:rPr>
        <w:t xml:space="preserve"> </w:t>
      </w:r>
      <w:r w:rsidR="47BC7A9E" w:rsidRPr="00244161">
        <w:rPr>
          <w:rFonts w:eastAsia="Times New Roman" w:ascii="Times New Roman" w:hAnsi="Times New Roman"/>
          <w:color w:val="000000" w:themeColor="text1"/>
        </w:rPr>
        <w:t xml:space="preserve">Before defining </w:t>
      </w:r>
      <w:proofErr w:type="spellStart"/>
      <w:r w:rsidR="47BC7A9E" w:rsidRPr="00244161">
        <w:rPr>
          <w:rFonts w:eastAsia="Times New Roman" w:ascii="Times New Roman" w:hAnsi="Times New Roman"/>
          <w:color w:val="000000" w:themeColor="text1"/>
        </w:rPr>
        <w:t>CVaR</w:t>
      </w:r>
      <w:proofErr w:type="spellEnd"/>
      <w:r w:rsidR="47BC7A9E" w:rsidRPr="00244161">
        <w:rPr>
          <w:rFonts w:eastAsia="Times New Roman" w:ascii="Times New Roman" w:hAnsi="Times New Roman"/>
          <w:color w:val="000000" w:themeColor="text1"/>
        </w:rPr>
        <w:t>, the Value at Risk (</w:t>
      </w:r>
      <w:proofErr w:type="spellStart"/>
      <w:r w:rsidR="47BC7A9E" w:rsidRPr="00244161">
        <w:rPr>
          <w:rFonts w:eastAsia="Times New Roman" w:ascii="Times New Roman" w:hAnsi="Times New Roman"/>
          <w:color w:val="000000" w:themeColor="text1"/>
        </w:rPr>
        <w:t>VaR</w:t>
      </w:r>
      <w:proofErr w:type="spellEnd"/>
      <w:r w:rsidR="47BC7A9E" w:rsidRPr="00244161">
        <w:rPr>
          <w:rFonts w:eastAsia="Times New Roman" w:ascii="Times New Roman" w:hAnsi="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ascii="Times New Roman" w:hAnsi="Times New Roman"/>
          <w:color w:val="000000" w:themeColor="text1"/>
        </w:rPr>
        <w:t xml:space="preserve"> (e.g., </w:t>
      </w:r>
      <w:r w:rsidR="47BC7A9E" w:rsidRPr="00244161">
        <w:rPr>
          <w:rFonts w:eastAsia="Times New Roman" w:ascii="Times New Roman" w:hAnsi="Times New Roman"/>
          <w:color w:val="000000" w:themeColor="text1"/>
        </w:rPr>
        <w:lastRenderedPageBreak/>
        <w:t xml:space="preserve">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ascii="Times New Roman" w:hAnsi="Times New Roman"/>
          <w:color w:val="000000" w:themeColor="text1"/>
        </w:rPr>
        <w:t xml:space="preserve"> worst</w:t>
      </w:r>
      <w:r w:rsidR="3CB00BA7" w:rsidRPr="00244161">
        <w:rPr>
          <w:rFonts w:eastAsia="Times New Roman" w:ascii="Times New Roman" w:hAnsi="Times New Roman"/>
          <w:color w:val="000000" w:themeColor="text1"/>
        </w:rPr>
        <w:t>-</w:t>
      </w:r>
      <w:r w:rsidR="47BC7A9E" w:rsidRPr="00244161">
        <w:rPr>
          <w:rFonts w:eastAsia="Times New Roman" w:ascii="Times New Roman" w:hAnsi="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ascii="Times New Roman" w:hAnsi="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ascii="Times New Roman" w:hAnsi="Times New Roman"/>
          <w:color w:val="000000" w:themeColor="text1"/>
        </w:rPr>
        <w:t xml:space="preserve"> is the cumulative distribution function of portfolio loss.</w:t>
      </w:r>
    </w:p>
    <w:p w:rsidR="503A75D7" w:rsidRPr="00244161" w:rsidRDefault="28F3B1EC"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Conditional Value at Risk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w:t>
      </w:r>
    </w:p>
    <w:p w:rsidR="005574A1" w:rsidRPr="00244161" w:rsidRDefault="005574A1" w:rsidP="00B61C71">
      <w:pPr>
        <w:spacing w:after="0" w:line="480" w:lineRule="auto" w:before="0"/>
        <w:ind w:firstLine="720"/>
        <w:jc w:val="both"/>
        <w:rPr>
          <w:rFonts w:eastAsia="Times New Roman"/>
          <w:bCs/>
          <w:color w:val="000000" w:themeColor="text1"/>
        </w:rPr>
      </w:pPr>
      <w:r w:rsidRPr="00244161">
        <w:rPr>
          <w:rFonts w:eastAsia="Times New Roman" w:ascii="Times New Roman" w:hAnsi="Times New Roman"/>
          <w:bCs/>
          <w:color w:val="000000" w:themeColor="text1"/>
        </w:rPr>
        <w:t>Conditional Value-at-Risk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ascii="Times New Roman" w:hAnsi="Times New Roman"/>
          <w:bCs/>
          <w:color w:val="000000" w:themeColor="text1"/>
        </w:rPr>
        <w:t>VaR</w:t>
      </w:r>
      <w:proofErr w:type="spellEnd"/>
      <w:r w:rsidRPr="00244161">
        <w:rPr>
          <w:rFonts w:eastAsia="Times New Roman" w:ascii="Times New Roman" w:hAnsi="Times New Roman"/>
          <w:bCs/>
          <w:color w:val="000000" w:themeColor="text1"/>
        </w:rPr>
        <w:t xml:space="preserve">, which is tail-blind beyond the cutoff percentile,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captures the magnitude of extreme tail losses and satisfies the properties of a coherent risk measure (</w:t>
      </w:r>
      <w:proofErr w:type="spellStart"/>
      <w:r w:rsidRPr="00244161">
        <w:rPr>
          <w:rFonts w:eastAsia="Times New Roman" w:ascii="Times New Roman" w:hAnsi="Times New Roman"/>
          <w:bCs/>
          <w:color w:val="000000" w:themeColor="text1"/>
        </w:rPr>
        <w:t>Artzner</w:t>
      </w:r>
      <w:proofErr w:type="spellEnd"/>
      <w:r w:rsidRPr="00244161">
        <w:rPr>
          <w:rFonts w:eastAsia="Times New Roman" w:ascii="Times New Roman" w:hAnsi="Times New Roman"/>
          <w:bCs/>
          <w:color w:val="000000" w:themeColor="text1"/>
        </w:rPr>
        <w:t xml:space="preserve"> et al., 1999). For a continuous loss distribution,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ascii="Times New Roman" w:hAnsi="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portfolio loss function.</w:t>
      </w:r>
    </w:p>
    <w:p w:rsidR="259197B6" w:rsidRPr="00244161" w:rsidRDefault="677DF53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Following the formulation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can be seamlessly integrated into a linear programming problem by minimizing an auxiliary continuous and </w:t>
      </w:r>
      <w:r w:rsidR="2C5AACA8" w:rsidRPr="00244161">
        <w:rPr>
          <w:rFonts w:eastAsia="Times New Roman" w:ascii="Times New Roman" w:hAnsi="Times New Roman"/>
          <w:color w:val="000000" w:themeColor="text1"/>
        </w:rPr>
        <w:t>convex function:</w:t>
      </w:r>
    </w:p>
    <w:p w:rsidR="28C1B626"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ascii="Times New Roman" w:hAnsi="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ascii="Times New Roman" w:hAnsi="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ultimate objective of the model is to minimize the tail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while achieving a minimum acceptable expected return driven by the machine learning forecasts. The optimization problem is specified as:</w:t>
      </w:r>
    </w:p>
    <w:p w:rsidR="28C1B626" w:rsidRPr="00244161" w:rsidRDefault="00244161"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q</m:t>
        </m:r>
      </m:oMath>
      <w:r w:rsidRPr="00244161">
        <w:rPr>
          <w:rFonts w:eastAsia="Times New Roman" w:ascii="Times New Roman" w:hAnsi="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ascii="Times New Roman" w:hAnsi="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ascii="Times New Roman" w:hAnsi="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and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ascii="Times New Roman" w:hAnsi="Times New Roman"/>
          <w:color w:val="000000" w:themeColor="text1"/>
        </w:rPr>
        <w:t>).</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Subject to the following empirical constraints:</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Target Return Constraint:</w:t>
      </w:r>
      <w:r w:rsidRPr="00244161">
        <w:rPr>
          <w:rFonts w:eastAsia="Times New Roman" w:ascii="Times New Roman" w:hAnsi="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(The portfolio's expected return, leveraging the ML </w:t>
      </w:r>
      <w:proofErr w:type="gramStart"/>
      <w:r w:rsidRPr="00244161">
        <w:rPr>
          <w:rFonts w:eastAsia="Times New Roman" w:ascii="Times New Roman" w:hAnsi="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must meet or exceed a specified target).</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Budget Constraint:</w:t>
      </w:r>
      <w:r w:rsidRPr="00244161">
        <w:rPr>
          <w:rFonts w:eastAsia="Times New Roman" w:ascii="Times New Roman" w:hAnsi="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ascii="Times New Roman" w:hAnsi="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Long</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Only Constraint: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ascii="Times New Roman" w:hAnsi="Times New Roman"/>
          <w:color w:val="000000" w:themeColor="text1"/>
        </w:rPr>
        <w:t xml:space="preserve"> (Short selling is prohibited, reflecting institutional realities on the NGX).</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By directly feeding the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into this coherent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over the period of 201</w:t>
      </w:r>
      <w:r w:rsidR="3FB10719" w:rsidRPr="00244161">
        <w:rPr>
          <w:rFonts w:eastAsia="Times New Roman" w:ascii="Times New Roman" w:hAnsi="Times New Roman"/>
          <w:color w:val="000000" w:themeColor="text1"/>
        </w:rPr>
        <w:t>0</w:t>
      </w:r>
      <w:r w:rsidRPr="00244161">
        <w:rPr>
          <w:rFonts w:eastAsia="Times New Roman" w:ascii="Times New Roman" w:hAnsi="Times New Roman"/>
          <w:color w:val="000000" w:themeColor="text1"/>
        </w:rPr>
        <w:t xml:space="preserve">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2025, it </w:t>
      </w:r>
      <w:r w:rsidR="3D27EA11" w:rsidRPr="00244161">
        <w:rPr>
          <w:rFonts w:eastAsia="Times New Roman" w:ascii="Times New Roman" w:hAnsi="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3.3.1 Time</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Series Data Partitioning (Train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Test Split)</w:t>
      </w:r>
    </w:p>
    <w:p w:rsidR="2C45EFF5" w:rsidRPr="00244161" w:rsidRDefault="12EE1BE8"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Evaluating machine learning models requires testing them on unseen, 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sample data. While traditional machine learning relies on randomized 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fold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validation, applying random splits to financial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series data introduces </w:t>
      </w:r>
      <w:r w:rsidRPr="00244161">
        <w:rPr>
          <w:rFonts w:eastAsia="Times New Roman" w:ascii="Times New Roman" w:hAnsi="Times New Roman"/>
          <w:i/>
          <w:iCs/>
          <w:color w:val="000000" w:themeColor="text1"/>
        </w:rPr>
        <w:t>look</w:t>
      </w:r>
      <w:r w:rsidR="3CB00BA7" w:rsidRPr="00244161">
        <w:rPr>
          <w:rFonts w:eastAsia="Times New Roman" w:ascii="Times New Roman" w:hAnsi="Times New Roman"/>
          <w:i/>
          <w:iCs/>
          <w:color w:val="000000" w:themeColor="text1"/>
        </w:rPr>
        <w:t>-</w:t>
      </w:r>
      <w:r w:rsidRPr="00244161">
        <w:rPr>
          <w:rFonts w:eastAsia="Times New Roman" w:ascii="Times New Roman" w:hAnsi="Times New Roman"/>
          <w:i/>
          <w:iCs/>
          <w:color w:val="000000" w:themeColor="text1"/>
        </w:rPr>
        <w:t>ahead bias</w:t>
      </w:r>
      <w:r w:rsidRPr="00244161">
        <w:rPr>
          <w:rFonts w:eastAsia="Times New Roman" w:ascii="Times New Roman" w:hAnsi="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ascii="Times New Roman" w:hAnsi="Times New Roman"/>
          <w:color w:val="000000" w:themeColor="text1"/>
        </w:rPr>
        <w:t>events,</w:t>
      </w:r>
      <w:r w:rsidRPr="00244161">
        <w:rPr>
          <w:rFonts w:eastAsia="Times New Roman" w:ascii="Times New Roman" w:hAnsi="Times New Roman"/>
          <w:color w:val="000000" w:themeColor="text1"/>
        </w:rPr>
        <w:t xml:space="preserve"> and artificially inflating the model's predictive accuracy.</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expanding historical windows and refit quarterly (every 13 weeks), generating dynamic, one-step-ahead out-of-sample weekly return forecasts.</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3.3.2 Model Training and </w:t>
      </w:r>
      <w:proofErr w:type="spellStart"/>
      <w:r w:rsidRPr="00244161">
        <w:rPr>
          <w:rFonts w:eastAsia="Times New Roman" w:ascii="Times New Roman" w:hAnsi="Times New Roman"/>
          <w:b/>
          <w:bCs/>
          <w:color w:val="000000" w:themeColor="text1"/>
        </w:rPr>
        <w:t>Hyperparameter</w:t>
      </w:r>
      <w:proofErr w:type="spellEnd"/>
      <w:r w:rsidRPr="00244161">
        <w:rPr>
          <w:rFonts w:eastAsia="Times New Roman" w:ascii="Times New Roman" w:hAnsi="Times New Roman"/>
          <w:b/>
          <w:bCs/>
          <w:color w:val="000000" w:themeColor="text1"/>
        </w:rPr>
        <w:t xml:space="preserve"> Tuning</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Hyperparameters were tuned once on the 2010–2020 in-sample period using GridSearchCV with 5-fold TimeSeriesSplit, focusing on parameters that penalize model complexity:</w:t>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r w:rsidR="3CB00BA7" w:rsidRPr="00244161">
        <w:rPr>
          <w:rFonts w:eastAsia="Times New Roman" w:ascii="Times New Roman" w:hAnsi="Times New Roman"/>
          <w:color w:val="000000" w:themeColor="text1"/>
        </w:rPr>
      </w:r>
      <w:r w:rsidRPr="00244161">
        <w:rPr>
          <w:rFonts w:eastAsia="Times New Roman" w:ascii="Times New Roman" w:hAnsi="Times New Roman"/>
          <w:color w:val="000000" w:themeColor="text1"/>
        </w:rPr>
      </w:r>
      <w:proofErr w:type="spellStart"/>
      <w:r w:rsidRPr="00244161">
        <w:rPr>
          <w:rFonts w:eastAsia="Times New Roman" w:ascii="Times New Roman" w:hAnsi="Times New Roman"/>
          <w:color w:val="000000" w:themeColor="text1"/>
        </w:rPr>
      </w:r>
      <w:proofErr w:type="spellEnd"/>
      <w:r w:rsidRPr="00244161">
        <w:rPr>
          <w:rFonts w:eastAsia="Times New Roman" w:ascii="Times New Roman" w:hAnsi="Times New Roman"/>
          <w:color w:val="000000" w:themeColor="text1"/>
        </w:rPr>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Random Forest Parameters:</w:t>
      </w:r>
      <w:r w:rsidRPr="00244161">
        <w:rPr>
          <w:rFonts w:eastAsia="Times New Roman" w:ascii="Times New Roman" w:hAnsi="Times New Roman"/>
          <w:color w:val="000000" w:themeColor="text1"/>
        </w:rPr>
        <w:t xml:space="preserve"> The search optimizes the number of trees in the forest (</w:t>
      </w:r>
      <w:proofErr w:type="spellStart"/>
      <w:r w:rsidRPr="00244161">
        <w:rPr>
          <w:rFonts w:eastAsia="Times New Roman" w:ascii="Times New Roman" w:hAnsi="Times New Roman"/>
          <w:color w:val="000000" w:themeColor="text1"/>
        </w:rPr>
        <w:t>n_estimators</w:t>
      </w:r>
      <w:proofErr w:type="spellEnd"/>
      <w:r w:rsidRPr="00244161">
        <w:rPr>
          <w:rFonts w:eastAsia="Times New Roman" w:ascii="Times New Roman" w:hAnsi="Times New Roman"/>
          <w:color w:val="000000" w:themeColor="text1"/>
        </w:rPr>
        <w:t>), the maximum depth of each tree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number of samples required to split an internal node (</w:t>
      </w:r>
      <w:proofErr w:type="spellStart"/>
      <w:r w:rsidRPr="00244161">
        <w:rPr>
          <w:rFonts w:eastAsia="Times New Roman" w:ascii="Times New Roman" w:hAnsi="Times New Roman"/>
          <w:color w:val="000000" w:themeColor="text1"/>
        </w:rPr>
        <w:t>min_samples_split</w:t>
      </w:r>
      <w:proofErr w:type="spellEnd"/>
      <w:r w:rsidRPr="00244161">
        <w:rPr>
          <w:rFonts w:eastAsia="Times New Roman" w:ascii="Times New Roman" w:hAnsi="Times New Roman"/>
          <w:color w:val="000000" w:themeColor="text1"/>
        </w:rPr>
        <w:t>).</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Parameters:</w:t>
      </w:r>
      <w:r w:rsidRPr="00244161">
        <w:rPr>
          <w:rFonts w:eastAsia="Times New Roman" w:ascii="Times New Roman" w:hAnsi="Times New Roman"/>
          <w:color w:val="000000" w:themeColor="text1"/>
        </w:rPr>
        <w:t xml:space="preserve"> The search optimizes the learning rate or step size shrinkage (</w:t>
      </w:r>
      <w:proofErr w:type="spellStart"/>
      <w:r w:rsidRPr="00244161">
        <w:rPr>
          <w:rFonts w:eastAsia="Times New Roman" w:ascii="Times New Roman" w:hAnsi="Times New Roman"/>
          <w:color w:val="000000" w:themeColor="text1"/>
        </w:rPr>
        <w:t>learning_rate</w:t>
      </w:r>
      <w:proofErr w:type="spellEnd"/>
      <w:r w:rsidRPr="00244161">
        <w:rPr>
          <w:rFonts w:eastAsia="Times New Roman" w:ascii="Times New Roman" w:hAnsi="Times New Roman"/>
          <w:color w:val="000000" w:themeColor="text1"/>
        </w:rPr>
        <w:t>), the maximum tree depth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line="480" w:lineRule="auto" w:before="0" w:after="0"/>
        <w:jc w:val="both"/>
        <w:rPr>
          <w:rFonts w:eastAsia="Times New Roman"/>
          <w:b/>
          <w:bCs/>
          <w:color w:val="000000" w:themeColor="text1"/>
        </w:rPr>
      </w:pPr>
      <w:r w:rsidRPr="00244161">
        <w:rPr>
          <w:rFonts w:eastAsia="Times New Roman" w:ascii="Times New Roman" w:hAnsi="Times New Roman"/>
          <w:b/>
          <w:bCs/>
          <w:color w:val="000000" w:themeColor="text1"/>
        </w:rPr>
        <w:t>3.3.3 Portfolio Turnover and Transaction Costs</w:t>
      </w:r>
    </w:p>
    <w:p w:rsidR="55A86771" w:rsidRPr="00244161" w:rsidRDefault="55A86771" w:rsidP="00B61C71">
      <w:pPr>
        <w:spacing w:line="480" w:lineRule="auto" w:before="0" w:after="0"/>
        <w:ind w:firstLine="720"/>
        <w:jc w:val="both"/>
        <w:rPr>
          <w:rFonts w:eastAsia="Times New Roman"/>
          <w:color w:val="000000" w:themeColor="text1"/>
        </w:rPr>
      </w:pPr>
      <w:r>
        <w:rPr>
          <w:rFonts w:ascii="Times New Roman" w:hAnsi="Times New Roman"/>
          <w:sz w:val="24"/>
        </w:rPr>
        <w:t>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costs at week t are mathematically defined as Cost_t = c × ∑ |w_{i,t} - w_{i,t-1}|,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5F0247A" w:rsidRPr="00244161">
        <w:rPr>
          <w:rFonts w:eastAsia="Times New Roman" w:ascii="Times New Roman" w:hAnsi="Times New Roman"/>
          <w:b/>
          <w:bCs/>
          <w:color w:val="000000" w:themeColor="text1"/>
        </w:rPr>
        <w:t>4</w:t>
      </w:r>
      <w:r w:rsidRPr="00244161">
        <w:rPr>
          <w:rFonts w:eastAsia="Times New Roman" w:ascii="Times New Roman" w:hAnsi="Times New Roman"/>
          <w:b/>
          <w:bCs/>
          <w:color w:val="000000" w:themeColor="text1"/>
        </w:rPr>
        <w:t xml:space="preserve"> Feature Importance Extraction</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ascii="Times New Roman" w:hAnsi="Times New Roman"/>
          <w:color w:val="000000" w:themeColor="text1"/>
        </w:rPr>
        <w:t>this study extracts the built</w:t>
      </w:r>
      <w:r w:rsidR="3CB00BA7" w:rsidRPr="00244161">
        <w:rPr>
          <w:rFonts w:eastAsia="Times New Roman" w:ascii="Times New Roman" w:hAnsi="Times New Roman"/>
          <w:color w:val="000000" w:themeColor="text1"/>
        </w:rPr>
        <w:t>-</w:t>
      </w:r>
      <w:r w:rsidR="774AC8EC" w:rsidRPr="00244161">
        <w:rPr>
          <w:rFonts w:eastAsia="Times New Roman" w:ascii="Times New Roman" w:hAnsi="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Random Forest Interpretation:</w:t>
      </w:r>
      <w:r w:rsidRPr="00244161">
        <w:rPr>
          <w:rFonts w:eastAsia="Times New Roman" w:ascii="Times New Roman" w:hAnsi="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Interpretation:</w:t>
      </w:r>
      <w:r w:rsidRPr="00244161">
        <w:rPr>
          <w:rFonts w:eastAsia="Times New Roman" w:ascii="Times New Roman" w:hAnsi="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213DE3F" w:rsidRPr="00244161">
        <w:rPr>
          <w:rFonts w:eastAsia="Times New Roman" w:ascii="Times New Roman" w:hAnsi="Times New Roman"/>
          <w:b/>
          <w:bCs/>
          <w:color w:val="000000" w:themeColor="text1"/>
        </w:rPr>
        <w:t>5</w:t>
      </w:r>
      <w:r w:rsidRPr="00244161">
        <w:rPr>
          <w:rFonts w:eastAsia="Times New Roman" w:ascii="Times New Roman" w:hAnsi="Times New Roman"/>
          <w:b/>
          <w:bCs/>
          <w:color w:val="000000" w:themeColor="text1"/>
        </w:rPr>
        <w:t xml:space="preserve"> Evaluation Metrics for Forecasting and Portfolio Performance</w:t>
      </w:r>
    </w:p>
    <w:p w:rsidR="057DBCA5" w:rsidRPr="00244161" w:rsidRDefault="0273BA0A"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methodology utilizes a dual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optimized portfolio against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baseline (Stage 2).</w:t>
      </w:r>
    </w:p>
    <w:p w:rsidR="057DBCA5" w:rsidRPr="00244161" w:rsidRDefault="0273BA0A"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1. Predictive Forecasting Metrics</w:t>
      </w:r>
    </w:p>
    <w:p w:rsidR="057DBCA5" w:rsidRPr="00244161" w:rsidRDefault="0273BA0A" w:rsidP="00B61C71">
      <w:pPr>
        <w:spacing w:before="0" w:after="0" w:line="480" w:lineRule="auto"/>
        <w:ind w:firstLine="720"/>
        <w:jc w:val="both"/>
        <w:rPr>
          <w:rFonts w:eastAsia="Times New Roman"/>
          <w:color w:val="000000" w:themeColor="text1"/>
        </w:rPr>
      </w:pPr>
      <w:r>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Root Mean Squared Error (RMSE):</w:t>
      </w:r>
      <w:r w:rsidRPr="00244161">
        <w:rPr>
          <w:rFonts w:eastAsia="Times New Roman" w:ascii="Times New Roman" w:hAnsi="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before="0"/>
        <w:ind w:firstLine="720"/>
        <w:jc w:val="both"/>
        <w:rPr>
          <w:rFonts w:eastAsia="Times New Roman"/>
          <w:color w:val="000000" w:themeColor="text1"/>
        </w:rPr>
      </w:pPr>
      <w:r>
        <w:rPr>
          <w:rFonts w:ascii="Times New Roman" w:hAnsi="Times New Roman"/>
          <w:color w:val="000000"/>
          <w:sz w:val="24"/>
        </w:rP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pPr>
        <w:spacing w:line="480" w:lineRule="auto" w:before="0" w:after="0"/>
        <w:ind w:firstLine="720"/>
        <w:jc w:val="both"/>
      </w:pPr>
      <w:r>
        <w:rPr>
          <w:rFonts w:ascii="Times New Roman" w:hAnsi="Times New Roman"/>
          <w:color w:val="000000"/>
          <w:sz w:val="24"/>
        </w:rP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pPr>
        <w:spacing w:before="120" w:after="120" w:line="240" w:lineRule="auto"/>
        <w:jc w:val="center"/>
      </w:pPr>
      <m:oMathPara>
        <m:oMathParaPr>
          <m:jc m:val="center"/>
        </m:oMathParaPr>
        <m:oMath>
          <m:r>
            <m:t>DA</m:t>
          </m:r>
          <m:r>
            <m:t> = </m:t>
          </m:r>
          <m:f>
            <m:num>
              <m:r>
                <m:t>1</m:t>
              </m:r>
            </m:num>
            <m:den>
              <m:r>
                <m:t>T</m:t>
              </m:r>
            </m:den>
          </m:f>
          <m:nary>
            <m:naryPr>
              <m:chr m:val="∑"/>
            </m:naryPr>
            <m:sub>
              <m:r>
                <m:t>t=1</m:t>
              </m:r>
            </m:sub>
            <m:sup>
              <m:r>
                <m:t>T</m:t>
              </m:r>
            </m:sup>
            <m:e>
              <m:sSub>
                <m:e>
                  <m:r>
                    <m:rPr>
                      <m:b/>
                    </m:rPr>
                    <m:t>1</m:t>
                  </m:r>
                </m:e>
                <m:sub>
                  <m:d>
                    <m:dPr>
                      <m:begChr m:val="{"/>
                      <m:endChr m:val="}"/>
                    </m:dPr>
                    <m:e>
                      <m:r>
                        <m:t>sign</m:t>
                      </m:r>
                      <m:d>
                        <m:e>
                          <m:sSub>
                            <m:e>
                              <m:r>
                                <m:t>R</m:t>
                              </m:r>
                            </m:e>
                            <m:sub>
                              <m:r>
                                <m:t>i,t+1</m:t>
                              </m:r>
                            </m:sub>
                          </m:sSub>
                        </m:e>
                      </m:d>
                      <m:r>
                        <m:t> = </m:t>
                      </m:r>
                      <m:r>
                        <m:t>sign</m:t>
                      </m:r>
                      <m:d>
                        <m:e>
                          <m:sSub>
                            <m:e>
                              <m:r>
                                <m:t>R̂</m:t>
                              </m:r>
                            </m:e>
                            <m:sub>
                              <m:r>
                                <m:t>i,t+1</m:t>
                              </m:r>
                            </m:sub>
                          </m:sSub>
                        </m:e>
                      </m:d>
                    </m:e>
                  </m:d>
                </m:sub>
              </m:sSub>
            </m:e>
          </m:nary>
          <m:r>
            <m:t> × 100%</m:t>
          </m:r>
        </m:oMath>
      </m:oMathPara>
    </w:p>
    <w:p w:rsidR="41B0570A" w:rsidRPr="00244161" w:rsidRDefault="200210B0"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Adjusted Portfolio Metrics</w:t>
      </w:r>
    </w:p>
    <w:p w:rsidR="41B0570A" w:rsidRPr="00244161" w:rsidRDefault="200210B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evaluate the final portfolio allocation, performance is measured using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metrics. This requires a localized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for which the 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annualized Central Bank of Nigeria (CBN) 91</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day Treasury </w:t>
      </w:r>
      <w:proofErr w:type="gramStart"/>
      <w:r w:rsidRPr="00244161">
        <w:rPr>
          <w:rFonts w:eastAsia="Times New Roman" w:ascii="Times New Roman" w:hAnsi="Times New Roman"/>
          <w:color w:val="000000" w:themeColor="text1"/>
        </w:rPr>
        <w:t>Bill</w:t>
      </w:r>
      <w:proofErr w:type="gramEnd"/>
      <w:r w:rsidRPr="00244161">
        <w:rPr>
          <w:rFonts w:eastAsia="Times New Roman" w:ascii="Times New Roman" w:hAnsi="Times New Roman"/>
          <w:color w:val="000000" w:themeColor="text1"/>
        </w:rPr>
        <w:t xml:space="preserve"> rate is utilized.</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Sharpe</m:t>
        </m:r>
      </m:oMath>
      <w:r w:rsidRPr="00244161">
        <w:rPr>
          <w:rFonts w:eastAsia="Times New Roman" w:ascii="Times New Roman" w:hAnsi="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w:t>
      </w:r>
      <w:r w:rsidRPr="00244161">
        <w:rPr>
          <w:rFonts w:eastAsia="Times New Roman" w:ascii="Times New Roman" w:hAnsi="Times New Roman"/>
          <w:color w:val="000000" w:themeColor="text1"/>
        </w:rPr>
        <w:lastRenderedPageBreak/>
        <w:t xml:space="preserve">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ascii="Times New Roman" w:hAnsi="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Sortino</m:t>
        </m:r>
      </m:oMath>
      <w:r w:rsidRPr="00244161">
        <w:rPr>
          <w:rFonts w:eastAsia="Times New Roman" w:ascii="Times New Roman" w:hAnsi="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risk-free benchmark rate, an</w:t>
      </w:r>
      <w:bookmarkStart w:id="0" w:name="_GoBack"/>
      <w:bookmarkEnd w:id="0"/>
      <w:r w:rsidRPr="00244161">
        <w:rPr>
          <w:rFonts w:eastAsia="Times New Roman" w:ascii="Times New Roman" w:hAnsi="Times New Roman"/>
          <w:color w:val="000000" w:themeColor="text1"/>
        </w:rPr>
        <w:t xml:space="preserve">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ascii="Times New Roman" w:hAnsi="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 xml:space="preserve">Maximum </w:t>
      </w:r>
      <w:proofErr w:type="spellStart"/>
      <w:r w:rsidRPr="00244161">
        <w:rPr>
          <w:rFonts w:eastAsia="Times New Roman" w:ascii="Times New Roman" w:hAnsi="Times New Roman"/>
          <w:bCs/>
          <w:color w:val="000000" w:themeColor="text1"/>
        </w:rPr>
        <w:t>DrawD</w:t>
      </w:r>
      <w:r w:rsidR="30BE8766" w:rsidRPr="00244161">
        <w:rPr>
          <w:rFonts w:eastAsia="Times New Roman" w:ascii="Times New Roman" w:hAnsi="Times New Roman"/>
          <w:bCs/>
          <w:color w:val="000000" w:themeColor="text1"/>
        </w:rPr>
        <w:t>own</w:t>
      </w:r>
      <w:proofErr w:type="spellEnd"/>
      <w:r w:rsidR="30BE8766" w:rsidRPr="00244161">
        <w:rPr>
          <w:rFonts w:eastAsia="Times New Roman" w:ascii="Times New Roman" w:hAnsi="Times New Roman"/>
          <w:bCs/>
          <w:color w:val="000000" w:themeColor="text1"/>
        </w:rPr>
        <w:t xml:space="preserve"> (MDD):</w:t>
      </w:r>
      <w:r w:rsidR="30BE8766" w:rsidRPr="00244161">
        <w:rPr>
          <w:rFonts w:eastAsia="Times New Roman" w:ascii="Times New Roman" w:hAnsi="Times New Roman"/>
          <w:color w:val="000000" w:themeColor="text1"/>
        </w:rPr>
        <w:t xml:space="preserve"> Quantifies the portfolio's absolute worst</w:t>
      </w:r>
      <w:r w:rsidR="3CB00BA7" w:rsidRPr="00244161">
        <w:rPr>
          <w:rFonts w:eastAsia="Times New Roman" w:ascii="Times New Roman" w:hAnsi="Times New Roman"/>
          <w:color w:val="000000" w:themeColor="text1"/>
        </w:rPr>
        <w:t>-</w:t>
      </w:r>
      <w:r w:rsidR="30BE8766" w:rsidRPr="00244161">
        <w:rPr>
          <w:rFonts w:eastAsia="Times New Roman" w:ascii="Times New Roman" w:hAnsi="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MDD</m:t>
        </m:r>
      </m:oMath>
      <w:r w:rsidRPr="00244161">
        <w:rPr>
          <w:rFonts w:eastAsia="Times New Roman" w:ascii="Times New Roman" w:hAnsi="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ascii="Times New Roman" w:hAnsi="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ascii="Times New Roman" w:hAnsi="Times New Roman"/>
          <w:color w:val="000000" w:themeColor="text1"/>
        </w:rPr>
        <w:t>.</w:t>
      </w:r>
    </w:p>
    <w:p>
      <w:pPr>
        <w:spacing w:line="480" w:lineRule="auto" w:before="0" w:after="0"/>
        <w:ind w:firstLine="720"/>
        <w:jc w:val="both"/>
      </w:pPr>
      <w:r>
        <w:rPr>
          <w:rFonts w:ascii="Times New Roman" w:hAnsi="Times New Roman"/>
          <w:color w:val="000000"/>
          <w:sz w:val="24"/>
        </w:rPr>
        <w:t>Certainty Equivalent Return (CER): Measures the risk-free rate of return that an investor with risk-aversion coefficient γ would accept in lieu of holding the risky portfolio. Formally, CER is formulated as:</w:t>
      </w:r>
    </w:p>
    <w:p>
      <w:pPr>
        <w:spacing w:before="120" w:after="120" w:line="240" w:lineRule="auto"/>
        <w:jc w:val="center"/>
      </w:pPr>
      <m:oMathPara>
        <m:oMathParaPr>
          <m:jc m:val="center"/>
        </m:oMathParaPr>
        <m:oMath>
          <m:r>
            <m:t>CER</m:t>
          </m:r>
          <m:r>
            <m:t> = </m:t>
          </m:r>
          <m:sSub>
            <m:e>
              <m:r>
                <m:t>μ̂</m:t>
              </m:r>
            </m:e>
            <m:sub>
              <m:r>
                <m:t>p</m:t>
              </m:r>
            </m:sub>
          </m:sSub>
          <m:r>
            <m:t> − </m:t>
          </m:r>
          <m:f>
            <m:num>
              <m:r>
                <m:t>γ</m:t>
              </m:r>
            </m:num>
            <m:den>
              <m:r>
                <m:t>2</m:t>
              </m:r>
            </m:den>
          </m:f>
          <m:sSup>
            <m:e>
              <m:sSub>
                <m:e>
                  <m:r>
                    <m:t>σ̂</m:t>
                  </m:r>
                </m:e>
                <m:sub>
                  <m:r>
                    <m:t>p</m:t>
                  </m:r>
                </m:sub>
              </m:sSub>
            </m:e>
            <m:sup>
              <m:r>
                <m:t>2</m:t>
              </m:r>
            </m:sup>
          </m:sSup>
        </m:oMath>
      </m:oMathPara>
    </w:p>
    <w:p w:rsidR="4ED2A560" w:rsidRPr="00244161" w:rsidRDefault="30BE8766"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w:t>
      </w:r>
      <w:r w:rsidRPr="00244161">
        <w:rPr>
          <w:rFonts w:ascii="Times New Roman" w:hAnsi="Times New Roman"/>
        </w:rPr>
        <w:lastRenderedPageBreak/>
        <w:t>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line="480" w:lineRule="auto" w:before="0" w:after="0"/>
        <w:jc w:val="left"/>
        <w:rPr>
          <w:rFonts w:eastAsia="Times New Roman"/>
          <w:b/>
          <w:bCs/>
          <w:color w:val="000000" w:themeColor="text1"/>
        </w:rPr>
      </w:pPr>
      <w:r>
        <w:rPr>
          <w:rFonts w:ascii="Times New Roman" w:hAnsi="Times New Roman"/>
          <w:b/>
          <w:sz w:val="24"/>
        </w:rPr>
        <w:t>3.3.6 Benchmark Portfolios for Evaluation</w:t>
      </w:r>
    </w:p>
    <w:p w:rsidR="01E9B122" w:rsidRPr="00244161" w:rsidRDefault="01E9B122" w:rsidP="00B61C71">
      <w:pPr>
        <w:spacing w:line="480" w:lineRule="auto" w:before="0" w:after="0"/>
        <w:ind w:firstLine="720"/>
        <w:jc w:val="both"/>
        <w:rPr>
          <w:rFonts w:eastAsia="Times New Roman"/>
          <w:color w:val="000000" w:themeColor="text1"/>
        </w:rPr>
      </w:pPr>
      <w:r w:rsidRPr="00244161">
        <w:rPr>
          <w:rFonts w:eastAsia="Times New Roman" w:ascii="Times New Roman" w:hAnsi="Times New Roman"/>
          <w:color w:val="000000" w:themeColor="text1"/>
        </w:rPr>
        <w:t>To rigorously evaluate the economic value and true out-of-sample performance of the advanced ML-</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tail-risk constraints, genuinely deliver superior risk-adjusted performance on the Nigerian Exchange.</w:t>
      </w:r>
    </w:p>
    <w:p>
      <w:pPr>
        <w:spacing w:line="480" w:lineRule="auto" w:before="0" w:after="0"/>
        <w:ind w:firstLine="720"/>
        <w:jc w:val="both"/>
      </w:pPr>
      <w:r>
        <w:rPr>
          <w:rFonts w:ascii="Times New Roman" w:hAnsi="Times New Roman"/>
          <w:color w:val="000000"/>
          <w:sz w:val="24"/>
        </w:rPr>
        <w:t>To rigorously isolate the economic value-add of machine learning forecasts and tail-risk optimization, the active ML-CVaR portfolios are benchmarked against four distinct asset allocation strategies:</w:t>
      </w:r>
    </w:p>
    <w:p>
      <w:pPr>
        <w:spacing w:line="480" w:lineRule="auto" w:before="0" w:after="0"/>
        <w:ind w:firstLine="720"/>
        <w:jc w:val="both"/>
      </w:pPr>
      <w:r>
        <w:rPr>
          <w:rFonts w:ascii="Times New Roman" w:hAnsi="Times New Roman"/>
          <w:color w:val="000000"/>
          <w:sz w:val="24"/>
        </w:rPr>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m:oMathPara>
        <m:oMathParaPr>
          <m:jc m:val="center"/>
        </m:oMathParaPr>
        <m:oMath>
          <m:sSub>
            <m:e>
              <m:r>
                <m:t>μ</m:t>
              </m:r>
            </m:e>
            <m:sub>
              <m:r>
                <m:t>hist</m:t>
              </m:r>
            </m:sub>
          </m:sSub>
          <m:r>
            <m:t> = </m:t>
          </m:r>
          <m:f>
            <m:num>
              <m:r>
                <m:t>1</m:t>
              </m:r>
            </m:num>
            <m:den>
              <m:r>
                <m:t>T</m:t>
              </m:r>
            </m:den>
          </m:f>
          <m:nary>
            <m:naryPr>
              <m:chr m:val="∑"/>
            </m:naryPr>
            <m:sub>
              <m:r>
                <m:t>t=1</m:t>
              </m:r>
            </m:sub>
            <m:sup>
              <m:r>
                <m:t>T</m:t>
              </m:r>
            </m:sup>
            <m:e>
              <m:sSub>
                <m:e>
                  <m:r>
                    <m:t>R</m:t>
                  </m:r>
                </m:e>
                <m:sub>
                  <m:r>
                    <m:t>t</m:t>
                  </m:r>
                </m:sub>
              </m:sSub>
            </m:e>
          </m:nary>
        </m:oMath>
      </m:oMathPara>
    </w:p>
    <w:p>
      <w:pPr>
        <w:spacing w:line="480" w:lineRule="auto" w:before="0" w:after="0"/>
        <w:ind w:firstLine="720"/>
        <w:jc w:val="both"/>
      </w:pPr>
      <w:r>
        <w:rPr>
          <w:rFonts w:ascii="Times New Roman" w:hAnsi="Times New Roman"/>
          <w:color w:val="000000"/>
          <w:sz w:val="24"/>
        </w:rPr>
        <w:t>2.  Long-Only Markowitz Mean-Variance Optimization (MVO): Solves the classical quadratic utility maximization problem under institutional risk-aversion coefficient λ = 3.0, representing the classical mean-variance paradigm without tail-risk awareness:</w:t>
      </w:r>
    </w:p>
    <w:p>
      <m:oMathPara>
        <m:oMathParaPr>
          <m:jc m:val="center"/>
        </m:oMathParaPr>
        <m:oMath>
          <m:sSub>
            <m:e>
              <m:r>
                <m:t>max</m:t>
              </m:r>
            </m:e>
            <m:sub>
              <m:r>
                <m:t>w</m:t>
              </m:r>
            </m:sub>
          </m:sSub>
          <m:d>
            <m:e>
              <m:sSup>
                <m:e>
                  <m:r>
                    <m:t>w</m:t>
                  </m:r>
                </m:e>
                <m:sup>
                  <m:r>
                    <m:t>T</m:t>
                  </m:r>
                </m:sup>
              </m:sSup>
              <m:r>
                <m:t>μ̂</m:t>
              </m:r>
              <m:r>
                <m:t> − </m:t>
              </m:r>
              <m:f>
                <m:num>
                  <m:r>
                    <m:t>λ</m:t>
                  </m:r>
                </m:num>
                <m:den>
                  <m:r>
                    <m:t>2</m:t>
                  </m:r>
                </m:den>
              </m:f>
              <m:sSup>
                <m:e>
                  <m:r>
                    <m:t>w</m:t>
                  </m:r>
                </m:e>
                <m:sup>
                  <m:r>
                    <m:t>T</m:t>
                  </m:r>
                </m:sup>
              </m:sSup>
              <m:r>
                <m:t>Σw</m:t>
              </m:r>
            </m:e>
          </m:d>
          <m:r>
            <m:t>  subject to  </m:t>
          </m:r>
          <m:nary>
            <m:naryPr>
              <m:chr m:val="∑"/>
            </m:naryPr>
            <m:sub>
              <m:r>
                <m:t>i=1</m:t>
              </m:r>
            </m:sub>
            <m:sup>
              <m:r>
                <m:t>N</m:t>
              </m:r>
            </m:sup>
            <m:e>
              <m:sSub>
                <m:e>
                  <m:r>
                    <m:t>w</m:t>
                  </m:r>
                </m:e>
                <m:sub>
                  <m:r>
                    <m:t>i</m:t>
                  </m:r>
                </m:sub>
              </m:sSub>
            </m:e>
          </m:nary>
          <m:r>
            <m:t> = 1, </m:t>
          </m:r>
          <m:r>
            <m:t> 0 ≤ </m:t>
          </m:r>
          <m:sSub>
            <m:e>
              <m:r>
                <m:t>w</m:t>
              </m:r>
            </m:e>
            <m:sub>
              <m:r>
                <m:t>i</m:t>
              </m:r>
            </m:sub>
          </m:sSub>
          <m:r>
            <m:t> ≤ 1</m:t>
          </m:r>
        </m:oMath>
      </m:oMathPara>
    </w:p>
    <w:p>
      <w:pPr>
        <w:spacing w:line="480" w:lineRule="auto" w:before="0" w:after="0"/>
        <w:ind w:firstLine="720"/>
        <w:jc w:val="both"/>
      </w:pPr>
      <w:r>
        <w:rPr>
          <w:rFonts w:ascii="Times New Roman" w:hAnsi="Times New Roman"/>
          <w:color w:val="000000"/>
          <w:sz w:val="24"/>
        </w:rPr>
        <w:t>3.  Naive 1/N Equal Weighting: Allocates equal capital (w_i = 1/28 ≈ 3.57%) across all eligible assets without parameter estimation or optimization, serving as the canonical DeMiguel et al. (2009) benchmark.</w:t>
      </w:r>
    </w:p>
    <w:p>
      <w:pPr>
        <w:spacing w:line="480" w:lineRule="auto" w:before="0" w:after="0"/>
        <w:ind w:firstLine="720"/>
        <w:jc w:val="both"/>
      </w:pPr>
      <w:r>
        <w:rPr>
          <w:rFonts w:ascii="Times New Roman" w:hAnsi="Times New Roman"/>
          <w:color w:val="000000"/>
          <w:sz w:val="24"/>
        </w:rPr>
        <w:t>4.  Passive NGX Pension Index Buy-and-Hold: A market proxy constructed from the 28 sample equities, initialized at equal weights (w_i = 1/N) at inception and left to drift passively with asset price returns, with zero rebalancing thereafter. Note that this benchmark proxies broad market performance using the study sample, and is not the official NGX Pension Index series.</w:t>
      </w:r>
    </w:p>
    <w:p w:rsidR="5CA5B7A4" w:rsidRPr="00244161" w:rsidRDefault="77D5E205"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3.4 Description and Measurement of Study Variables</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parameter required for portfolio evaluation.</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pPr>
              <w:spacing w:line="240" w:lineRule="auto" w:before="0" w:after="0"/>
              <w:ind w:firstLine="0"/>
              <w:jc w:val="left"/>
            </w:pPr>
            <w:r>
              <w:rPr>
                <w:rFonts w:ascii="Times New Roman" w:hAnsi="Times New Roman"/>
                <w:color w:val="000000"/>
                <w:sz w:val="24"/>
              </w:rP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w:t>
            </w:r>
            <w:r w:rsidRPr="00244161">
              <w:rPr>
                <w:rFonts w:eastAsia="Times New Roman"/>
                <w:color w:val="000000" w:themeColor="text1"/>
              </w:rPr>
              <w:lastRenderedPageBreak/>
              <w:t xml:space="preserve">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pPr>
        <w:keepNext/>
        <w:spacing w:line="480" w:lineRule="auto" w:before="0" w:after="0"/>
        <w:jc w:val="left"/>
      </w:pPr>
      <w:r>
        <w:rPr>
          <w:rFonts w:ascii="Times New Roman" w:hAnsi="Times New Roman"/>
          <w:b/>
          <w:color w:val="000000"/>
          <w:sz w:val="22"/>
        </w:rPr>
        <w:t>Table 3.1: Description and Measurement of Study Variables</w:t>
      </w:r>
    </w:p>
    <w:p w:rsidR="5A43DC86" w:rsidRPr="00244161" w:rsidRDefault="775E3400" w:rsidP="00B61C71">
      <w:pPr>
        <w:spacing w:after="0" w:line="480" w:lineRule="auto" w:before="0"/>
        <w:ind w:firstLine="720"/>
        <w:jc w:val="both"/>
        <w:rPr>
          <w:rFonts w:eastAsia="Times New Roman"/>
          <w:i/>
          <w:iCs/>
          <w:color w:val="000000" w:themeColor="text1"/>
        </w:rPr>
      </w:pPr>
      <w:r w:rsidRPr="00244161">
        <w:rPr>
          <w:rFonts w:eastAsia="Times New Roman" w:ascii="Times New Roman" w:hAnsi="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ascii="Times New Roman" w:hAnsi="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ascii="Times New Roman" w:hAnsi="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ascii="Times New Roman" w:hAnsi="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ascii="Times New Roman" w:hAnsi="Times New Roman"/>
          <w:i/>
          <w:iCs/>
          <w:color w:val="000000" w:themeColor="text1"/>
        </w:rPr>
        <w:t xml:space="preserve"> is the True Range).</w:t>
      </w:r>
    </w:p>
    <w:p w:rsidR="0A7E58F2" w:rsidRPr="00244161" w:rsidRDefault="42AC30E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3.5 Data Preprocessing and Feature Scaling</w:t>
      </w:r>
    </w:p>
    <w:p w:rsidR="0A7E58F2" w:rsidRPr="00244161" w:rsidRDefault="42AC30ED" w:rsidP="00B61C71">
      <w:pPr>
        <w:spacing w:after="0" w:line="480" w:lineRule="auto" w:before="0"/>
        <w:ind w:firstLine="720"/>
        <w:jc w:val="both"/>
        <w:rPr>
          <w:rFonts w:eastAsia="Times New Roman"/>
          <w:color w:val="000000" w:themeColor="text1"/>
        </w:rPr>
      </w:pPr>
      <w:r>
        <w:rPr>
          <w:rFonts w:ascii="Times New Roman" w:hAnsi="Times New Roman"/>
          <w:sz w:val="24"/>
        </w:rPr>
        <w:t>Prior to feeding the financial time-series data into the machine learning models, rigorous data preprocessing was conducted to ensure data integrity. First, missing values arising from market holidays or trading halts were handled using forward-fill (P_t = P_{t-1} ⇒ R_t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Min-Max scaling formula utilized is expressed as:</w:t>
      </w:r>
    </w:p>
    <w:p w:rsidR="0A7E58F2"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074E4A77" w:rsidRPr="00244161">
        <w:rPr>
          <w:rFonts w:eastAsia="Times New Roman" w:ascii="Times New Roman" w:hAnsi="Times New Roman"/>
          <w:color w:val="000000" w:themeColor="text1"/>
        </w:rPr>
        <w:t>here</w:t>
      </w:r>
      <w:proofErr w:type="gramEnd"/>
      <w:r w:rsidR="074E4A77"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ascii="Times New Roman" w:hAnsi="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ascii="Times New Roman" w:hAnsi="Times New Roman"/>
          <w:color w:val="000000" w:themeColor="text1"/>
        </w:rPr>
        <w:t>, and min(</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and max(</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represent the minimum and maximum values of that specific feature over the defined period, respectively</w:t>
      </w:r>
      <w:r w:rsidR="2431ADCF" w:rsidRPr="00244161">
        <w:rPr>
          <w:rFonts w:eastAsia="Times New Roman" w:ascii="Times New Roman" w:hAnsi="Times New Roman"/>
          <w:color w:val="000000" w:themeColor="text1"/>
        </w:rPr>
        <w:t>.</w:t>
      </w:r>
    </w:p>
    <w:p w:rsidR="00E20654" w:rsidRPr="00244161" w:rsidRDefault="00E20654"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Although decision tree ensembles (Random Forest and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w:t>
      </w:r>
      <w:r w:rsidRPr="00244161">
        <w:rPr>
          <w:rFonts w:eastAsia="Times New Roman" w:ascii="Times New Roman" w:hAnsi="Times New Roman"/>
          <w:color w:val="000000" w:themeColor="text1"/>
        </w:rPr>
        <w:lastRenderedPageBreak/>
        <w:t>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quarterly windows, ensuring that no future distributional information contaminated the feature matrix.</w:t>
      </w:r>
    </w:p>
    <w:p w:rsidR="0A7E58F2" w:rsidRPr="00244161" w:rsidRDefault="2B85EB2D" w:rsidP="00B61C71">
      <w:pPr>
        <w:keepNext/>
        <w:spacing w:after="0" w:line="480" w:lineRule="auto" w:before="0"/>
        <w:jc w:val="both"/>
        <w:rPr>
          <w:rFonts w:eastAsia="Times New Roman"/>
          <w:color w:val="000000" w:themeColor="text1"/>
        </w:rPr>
      </w:pPr>
      <w:r w:rsidRPr="00244161">
        <w:rPr>
          <w:rFonts w:eastAsia="Times New Roman" w:ascii="Times New Roman" w:hAnsi="Times New Roman"/>
          <w:b/>
          <w:bCs/>
          <w:color w:val="000000" w:themeColor="text1"/>
        </w:rPr>
        <w:t>3.6 Software and Implementation Tools</w:t>
      </w:r>
    </w:p>
    <w:p w:rsidR="0A7E58F2" w:rsidRPr="00244161" w:rsidRDefault="2B85EB2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To ensure the complete reproducibility and accuracy of the empirical pipeline - from data preprocessing and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tuning to the machine learning predictions and Mean-</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ascii="Times New Roman" w:hAnsi="Times New Roman"/>
          <w:i/>
          <w:iCs/>
          <w:color w:val="000000" w:themeColor="text1"/>
        </w:rPr>
        <w:t>pandas</w:t>
      </w:r>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i/>
          <w:iCs/>
          <w:color w:val="000000" w:themeColor="text1"/>
        </w:rPr>
        <w:t>NumPy</w:t>
      </w:r>
      <w:proofErr w:type="spellEnd"/>
      <w:r w:rsidRPr="00244161">
        <w:rPr>
          <w:rFonts w:eastAsia="Times New Roman" w:ascii="Times New Roman" w:hAnsi="Times New Roman"/>
          <w:color w:val="000000" w:themeColor="text1"/>
        </w:rPr>
        <w:t xml:space="preserve"> libraries, while model training, cross-validation, and evaluation rely on the </w:t>
      </w:r>
      <w:proofErr w:type="spellStart"/>
      <w:r w:rsidRPr="00244161">
        <w:rPr>
          <w:rFonts w:eastAsia="Times New Roman" w:ascii="Times New Roman" w:hAnsi="Times New Roman"/>
          <w:i/>
          <w:iCs/>
          <w:color w:val="000000" w:themeColor="text1"/>
        </w:rPr>
        <w:t>scikit</w:t>
      </w:r>
      <w:proofErr w:type="spellEnd"/>
      <w:r w:rsidRPr="00244161">
        <w:rPr>
          <w:rFonts w:eastAsia="Times New Roman" w:ascii="Times New Roman" w:hAnsi="Times New Roman"/>
          <w:i/>
          <w:iCs/>
          <w:color w:val="000000" w:themeColor="text1"/>
        </w:rPr>
        <w:t>-learn</w:t>
      </w:r>
      <w:r w:rsidRPr="00244161">
        <w:rPr>
          <w:rFonts w:eastAsia="Times New Roman" w:ascii="Times New Roman" w:hAnsi="Times New Roman"/>
          <w:color w:val="000000" w:themeColor="text1"/>
        </w:rPr>
        <w:t xml:space="preserve"> machine learning library</w:t>
      </w:r>
      <w:r w:rsidR="768B51D0" w:rsidRPr="00244161">
        <w:rPr>
          <w:rFonts w:eastAsia="Times New Roman" w:ascii="Times New Roman" w:hAnsi="Times New Roman"/>
          <w:color w:val="000000" w:themeColor="text1"/>
        </w:rPr>
        <w:t xml:space="preserve"> Furthermore, the gradient boosting framework is implemented utilizing the highly scalable </w:t>
      </w:r>
      <w:proofErr w:type="spellStart"/>
      <w:r w:rsidR="768B51D0" w:rsidRPr="00244161">
        <w:rPr>
          <w:rFonts w:eastAsia="Times New Roman" w:ascii="Times New Roman" w:hAnsi="Times New Roman"/>
          <w:i/>
          <w:iCs/>
          <w:color w:val="000000" w:themeColor="text1"/>
        </w:rPr>
        <w:t>XGBoost</w:t>
      </w:r>
      <w:proofErr w:type="spellEnd"/>
      <w:r w:rsidR="768B51D0" w:rsidRPr="00244161">
        <w:rPr>
          <w:rFonts w:eastAsia="Times New Roman" w:ascii="Times New Roman" w:hAnsi="Times New Roman"/>
          <w:color w:val="000000" w:themeColor="text1"/>
        </w:rPr>
        <w:t xml:space="preserve"> library. This unified computational pipeline guarantees that the complex asset allocation strategy can be </w:t>
      </w:r>
      <w:r w:rsidR="3D0C0481" w:rsidRPr="00244161">
        <w:rPr>
          <w:rFonts w:eastAsia="Times New Roman" w:ascii="Times New Roman" w:hAnsi="Times New Roman"/>
          <w:color w:val="000000" w:themeColor="text1"/>
        </w:rPr>
        <w:t>robust</w:t>
      </w:r>
      <w:r w:rsidR="768B51D0" w:rsidRPr="00244161">
        <w:rPr>
          <w:rFonts w:eastAsia="Times New Roman" w:ascii="Times New Roman" w:hAnsi="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p>
      <w:pPr>
        <w:keepNext/>
        <w:pageBreakBefore/>
        <w:spacing w:line="480" w:lineRule="auto" w:before="0" w:after="0"/>
        <w:jc w:val="center"/>
      </w:pPr>
      <w:r>
        <w:rPr>
          <w:rFonts w:ascii="Times New Roman" w:hAnsi="Times New Roman"/>
          <w:b/>
          <w:color w:val="000000"/>
          <w:sz w:val="28"/>
        </w:rPr>
        <w:t>CHAPTER FOUR</w:t>
      </w:r>
    </w:p>
    <w:p>
      <w:pPr>
        <w:keepNext/>
        <w:spacing w:line="480" w:lineRule="auto" w:before="0" w:after="0"/>
        <w:jc w:val="center"/>
      </w:pPr>
      <w:r>
        <w:rPr>
          <w:rFonts w:ascii="Times New Roman" w:hAnsi="Times New Roman"/>
          <w:b/>
          <w:color w:val="000000"/>
          <w:sz w:val="24"/>
        </w:rPr>
        <w:t>DATA ANALYSIS, PRESENTATION AND DISCUSSION OF FINDINGS</w:t>
      </w:r>
    </w:p>
    <w:p>
      <w:pPr>
        <w:keepNext/>
        <w:spacing w:line="480" w:lineRule="auto" w:before="0" w:after="0"/>
        <w:jc w:val="left"/>
      </w:pPr>
      <w:r>
        <w:rPr>
          <w:rFonts w:ascii="Times New Roman" w:hAnsi="Times New Roman"/>
          <w:b/>
          <w:color w:val="000000"/>
          <w:sz w:val="24"/>
        </w:rPr>
        <w:t>4.1 Empirical Results</w:t>
      </w:r>
    </w:p>
    <w:p>
      <w:pPr>
        <w:spacing w:line="480" w:lineRule="auto" w:before="0" w:after="0"/>
        <w:ind w:firstLine="72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16-year historical period from January 2010 through December 2025 (835 weekly observations per asset). The dataset encompasses asset universe selection breakdowns, statistical non-normality diagnostics, machine learning return forecasting under Expanding-Window Walk-Forward Validation, feature importance analysis, and out-of-sample portfolio optimization backtests.</w:t>
      </w:r>
    </w:p>
    <w:p>
      <w:pPr>
        <w:keepNext/>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ind w:firstLine="720"/>
        <w:jc w:val="both"/>
      </w:pPr>
      <w:r>
        <w:rPr>
          <w:rFonts w:ascii="Times New Roman" w:hAnsi="Times New Roman"/>
          <w:color w:val="000000"/>
          <w:sz w:val="24"/>
        </w:rPr>
        <w:t>To construct a balanced historical panel without imputing missing price histories, the constituent equities of the NGX Pension Index were evaluated for sample inclusion. A total of 38 equities were audited. To guarantee a complete 16-year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keepNext/>
        <w:spacing w:line="276" w:lineRule="auto" w:before="160" w:after="40"/>
        <w:jc w:val="left"/>
      </w:pPr>
      <w:r>
        <w:rPr>
          <w:rFonts w:ascii="Times New Roman" w:hAnsi="Times New Roman"/>
          <w:b/>
          <w:color w:val="000000"/>
          <w:sz w:val="22"/>
        </w:rPr>
        <w:t>Table 4.0: NGX Pension Index Asset Universe Breakdown &amp; Exclusion Rationale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872"/>
        <w:gridCol w:w="1872"/>
        <w:gridCol w:w="1872"/>
        <w:gridCol w:w="1872"/>
        <w:gridCol w:w="1872"/>
      </w:tblGrid>
      <w:tr>
        <w:trPr>
          <w:cantSplit/>
          <w:tblHeader/>
        </w:trPr>
        <w:tc>
          <w:tcPr>
            <w:tcW w:type="dxa" w:w="1872"/>
          </w:tcPr>
          <w:p>
            <w:pPr>
              <w:spacing w:line="240" w:lineRule="auto" w:before="0" w:after="0"/>
              <w:jc w:val="center"/>
            </w:pPr>
            <w:r>
              <w:rPr>
                <w:rFonts w:ascii="Times New Roman" w:hAnsi="Times New Roman"/>
                <w:b/>
                <w:color w:val="000000"/>
                <w:sz w:val="19"/>
              </w:rPr>
              <w:t>Ticker</w:t>
            </w:r>
          </w:p>
        </w:tc>
        <w:tc>
          <w:tcPr>
            <w:tcW w:type="dxa" w:w="1872"/>
          </w:tcPr>
          <w:p>
            <w:pPr>
              <w:spacing w:line="240" w:lineRule="auto" w:before="0" w:after="0"/>
              <w:jc w:val="center"/>
            </w:pPr>
            <w:r>
              <w:rPr>
                <w:rFonts w:ascii="Times New Roman" w:hAnsi="Times New Roman"/>
                <w:b/>
                <w:color w:val="000000"/>
                <w:sz w:val="19"/>
              </w:rPr>
              <w:t>Company Name</w:t>
            </w:r>
          </w:p>
        </w:tc>
        <w:tc>
          <w:tcPr>
            <w:tcW w:type="dxa" w:w="1872"/>
          </w:tcPr>
          <w:p>
            <w:pPr>
              <w:spacing w:line="240" w:lineRule="auto" w:before="0" w:after="0"/>
              <w:jc w:val="center"/>
            </w:pPr>
            <w:r>
              <w:rPr>
                <w:rFonts w:ascii="Times New Roman" w:hAnsi="Times New Roman"/>
                <w:b/>
                <w:color w:val="000000"/>
                <w:sz w:val="19"/>
              </w:rPr>
              <w:t>Sector</w:t>
            </w:r>
          </w:p>
        </w:tc>
        <w:tc>
          <w:tcPr>
            <w:tcW w:type="dxa" w:w="1872"/>
          </w:tcPr>
          <w:p>
            <w:pPr>
              <w:spacing w:line="240" w:lineRule="auto" w:before="0" w:after="0"/>
              <w:jc w:val="center"/>
            </w:pPr>
            <w:r>
              <w:rPr>
                <w:rFonts w:ascii="Times New Roman" w:hAnsi="Times New Roman"/>
                <w:b/>
                <w:color w:val="000000"/>
                <w:sz w:val="19"/>
              </w:rPr>
              <w:t>Status</w:t>
            </w:r>
          </w:p>
        </w:tc>
        <w:tc>
          <w:tcPr>
            <w:tcW w:type="dxa" w:w="1872"/>
          </w:tcPr>
          <w:p>
            <w:pPr>
              <w:spacing w:line="240" w:lineRule="auto" w:before="0" w:after="0"/>
              <w:jc w:val="center"/>
            </w:pPr>
            <w:r>
              <w:rPr>
                <w:rFonts w:ascii="Times New Roman" w:hAnsi="Times New Roman"/>
                <w:b/>
                <w:color w:val="000000"/>
                <w:sz w:val="19"/>
              </w:rPr>
              <w:t>Inclusion / Exclusion Rationale</w:t>
            </w:r>
          </w:p>
        </w:tc>
      </w:tr>
      <w:tr>
        <w:trPr>
          <w:cantSplit/>
        </w:trPr>
        <w:tc>
          <w:tcPr>
            <w:tcW w:type="dxa" w:w="1872"/>
          </w:tcPr>
          <w:p>
            <w:pPr>
              <w:spacing w:line="240" w:lineRule="auto" w:before="0" w:after="0"/>
              <w:jc w:val="center"/>
            </w:pPr>
            <w:r>
              <w:rPr>
                <w:rFonts w:ascii="Times New Roman" w:hAnsi="Times New Roman"/>
                <w:color w:val="000000"/>
                <w:sz w:val="18"/>
              </w:rPr>
              <w:t>CONOIL</w:t>
            </w:r>
          </w:p>
        </w:tc>
        <w:tc>
          <w:tcPr>
            <w:tcW w:type="dxa" w:w="1872"/>
          </w:tcPr>
          <w:p>
            <w:pPr>
              <w:spacing w:line="240" w:lineRule="auto" w:before="0" w:after="0"/>
              <w:jc w:val="center"/>
            </w:pPr>
            <w:r>
              <w:rPr>
                <w:rFonts w:ascii="Times New Roman" w:hAnsi="Times New Roman"/>
                <w:color w:val="000000"/>
                <w:sz w:val="18"/>
              </w:rPr>
              <w:t>Conoil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CUSTODIAN</w:t>
            </w:r>
          </w:p>
        </w:tc>
        <w:tc>
          <w:tcPr>
            <w:tcW w:type="dxa" w:w="1872"/>
          </w:tcPr>
          <w:p>
            <w:pPr>
              <w:spacing w:line="240" w:lineRule="auto" w:before="0" w:after="0"/>
              <w:jc w:val="center"/>
            </w:pPr>
            <w:r>
              <w:rPr>
                <w:rFonts w:ascii="Times New Roman" w:hAnsi="Times New Roman"/>
                <w:color w:val="000000"/>
                <w:sz w:val="18"/>
              </w:rPr>
              <w:t>Custodian Investment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DANGCEM</w:t>
            </w:r>
          </w:p>
        </w:tc>
        <w:tc>
          <w:tcPr>
            <w:tcW w:type="dxa" w:w="1872"/>
          </w:tcPr>
          <w:p>
            <w:pPr>
              <w:spacing w:line="240" w:lineRule="auto" w:before="0" w:after="0"/>
              <w:jc w:val="center"/>
            </w:pPr>
            <w:r>
              <w:rPr>
                <w:rFonts w:ascii="Times New Roman" w:hAnsi="Times New Roman"/>
                <w:color w:val="000000"/>
                <w:sz w:val="18"/>
              </w:rPr>
              <w:t>Dangote Cement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DANGSUGAR</w:t>
            </w:r>
          </w:p>
        </w:tc>
        <w:tc>
          <w:tcPr>
            <w:tcW w:type="dxa" w:w="1872"/>
          </w:tcPr>
          <w:p>
            <w:pPr>
              <w:spacing w:line="240" w:lineRule="auto" w:before="0" w:after="0"/>
              <w:jc w:val="center"/>
            </w:pPr>
            <w:r>
              <w:rPr>
                <w:rFonts w:ascii="Times New Roman" w:hAnsi="Times New Roman"/>
                <w:color w:val="000000"/>
                <w:sz w:val="18"/>
              </w:rPr>
              <w:t>Dangote Sugar Refinery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ETI</w:t>
            </w:r>
          </w:p>
        </w:tc>
        <w:tc>
          <w:tcPr>
            <w:tcW w:type="dxa" w:w="1872"/>
          </w:tcPr>
          <w:p>
            <w:pPr>
              <w:spacing w:line="240" w:lineRule="auto" w:before="0" w:after="0"/>
              <w:jc w:val="center"/>
            </w:pPr>
            <w:r>
              <w:rPr>
                <w:rFonts w:ascii="Times New Roman" w:hAnsi="Times New Roman"/>
                <w:color w:val="000000"/>
                <w:sz w:val="18"/>
              </w:rPr>
              <w:t>Ecobank Transnational Inc.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FCMB</w:t>
            </w:r>
          </w:p>
        </w:tc>
        <w:tc>
          <w:tcPr>
            <w:tcW w:type="dxa" w:w="1872"/>
          </w:tcPr>
          <w:p>
            <w:pPr>
              <w:spacing w:line="240" w:lineRule="auto" w:before="0" w:after="0"/>
              <w:jc w:val="center"/>
            </w:pPr>
            <w:r>
              <w:rPr>
                <w:rFonts w:ascii="Times New Roman" w:hAnsi="Times New Roman"/>
                <w:color w:val="000000"/>
                <w:sz w:val="18"/>
              </w:rPr>
              <w:t>FCMB Group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FIDELITYBK</w:t>
            </w:r>
          </w:p>
        </w:tc>
        <w:tc>
          <w:tcPr>
            <w:tcW w:type="dxa" w:w="1872"/>
          </w:tcPr>
          <w:p>
            <w:pPr>
              <w:spacing w:line="240" w:lineRule="auto" w:before="0" w:after="0"/>
              <w:jc w:val="center"/>
            </w:pPr>
            <w:r>
              <w:rPr>
                <w:rFonts w:ascii="Times New Roman" w:hAnsi="Times New Roman"/>
                <w:color w:val="000000"/>
                <w:sz w:val="18"/>
              </w:rPr>
              <w:t>Fidelity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FIDSON</w:t>
            </w:r>
          </w:p>
        </w:tc>
        <w:tc>
          <w:tcPr>
            <w:tcW w:type="dxa" w:w="1872"/>
          </w:tcPr>
          <w:p>
            <w:pPr>
              <w:spacing w:line="240" w:lineRule="auto" w:before="0" w:after="0"/>
              <w:jc w:val="center"/>
            </w:pPr>
            <w:r>
              <w:rPr>
                <w:rFonts w:ascii="Times New Roman" w:hAnsi="Times New Roman"/>
                <w:color w:val="000000"/>
                <w:sz w:val="18"/>
              </w:rPr>
              <w:t>Fidson Healthcare Plc</w:t>
            </w:r>
          </w:p>
        </w:tc>
        <w:tc>
          <w:tcPr>
            <w:tcW w:type="dxa" w:w="1872"/>
          </w:tcPr>
          <w:p>
            <w:pPr>
              <w:spacing w:line="240" w:lineRule="auto" w:before="0" w:after="0"/>
              <w:jc w:val="center"/>
            </w:pPr>
            <w:r>
              <w:rPr>
                <w:rFonts w:ascii="Times New Roman" w:hAnsi="Times New Roman"/>
                <w:color w:val="000000"/>
                <w:sz w:val="18"/>
              </w:rPr>
              <w:t>Healthcare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FBNH</w:t>
            </w:r>
          </w:p>
        </w:tc>
        <w:tc>
          <w:tcPr>
            <w:tcW w:type="dxa" w:w="1872"/>
          </w:tcPr>
          <w:p>
            <w:pPr>
              <w:spacing w:line="240" w:lineRule="auto" w:before="0" w:after="0"/>
              <w:jc w:val="center"/>
            </w:pPr>
            <w:r>
              <w:rPr>
                <w:rFonts w:ascii="Times New Roman" w:hAnsi="Times New Roman"/>
                <w:color w:val="000000"/>
                <w:sz w:val="18"/>
              </w:rPr>
              <w:t>First HoldCo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GTCO</w:t>
            </w:r>
          </w:p>
        </w:tc>
        <w:tc>
          <w:tcPr>
            <w:tcW w:type="dxa" w:w="1872"/>
          </w:tcPr>
          <w:p>
            <w:pPr>
              <w:spacing w:line="240" w:lineRule="auto" w:before="0" w:after="0"/>
              <w:jc w:val="center"/>
            </w:pPr>
            <w:r>
              <w:rPr>
                <w:rFonts w:ascii="Times New Roman" w:hAnsi="Times New Roman"/>
                <w:color w:val="000000"/>
                <w:sz w:val="18"/>
              </w:rPr>
              <w:t>Guaranty Trust Holding Co</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GUINNESS</w:t>
            </w:r>
          </w:p>
        </w:tc>
        <w:tc>
          <w:tcPr>
            <w:tcW w:type="dxa" w:w="1872"/>
          </w:tcPr>
          <w:p>
            <w:pPr>
              <w:spacing w:line="240" w:lineRule="auto" w:before="0" w:after="0"/>
              <w:jc w:val="center"/>
            </w:pPr>
            <w:r>
              <w:rPr>
                <w:rFonts w:ascii="Times New Roman" w:hAnsi="Times New Roman"/>
                <w:color w:val="000000"/>
                <w:sz w:val="18"/>
              </w:rPr>
              <w:t>Guinness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JBERGER</w:t>
            </w:r>
          </w:p>
        </w:tc>
        <w:tc>
          <w:tcPr>
            <w:tcW w:type="dxa" w:w="1872"/>
          </w:tcPr>
          <w:p>
            <w:pPr>
              <w:spacing w:line="240" w:lineRule="auto" w:before="0" w:after="0"/>
              <w:jc w:val="center"/>
            </w:pPr>
            <w:r>
              <w:rPr>
                <w:rFonts w:ascii="Times New Roman" w:hAnsi="Times New Roman"/>
                <w:color w:val="000000"/>
                <w:sz w:val="18"/>
              </w:rPr>
              <w:t>Julius Berger Nigeria Plc</w:t>
            </w:r>
          </w:p>
        </w:tc>
        <w:tc>
          <w:tcPr>
            <w:tcW w:type="dxa" w:w="1872"/>
          </w:tcPr>
          <w:p>
            <w:pPr>
              <w:spacing w:line="240" w:lineRule="auto" w:before="0" w:after="0"/>
              <w:jc w:val="center"/>
            </w:pPr>
            <w:r>
              <w:rPr>
                <w:rFonts w:ascii="Times New Roman" w:hAnsi="Times New Roman"/>
                <w:color w:val="000000"/>
                <w:sz w:val="18"/>
              </w:rPr>
              <w:t>Construction</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WAPCO</w:t>
            </w:r>
          </w:p>
        </w:tc>
        <w:tc>
          <w:tcPr>
            <w:tcW w:type="dxa" w:w="1872"/>
          </w:tcPr>
          <w:p>
            <w:pPr>
              <w:spacing w:line="240" w:lineRule="auto" w:before="0" w:after="0"/>
              <w:jc w:val="center"/>
            </w:pPr>
            <w:r>
              <w:rPr>
                <w:rFonts w:ascii="Times New Roman" w:hAnsi="Times New Roman"/>
                <w:color w:val="000000"/>
                <w:sz w:val="18"/>
              </w:rPr>
              <w:t>Lafarge Africa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MANSARD</w:t>
            </w:r>
          </w:p>
        </w:tc>
        <w:tc>
          <w:tcPr>
            <w:tcW w:type="dxa" w:w="1872"/>
          </w:tcPr>
          <w:p>
            <w:pPr>
              <w:spacing w:line="240" w:lineRule="auto" w:before="0" w:after="0"/>
              <w:jc w:val="center"/>
            </w:pPr>
            <w:r>
              <w:rPr>
                <w:rFonts w:ascii="Times New Roman" w:hAnsi="Times New Roman"/>
                <w:color w:val="000000"/>
                <w:sz w:val="18"/>
              </w:rPr>
              <w:t>AXA Mansard Insurance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NAHCO</w:t>
            </w:r>
          </w:p>
        </w:tc>
        <w:tc>
          <w:tcPr>
            <w:tcW w:type="dxa" w:w="1872"/>
          </w:tcPr>
          <w:p>
            <w:pPr>
              <w:spacing w:line="240" w:lineRule="auto" w:before="0" w:after="0"/>
              <w:jc w:val="center"/>
            </w:pPr>
            <w:r>
              <w:rPr>
                <w:rFonts w:ascii="Times New Roman" w:hAnsi="Times New Roman"/>
                <w:color w:val="000000"/>
                <w:sz w:val="18"/>
              </w:rPr>
              <w:t>Nigerian Aviation Handling</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NASCON</w:t>
            </w:r>
          </w:p>
        </w:tc>
        <w:tc>
          <w:tcPr>
            <w:tcW w:type="dxa" w:w="1872"/>
          </w:tcPr>
          <w:p>
            <w:pPr>
              <w:spacing w:line="240" w:lineRule="auto" w:before="0" w:after="0"/>
              <w:jc w:val="center"/>
            </w:pPr>
            <w:r>
              <w:rPr>
                <w:rFonts w:ascii="Times New Roman" w:hAnsi="Times New Roman"/>
                <w:color w:val="000000"/>
                <w:sz w:val="18"/>
              </w:rPr>
              <w:t>Nascon Allied Industries</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NESTLE</w:t>
            </w:r>
          </w:p>
        </w:tc>
        <w:tc>
          <w:tcPr>
            <w:tcW w:type="dxa" w:w="1872"/>
          </w:tcPr>
          <w:p>
            <w:pPr>
              <w:spacing w:line="240" w:lineRule="auto" w:before="0" w:after="0"/>
              <w:jc w:val="center"/>
            </w:pPr>
            <w:r>
              <w:rPr>
                <w:rFonts w:ascii="Times New Roman" w:hAnsi="Times New Roman"/>
                <w:color w:val="000000"/>
                <w:sz w:val="18"/>
              </w:rPr>
              <w:t>Nestle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NB</w:t>
            </w:r>
          </w:p>
        </w:tc>
        <w:tc>
          <w:tcPr>
            <w:tcW w:type="dxa" w:w="1872"/>
          </w:tcPr>
          <w:p>
            <w:pPr>
              <w:spacing w:line="240" w:lineRule="auto" w:before="0" w:after="0"/>
              <w:jc w:val="center"/>
            </w:pPr>
            <w:r>
              <w:rPr>
                <w:rFonts w:ascii="Times New Roman" w:hAnsi="Times New Roman"/>
                <w:color w:val="000000"/>
                <w:sz w:val="18"/>
              </w:rPr>
              <w:t>Nigerian Breweries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OKOMUOIL</w:t>
            </w:r>
          </w:p>
        </w:tc>
        <w:tc>
          <w:tcPr>
            <w:tcW w:type="dxa" w:w="1872"/>
          </w:tcPr>
          <w:p>
            <w:pPr>
              <w:spacing w:line="240" w:lineRule="auto" w:before="0" w:after="0"/>
              <w:jc w:val="center"/>
            </w:pPr>
            <w:r>
              <w:rPr>
                <w:rFonts w:ascii="Times New Roman" w:hAnsi="Times New Roman"/>
                <w:color w:val="000000"/>
                <w:sz w:val="18"/>
              </w:rPr>
              <w:t>Okomu Oil Palm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PRESCO</w:t>
            </w:r>
          </w:p>
        </w:tc>
        <w:tc>
          <w:tcPr>
            <w:tcW w:type="dxa" w:w="1872"/>
          </w:tcPr>
          <w:p>
            <w:pPr>
              <w:spacing w:line="240" w:lineRule="auto" w:before="0" w:after="0"/>
              <w:jc w:val="center"/>
            </w:pPr>
            <w:r>
              <w:rPr>
                <w:rFonts w:ascii="Times New Roman" w:hAnsi="Times New Roman"/>
                <w:color w:val="000000"/>
                <w:sz w:val="18"/>
              </w:rPr>
              <w:t>Presco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STANBIC</w:t>
            </w:r>
          </w:p>
        </w:tc>
        <w:tc>
          <w:tcPr>
            <w:tcW w:type="dxa" w:w="1872"/>
          </w:tcPr>
          <w:p>
            <w:pPr>
              <w:spacing w:line="240" w:lineRule="auto" w:before="0" w:after="0"/>
              <w:jc w:val="center"/>
            </w:pPr>
            <w:r>
              <w:rPr>
                <w:rFonts w:ascii="Times New Roman" w:hAnsi="Times New Roman"/>
                <w:color w:val="000000"/>
                <w:sz w:val="18"/>
              </w:rPr>
              <w:t>Stanbic IBTC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STERLINGNG</w:t>
            </w:r>
          </w:p>
        </w:tc>
        <w:tc>
          <w:tcPr>
            <w:tcW w:type="dxa" w:w="1872"/>
          </w:tcPr>
          <w:p>
            <w:pPr>
              <w:spacing w:line="240" w:lineRule="auto" w:before="0" w:after="0"/>
              <w:jc w:val="center"/>
            </w:pPr>
            <w:r>
              <w:rPr>
                <w:rFonts w:ascii="Times New Roman" w:hAnsi="Times New Roman"/>
                <w:color w:val="000000"/>
                <w:sz w:val="18"/>
              </w:rPr>
              <w:t>Sterling Financial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TRANSCORP</w:t>
            </w:r>
          </w:p>
        </w:tc>
        <w:tc>
          <w:tcPr>
            <w:tcW w:type="dxa" w:w="1872"/>
          </w:tcPr>
          <w:p>
            <w:pPr>
              <w:spacing w:line="240" w:lineRule="auto" w:before="0" w:after="0"/>
              <w:jc w:val="center"/>
            </w:pPr>
            <w:r>
              <w:rPr>
                <w:rFonts w:ascii="Times New Roman" w:hAnsi="Times New Roman"/>
                <w:color w:val="000000"/>
                <w:sz w:val="18"/>
              </w:rPr>
              <w:t>Transnational Corp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UACN</w:t>
            </w:r>
          </w:p>
        </w:tc>
        <w:tc>
          <w:tcPr>
            <w:tcW w:type="dxa" w:w="1872"/>
          </w:tcPr>
          <w:p>
            <w:pPr>
              <w:spacing w:line="240" w:lineRule="auto" w:before="0" w:after="0"/>
              <w:jc w:val="center"/>
            </w:pPr>
            <w:r>
              <w:rPr>
                <w:rFonts w:ascii="Times New Roman" w:hAnsi="Times New Roman"/>
                <w:color w:val="000000"/>
                <w:sz w:val="18"/>
              </w:rPr>
              <w:t>UAC of Nigeria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UBA</w:t>
            </w:r>
          </w:p>
        </w:tc>
        <w:tc>
          <w:tcPr>
            <w:tcW w:type="dxa" w:w="1872"/>
          </w:tcPr>
          <w:p>
            <w:pPr>
              <w:spacing w:line="240" w:lineRule="auto" w:before="0" w:after="0"/>
              <w:jc w:val="center"/>
            </w:pPr>
            <w:r>
              <w:rPr>
                <w:rFonts w:ascii="Times New Roman" w:hAnsi="Times New Roman"/>
                <w:color w:val="000000"/>
                <w:sz w:val="18"/>
              </w:rPr>
              <w:t>United Bank for Africa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UNILEVER</w:t>
            </w:r>
          </w:p>
        </w:tc>
        <w:tc>
          <w:tcPr>
            <w:tcW w:type="dxa" w:w="1872"/>
          </w:tcPr>
          <w:p>
            <w:pPr>
              <w:spacing w:line="240" w:lineRule="auto" w:before="0" w:after="0"/>
              <w:jc w:val="center"/>
            </w:pPr>
            <w:r>
              <w:rPr>
                <w:rFonts w:ascii="Times New Roman" w:hAnsi="Times New Roman"/>
                <w:color w:val="000000"/>
                <w:sz w:val="18"/>
              </w:rPr>
              <w:t>Unilever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WEMABANK</w:t>
            </w:r>
          </w:p>
        </w:tc>
        <w:tc>
          <w:tcPr>
            <w:tcW w:type="dxa" w:w="1872"/>
          </w:tcPr>
          <w:p>
            <w:pPr>
              <w:spacing w:line="240" w:lineRule="auto" w:before="0" w:after="0"/>
              <w:jc w:val="center"/>
            </w:pPr>
            <w:r>
              <w:rPr>
                <w:rFonts w:ascii="Times New Roman" w:hAnsi="Times New Roman"/>
                <w:color w:val="000000"/>
                <w:sz w:val="18"/>
              </w:rPr>
              <w:t>Wema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ZENITHBANK</w:t>
            </w:r>
          </w:p>
        </w:tc>
        <w:tc>
          <w:tcPr>
            <w:tcW w:type="dxa" w:w="1872"/>
          </w:tcPr>
          <w:p>
            <w:pPr>
              <w:spacing w:line="240" w:lineRule="auto" w:before="0" w:after="0"/>
              <w:jc w:val="center"/>
            </w:pPr>
            <w:r>
              <w:rPr>
                <w:rFonts w:ascii="Times New Roman" w:hAnsi="Times New Roman"/>
                <w:color w:val="000000"/>
                <w:sz w:val="18"/>
              </w:rPr>
              <w:t>Zenith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ACCESSCORP</w:t>
            </w:r>
          </w:p>
        </w:tc>
        <w:tc>
          <w:tcPr>
            <w:tcW w:type="dxa" w:w="1872"/>
          </w:tcPr>
          <w:p>
            <w:pPr>
              <w:spacing w:line="240" w:lineRule="auto" w:before="0" w:after="0"/>
              <w:jc w:val="center"/>
            </w:pPr>
            <w:r>
              <w:rPr>
                <w:rFonts w:ascii="Times New Roman" w:hAnsi="Times New Roman"/>
                <w:color w:val="000000"/>
                <w:sz w:val="18"/>
              </w:rPr>
              <w:t>Access Holdings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Post-2010 restructuring</w:t>
            </w:r>
          </w:p>
        </w:tc>
      </w:tr>
      <w:tr>
        <w:trPr>
          <w:cantSplit/>
        </w:trPr>
        <w:tc>
          <w:tcPr>
            <w:tcW w:type="dxa" w:w="1872"/>
          </w:tcPr>
          <w:p>
            <w:pPr>
              <w:spacing w:line="240" w:lineRule="auto" w:before="0" w:after="0"/>
              <w:jc w:val="center"/>
            </w:pPr>
            <w:r>
              <w:rPr>
                <w:rFonts w:ascii="Times New Roman" w:hAnsi="Times New Roman"/>
                <w:color w:val="000000"/>
                <w:sz w:val="18"/>
              </w:rPr>
              <w:t>AIRTELAFRI</w:t>
            </w:r>
          </w:p>
        </w:tc>
        <w:tc>
          <w:tcPr>
            <w:tcW w:type="dxa" w:w="1872"/>
          </w:tcPr>
          <w:p>
            <w:pPr>
              <w:spacing w:line="240" w:lineRule="auto" w:before="0" w:after="0"/>
              <w:jc w:val="center"/>
            </w:pPr>
            <w:r>
              <w:rPr>
                <w:rFonts w:ascii="Times New Roman" w:hAnsi="Times New Roman"/>
                <w:color w:val="000000"/>
                <w:sz w:val="18"/>
              </w:rPr>
              <w:t>Airtel Africa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June 2019 (&lt; 16-yr history)</w:t>
            </w:r>
          </w:p>
        </w:tc>
      </w:tr>
      <w:tr>
        <w:trPr>
          <w:cantSplit/>
        </w:trPr>
        <w:tc>
          <w:tcPr>
            <w:tcW w:type="dxa" w:w="1872"/>
          </w:tcPr>
          <w:p>
            <w:pPr>
              <w:spacing w:line="240" w:lineRule="auto" w:before="0" w:after="0"/>
              <w:jc w:val="center"/>
            </w:pPr>
            <w:r>
              <w:rPr>
                <w:rFonts w:ascii="Times New Roman" w:hAnsi="Times New Roman"/>
                <w:color w:val="000000"/>
                <w:sz w:val="18"/>
              </w:rPr>
              <w:t>ARADEL</w:t>
            </w:r>
          </w:p>
        </w:tc>
        <w:tc>
          <w:tcPr>
            <w:tcW w:type="dxa" w:w="1872"/>
          </w:tcPr>
          <w:p>
            <w:pPr>
              <w:spacing w:line="240" w:lineRule="auto" w:before="0" w:after="0"/>
              <w:jc w:val="center"/>
            </w:pPr>
            <w:r>
              <w:rPr>
                <w:rFonts w:ascii="Times New Roman" w:hAnsi="Times New Roman"/>
                <w:color w:val="000000"/>
                <w:sz w:val="18"/>
              </w:rPr>
              <w:t>Aradel Holdings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2024 (&lt; 16-yr history)</w:t>
            </w:r>
          </w:p>
        </w:tc>
      </w:tr>
      <w:tr>
        <w:trPr>
          <w:cantSplit/>
        </w:trPr>
        <w:tc>
          <w:tcPr>
            <w:tcW w:type="dxa" w:w="1872"/>
          </w:tcPr>
          <w:p>
            <w:pPr>
              <w:spacing w:line="240" w:lineRule="auto" w:before="0" w:after="0"/>
              <w:jc w:val="center"/>
            </w:pPr>
            <w:r>
              <w:rPr>
                <w:rFonts w:ascii="Times New Roman" w:hAnsi="Times New Roman"/>
                <w:color w:val="000000"/>
                <w:sz w:val="18"/>
              </w:rPr>
              <w:t>BUAFOODS</w:t>
            </w:r>
          </w:p>
        </w:tc>
        <w:tc>
          <w:tcPr>
            <w:tcW w:type="dxa" w:w="1872"/>
          </w:tcPr>
          <w:p>
            <w:pPr>
              <w:spacing w:line="240" w:lineRule="auto" w:before="0" w:after="0"/>
              <w:jc w:val="center"/>
            </w:pPr>
            <w:r>
              <w:rPr>
                <w:rFonts w:ascii="Times New Roman" w:hAnsi="Times New Roman"/>
                <w:color w:val="000000"/>
                <w:sz w:val="18"/>
              </w:rPr>
              <w:t>BUA Foods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2022 (&lt; 16-yr history)</w:t>
            </w:r>
          </w:p>
        </w:tc>
      </w:tr>
      <w:tr>
        <w:trPr>
          <w:cantSplit/>
        </w:trPr>
        <w:tc>
          <w:tcPr>
            <w:tcW w:type="dxa" w:w="1872"/>
          </w:tcPr>
          <w:p>
            <w:pPr>
              <w:spacing w:line="240" w:lineRule="auto" w:before="0" w:after="0"/>
              <w:jc w:val="center"/>
            </w:pPr>
            <w:r>
              <w:rPr>
                <w:rFonts w:ascii="Times New Roman" w:hAnsi="Times New Roman"/>
                <w:color w:val="000000"/>
                <w:sz w:val="18"/>
              </w:rPr>
              <w:t>GEREGU</w:t>
            </w:r>
          </w:p>
        </w:tc>
        <w:tc>
          <w:tcPr>
            <w:tcW w:type="dxa" w:w="1872"/>
          </w:tcPr>
          <w:p>
            <w:pPr>
              <w:spacing w:line="240" w:lineRule="auto" w:before="0" w:after="0"/>
              <w:jc w:val="center"/>
            </w:pPr>
            <w:r>
              <w:rPr>
                <w:rFonts w:ascii="Times New Roman" w:hAnsi="Times New Roman"/>
                <w:color w:val="000000"/>
                <w:sz w:val="18"/>
              </w:rPr>
              <w:t>Geregu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2022 (&lt; 16-yr history)</w:t>
            </w:r>
          </w:p>
        </w:tc>
      </w:tr>
      <w:tr>
        <w:trPr>
          <w:cantSplit/>
        </w:trPr>
        <w:tc>
          <w:tcPr>
            <w:tcW w:type="dxa" w:w="1872"/>
          </w:tcPr>
          <w:p>
            <w:pPr>
              <w:spacing w:line="240" w:lineRule="auto" w:before="0" w:after="0"/>
              <w:jc w:val="center"/>
            </w:pPr>
            <w:r>
              <w:rPr>
                <w:rFonts w:ascii="Times New Roman" w:hAnsi="Times New Roman"/>
                <w:color w:val="000000"/>
                <w:sz w:val="18"/>
              </w:rPr>
              <w:t>MTNN</w:t>
            </w:r>
          </w:p>
        </w:tc>
        <w:tc>
          <w:tcPr>
            <w:tcW w:type="dxa" w:w="1872"/>
          </w:tcPr>
          <w:p>
            <w:pPr>
              <w:spacing w:line="240" w:lineRule="auto" w:before="0" w:after="0"/>
              <w:jc w:val="center"/>
            </w:pPr>
            <w:r>
              <w:rPr>
                <w:rFonts w:ascii="Times New Roman" w:hAnsi="Times New Roman"/>
                <w:color w:val="000000"/>
                <w:sz w:val="18"/>
              </w:rPr>
              <w:t>MTN Nigeria Comms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May 2019 (&lt; 16-yr history)</w:t>
            </w:r>
          </w:p>
        </w:tc>
      </w:tr>
      <w:tr>
        <w:trPr>
          <w:cantSplit/>
        </w:trPr>
        <w:tc>
          <w:tcPr>
            <w:tcW w:type="dxa" w:w="1872"/>
          </w:tcPr>
          <w:p>
            <w:pPr>
              <w:spacing w:line="240" w:lineRule="auto" w:before="0" w:after="0"/>
              <w:jc w:val="center"/>
            </w:pPr>
            <w:r>
              <w:rPr>
                <w:rFonts w:ascii="Times New Roman" w:hAnsi="Times New Roman"/>
                <w:color w:val="000000"/>
                <w:sz w:val="18"/>
              </w:rPr>
              <w:t>SEPLAT</w:t>
            </w:r>
          </w:p>
        </w:tc>
        <w:tc>
          <w:tcPr>
            <w:tcW w:type="dxa" w:w="1872"/>
          </w:tcPr>
          <w:p>
            <w:pPr>
              <w:spacing w:line="240" w:lineRule="auto" w:before="0" w:after="0"/>
              <w:jc w:val="center"/>
            </w:pPr>
            <w:r>
              <w:rPr>
                <w:rFonts w:ascii="Times New Roman" w:hAnsi="Times New Roman"/>
                <w:color w:val="000000"/>
                <w:sz w:val="18"/>
              </w:rPr>
              <w:t>Seplat Energy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April 2014 (&lt; 16-yr history)</w:t>
            </w:r>
          </w:p>
        </w:tc>
      </w:tr>
      <w:tr>
        <w:trPr>
          <w:cantSplit/>
        </w:trPr>
        <w:tc>
          <w:tcPr>
            <w:tcW w:type="dxa" w:w="1872"/>
          </w:tcPr>
          <w:p>
            <w:pPr>
              <w:spacing w:line="240" w:lineRule="auto" w:before="0" w:after="0"/>
              <w:jc w:val="center"/>
            </w:pPr>
            <w:r>
              <w:rPr>
                <w:rFonts w:ascii="Times New Roman" w:hAnsi="Times New Roman"/>
                <w:color w:val="000000"/>
                <w:sz w:val="18"/>
              </w:rPr>
              <w:t>TRANSCOHOT</w:t>
            </w:r>
          </w:p>
        </w:tc>
        <w:tc>
          <w:tcPr>
            <w:tcW w:type="dxa" w:w="1872"/>
          </w:tcPr>
          <w:p>
            <w:pPr>
              <w:spacing w:line="240" w:lineRule="auto" w:before="0" w:after="0"/>
              <w:jc w:val="center"/>
            </w:pPr>
            <w:r>
              <w:rPr>
                <w:rFonts w:ascii="Times New Roman" w:hAnsi="Times New Roman"/>
                <w:color w:val="000000"/>
                <w:sz w:val="18"/>
              </w:rPr>
              <w:t>Transcorp Hotels Plc</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2015 (&lt; 16-yr history)</w:t>
            </w:r>
          </w:p>
        </w:tc>
      </w:tr>
      <w:tr>
        <w:trPr>
          <w:cantSplit/>
        </w:trPr>
        <w:tc>
          <w:tcPr>
            <w:tcW w:type="dxa" w:w="1872"/>
          </w:tcPr>
          <w:p>
            <w:pPr>
              <w:spacing w:line="240" w:lineRule="auto" w:before="0" w:after="0"/>
              <w:jc w:val="center"/>
            </w:pPr>
            <w:r>
              <w:rPr>
                <w:rFonts w:ascii="Times New Roman" w:hAnsi="Times New Roman"/>
                <w:color w:val="000000"/>
                <w:sz w:val="18"/>
              </w:rPr>
              <w:t>TRANSPOWER</w:t>
            </w:r>
          </w:p>
        </w:tc>
        <w:tc>
          <w:tcPr>
            <w:tcW w:type="dxa" w:w="1872"/>
          </w:tcPr>
          <w:p>
            <w:pPr>
              <w:spacing w:line="240" w:lineRule="auto" w:before="0" w:after="0"/>
              <w:jc w:val="center"/>
            </w:pPr>
            <w:r>
              <w:rPr>
                <w:rFonts w:ascii="Times New Roman" w:hAnsi="Times New Roman"/>
                <w:color w:val="000000"/>
                <w:sz w:val="18"/>
              </w:rPr>
              <w:t>Transcorp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March 2024 (&lt; 16-yr history)</w:t>
            </w:r>
          </w:p>
        </w:tc>
      </w:tr>
      <w:tr>
        <w:trPr>
          <w:cantSplit/>
        </w:trPr>
        <w:tc>
          <w:tcPr>
            <w:tcW w:type="dxa" w:w="1872"/>
          </w:tcPr>
          <w:p>
            <w:pPr>
              <w:spacing w:line="240" w:lineRule="auto" w:before="0" w:after="0"/>
              <w:jc w:val="center"/>
            </w:pPr>
            <w:r>
              <w:rPr>
                <w:rFonts w:ascii="Times New Roman" w:hAnsi="Times New Roman"/>
                <w:color w:val="000000"/>
                <w:sz w:val="18"/>
              </w:rPr>
              <w:t>UCAP</w:t>
            </w:r>
          </w:p>
        </w:tc>
        <w:tc>
          <w:tcPr>
            <w:tcW w:type="dxa" w:w="1872"/>
          </w:tcPr>
          <w:p>
            <w:pPr>
              <w:spacing w:line="240" w:lineRule="auto" w:before="0" w:after="0"/>
              <w:jc w:val="center"/>
            </w:pPr>
            <w:r>
              <w:rPr>
                <w:rFonts w:ascii="Times New Roman" w:hAnsi="Times New Roman"/>
                <w:color w:val="000000"/>
                <w:sz w:val="18"/>
              </w:rPr>
              <w:t>United Capital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2013 (&lt; 16-yr history)</w:t>
            </w:r>
          </w:p>
        </w:tc>
      </w:tr>
    </w:tbl>
    <w:p>
      <w:pPr>
        <w:keepNext/>
        <w:spacing w:line="276" w:lineRule="auto" w:before="40" w:after="160"/>
        <w:jc w:val="left"/>
      </w:pPr>
      <w:r>
        <w:rPr>
          <w:rFonts w:ascii="Times New Roman" w:hAnsi="Times New Roman"/>
          <w:i/>
          <w:color w:val="000000"/>
          <w:sz w:val="20"/>
        </w:rPr>
        <w:t>Source: Author's classification based on NGX listing records (2026).</w:t>
      </w:r>
    </w:p>
    <w:p>
      <w:pPr>
        <w:keepNext/>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ind w:firstLine="72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 Extreme weekly log return realizations (specifically MANSARD at -127.16%, TRANSCORP at +139.61%, and WEMABANK at +106.29%) arise from historical exchange corporate actions such as share capital reconstructions and low-priced equity re-pricings. Prices were not adjusted for corporate actions; these observations reflect mechanical price changes rather than economic returns and inflate the reported kurtosis for these three assets.</w:t>
      </w:r>
    </w:p>
    <w:p>
      <w:pPr>
        <w:keepNext/>
        <w:spacing w:line="276" w:lineRule="auto" w:before="160" w:after="40"/>
        <w:jc w:val="left"/>
      </w:pPr>
      <w:r>
        <w:rPr>
          <w:rFonts w:ascii="Times New Roman" w:hAnsi="Times New Roman"/>
          <w:b/>
          <w:color w:val="000000"/>
          <w:sz w:val="22"/>
        </w:rPr>
        <w:t>Table 4.1: Descriptive Statistics of 28 NGX Equity Log Returns (2010-2025)</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Mean (%)</w:t>
            </w:r>
          </w:p>
        </w:tc>
        <w:tc>
          <w:tcPr>
            <w:tcW w:type="dxa" w:w="1337"/>
          </w:tcPr>
          <w:p>
            <w:pPr>
              <w:spacing w:line="240" w:lineRule="auto" w:before="0" w:after="0"/>
              <w:jc w:val="center"/>
            </w:pPr>
            <w:r>
              <w:rPr>
                <w:rFonts w:ascii="Times New Roman" w:hAnsi="Times New Roman"/>
                <w:b/>
                <w:color w:val="000000"/>
                <w:sz w:val="19"/>
              </w:rPr>
              <w:t>Std Dev (%)</w:t>
            </w:r>
          </w:p>
        </w:tc>
        <w:tc>
          <w:tcPr>
            <w:tcW w:type="dxa" w:w="1337"/>
          </w:tcPr>
          <w:p>
            <w:pPr>
              <w:spacing w:line="240" w:lineRule="auto" w:before="0" w:after="0"/>
              <w:jc w:val="center"/>
            </w:pPr>
            <w:r>
              <w:rPr>
                <w:rFonts w:ascii="Times New Roman" w:hAnsi="Times New Roman"/>
                <w:b/>
                <w:color w:val="000000"/>
                <w:sz w:val="19"/>
              </w:rPr>
              <w:t>Min (%)</w:t>
            </w:r>
          </w:p>
        </w:tc>
        <w:tc>
          <w:tcPr>
            <w:tcW w:type="dxa" w:w="1337"/>
          </w:tcPr>
          <w:p>
            <w:pPr>
              <w:spacing w:line="240" w:lineRule="auto" w:before="0" w:after="0"/>
              <w:jc w:val="center"/>
            </w:pPr>
            <w:r>
              <w:rPr>
                <w:rFonts w:ascii="Times New Roman" w:hAnsi="Times New Roman"/>
                <w:b/>
                <w:color w:val="000000"/>
                <w:sz w:val="19"/>
              </w:rPr>
              <w:t>Max (%)</w:t>
            </w:r>
          </w:p>
        </w:tc>
        <w:tc>
          <w:tcPr>
            <w:tcW w:type="dxa" w:w="1337"/>
          </w:tcPr>
          <w:p>
            <w:pPr>
              <w:spacing w:line="240" w:lineRule="auto" w:before="0" w:after="0"/>
              <w:jc w:val="center"/>
            </w:pPr>
            <w:r>
              <w:rPr>
                <w:rFonts w:ascii="Times New Roman" w:hAnsi="Times New Roman"/>
                <w:b/>
                <w:color w:val="000000"/>
                <w:sz w:val="19"/>
              </w:rPr>
              <w:t>Skewness</w:t>
            </w:r>
          </w:p>
        </w:tc>
        <w:tc>
          <w:tcPr>
            <w:tcW w:type="dxa" w:w="1337"/>
          </w:tcPr>
          <w:p>
            <w:pPr>
              <w:spacing w:line="240" w:lineRule="auto" w:before="0" w:after="0"/>
              <w:jc w:val="center"/>
            </w:pPr>
            <w:r>
              <w:rPr>
                <w:rFonts w:ascii="Times New Roman" w:hAnsi="Times New Roman"/>
                <w:b/>
                <w:color w:val="000000"/>
                <w:sz w:val="19"/>
              </w:rPr>
              <w:t>Kurtosis</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0.218</w:t>
            </w:r>
          </w:p>
        </w:tc>
        <w:tc>
          <w:tcPr>
            <w:tcW w:type="dxa" w:w="1337"/>
          </w:tcPr>
          <w:p>
            <w:pPr>
              <w:spacing w:line="240" w:lineRule="auto" w:before="0" w:after="0"/>
              <w:jc w:val="center"/>
            </w:pPr>
            <w:r>
              <w:rPr>
                <w:rFonts w:ascii="Times New Roman" w:hAnsi="Times New Roman"/>
                <w:color w:val="000000"/>
                <w:sz w:val="18"/>
              </w:rPr>
              <w:t>6.66</w:t>
            </w:r>
          </w:p>
        </w:tc>
        <w:tc>
          <w:tcPr>
            <w:tcW w:type="dxa" w:w="1337"/>
          </w:tcPr>
          <w:p>
            <w:pPr>
              <w:spacing w:line="240" w:lineRule="auto" w:before="0" w:after="0"/>
              <w:jc w:val="center"/>
            </w:pPr>
            <w:r>
              <w:rPr>
                <w:rFonts w:ascii="Times New Roman" w:hAnsi="Times New Roman"/>
                <w:color w:val="000000"/>
                <w:sz w:val="18"/>
              </w:rPr>
              <w:t>-20.94</w:t>
            </w:r>
          </w:p>
        </w:tc>
        <w:tc>
          <w:tcPr>
            <w:tcW w:type="dxa" w:w="1337"/>
          </w:tcPr>
          <w:p>
            <w:pPr>
              <w:spacing w:line="240" w:lineRule="auto" w:before="0" w:after="0"/>
              <w:jc w:val="center"/>
            </w:pPr>
            <w:r>
              <w:rPr>
                <w:rFonts w:ascii="Times New Roman" w:hAnsi="Times New Roman"/>
                <w:color w:val="000000"/>
                <w:sz w:val="18"/>
              </w:rPr>
              <w:t>38.95</w:t>
            </w:r>
          </w:p>
        </w:tc>
        <w:tc>
          <w:tcPr>
            <w:tcW w:type="dxa" w:w="1337"/>
          </w:tcPr>
          <w:p>
            <w:pPr>
              <w:spacing w:line="240" w:lineRule="auto" w:before="0" w:after="0"/>
              <w:jc w:val="center"/>
            </w:pPr>
            <w:r>
              <w:rPr>
                <w:rFonts w:ascii="Times New Roman" w:hAnsi="Times New Roman"/>
                <w:color w:val="000000"/>
                <w:sz w:val="18"/>
              </w:rPr>
              <w:t>1.41</w:t>
            </w:r>
          </w:p>
        </w:tc>
        <w:tc>
          <w:tcPr>
            <w:tcW w:type="dxa" w:w="1337"/>
          </w:tcPr>
          <w:p>
            <w:pPr>
              <w:spacing w:line="240" w:lineRule="auto" w:before="0" w:after="0"/>
              <w:jc w:val="center"/>
            </w:pPr>
            <w:r>
              <w:rPr>
                <w:rFonts w:ascii="Times New Roman" w:hAnsi="Times New Roman"/>
                <w:color w:val="000000"/>
                <w:sz w:val="18"/>
              </w:rPr>
              <w:t>7.22</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0.324</w:t>
            </w:r>
          </w:p>
        </w:tc>
        <w:tc>
          <w:tcPr>
            <w:tcW w:type="dxa" w:w="1337"/>
          </w:tcPr>
          <w:p>
            <w:pPr>
              <w:spacing w:line="240" w:lineRule="auto" w:before="0" w:after="0"/>
              <w:jc w:val="center"/>
            </w:pPr>
            <w:r>
              <w:rPr>
                <w:rFonts w:ascii="Times New Roman" w:hAnsi="Times New Roman"/>
                <w:color w:val="000000"/>
                <w:sz w:val="18"/>
              </w:rPr>
              <w:t>5.57</w:t>
            </w:r>
          </w:p>
        </w:tc>
        <w:tc>
          <w:tcPr>
            <w:tcW w:type="dxa" w:w="1337"/>
          </w:tcPr>
          <w:p>
            <w:pPr>
              <w:spacing w:line="240" w:lineRule="auto" w:before="0" w:after="0"/>
              <w:jc w:val="center"/>
            </w:pPr>
            <w:r>
              <w:rPr>
                <w:rFonts w:ascii="Times New Roman" w:hAnsi="Times New Roman"/>
                <w:color w:val="000000"/>
                <w:sz w:val="18"/>
              </w:rPr>
              <w:t>-24.03</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0.30</w:t>
            </w:r>
          </w:p>
        </w:tc>
        <w:tc>
          <w:tcPr>
            <w:tcW w:type="dxa" w:w="1337"/>
          </w:tcPr>
          <w:p>
            <w:pPr>
              <w:spacing w:line="240" w:lineRule="auto" w:before="0" w:after="0"/>
              <w:jc w:val="center"/>
            </w:pPr>
            <w:r>
              <w:rPr>
                <w:rFonts w:ascii="Times New Roman" w:hAnsi="Times New Roman"/>
                <w:color w:val="000000"/>
                <w:sz w:val="18"/>
              </w:rPr>
              <w:t>2.20</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0.192</w:t>
            </w:r>
          </w:p>
        </w:tc>
        <w:tc>
          <w:tcPr>
            <w:tcW w:type="dxa" w:w="1337"/>
          </w:tcPr>
          <w:p>
            <w:pPr>
              <w:spacing w:line="240" w:lineRule="auto" w:before="0" w:after="0"/>
              <w:jc w:val="center"/>
            </w:pPr>
            <w:r>
              <w:rPr>
                <w:rFonts w:ascii="Times New Roman" w:hAnsi="Times New Roman"/>
                <w:color w:val="000000"/>
                <w:sz w:val="18"/>
              </w:rPr>
              <w:t>4.55</w:t>
            </w:r>
          </w:p>
        </w:tc>
        <w:tc>
          <w:tcPr>
            <w:tcW w:type="dxa" w:w="1337"/>
          </w:tcPr>
          <w:p>
            <w:pPr>
              <w:spacing w:line="240" w:lineRule="auto" w:before="0" w:after="0"/>
              <w:jc w:val="center"/>
            </w:pPr>
            <w:r>
              <w:rPr>
                <w:rFonts w:ascii="Times New Roman" w:hAnsi="Times New Roman"/>
                <w:color w:val="000000"/>
                <w:sz w:val="18"/>
              </w:rPr>
              <w:t>-23.16</w:t>
            </w:r>
          </w:p>
        </w:tc>
        <w:tc>
          <w:tcPr>
            <w:tcW w:type="dxa" w:w="1337"/>
          </w:tcPr>
          <w:p>
            <w:pPr>
              <w:spacing w:line="240" w:lineRule="auto" w:before="0" w:after="0"/>
              <w:jc w:val="center"/>
            </w:pPr>
            <w:r>
              <w:rPr>
                <w:rFonts w:ascii="Times New Roman" w:hAnsi="Times New Roman"/>
                <w:color w:val="000000"/>
                <w:sz w:val="18"/>
              </w:rPr>
              <w:t>43.14</w:t>
            </w:r>
          </w:p>
        </w:tc>
        <w:tc>
          <w:tcPr>
            <w:tcW w:type="dxa" w:w="1337"/>
          </w:tcPr>
          <w:p>
            <w:pPr>
              <w:spacing w:line="240" w:lineRule="auto" w:before="0" w:after="0"/>
              <w:jc w:val="center"/>
            </w:pPr>
            <w:r>
              <w:rPr>
                <w:rFonts w:ascii="Times New Roman" w:hAnsi="Times New Roman"/>
                <w:color w:val="000000"/>
                <w:sz w:val="18"/>
              </w:rPr>
              <w:t>1.66</w:t>
            </w:r>
          </w:p>
        </w:tc>
        <w:tc>
          <w:tcPr>
            <w:tcW w:type="dxa" w:w="1337"/>
          </w:tcPr>
          <w:p>
            <w:pPr>
              <w:spacing w:line="240" w:lineRule="auto" w:before="0" w:after="0"/>
              <w:jc w:val="center"/>
            </w:pPr>
            <w:r>
              <w:rPr>
                <w:rFonts w:ascii="Times New Roman" w:hAnsi="Times New Roman"/>
                <w:color w:val="000000"/>
                <w:sz w:val="18"/>
              </w:rPr>
              <w:t>14.47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0.167</w:t>
            </w:r>
          </w:p>
        </w:tc>
        <w:tc>
          <w:tcPr>
            <w:tcW w:type="dxa" w:w="1337"/>
          </w:tcPr>
          <w:p>
            <w:pPr>
              <w:spacing w:line="240" w:lineRule="auto" w:before="0" w:after="0"/>
              <w:jc w:val="center"/>
            </w:pPr>
            <w:r>
              <w:rPr>
                <w:rFonts w:ascii="Times New Roman" w:hAnsi="Times New Roman"/>
                <w:color w:val="000000"/>
                <w:sz w:val="18"/>
              </w:rPr>
              <w:t>6.54</w:t>
            </w:r>
          </w:p>
        </w:tc>
        <w:tc>
          <w:tcPr>
            <w:tcW w:type="dxa" w:w="1337"/>
          </w:tcPr>
          <w:p>
            <w:pPr>
              <w:spacing w:line="240" w:lineRule="auto" w:before="0" w:after="0"/>
              <w:jc w:val="center"/>
            </w:pPr>
            <w:r>
              <w:rPr>
                <w:rFonts w:ascii="Times New Roman" w:hAnsi="Times New Roman"/>
                <w:color w:val="000000"/>
                <w:sz w:val="18"/>
              </w:rPr>
              <w:t>-34.25</w:t>
            </w:r>
          </w:p>
        </w:tc>
        <w:tc>
          <w:tcPr>
            <w:tcW w:type="dxa" w:w="1337"/>
          </w:tcPr>
          <w:p>
            <w:pPr>
              <w:spacing w:line="240" w:lineRule="auto" w:before="0" w:after="0"/>
              <w:jc w:val="center"/>
            </w:pPr>
            <w:r>
              <w:rPr>
                <w:rFonts w:ascii="Times New Roman" w:hAnsi="Times New Roman"/>
                <w:color w:val="000000"/>
                <w:sz w:val="18"/>
              </w:rPr>
              <w:t>31.69</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0.126</w:t>
            </w:r>
          </w:p>
        </w:tc>
        <w:tc>
          <w:tcPr>
            <w:tcW w:type="dxa" w:w="1337"/>
          </w:tcPr>
          <w:p>
            <w:pPr>
              <w:spacing w:line="240" w:lineRule="auto" w:before="0" w:after="0"/>
              <w:jc w:val="center"/>
            </w:pPr>
            <w:r>
              <w:rPr>
                <w:rFonts w:ascii="Times New Roman" w:hAnsi="Times New Roman"/>
                <w:color w:val="000000"/>
                <w:sz w:val="18"/>
              </w:rPr>
              <w:t>6.04</w:t>
            </w:r>
          </w:p>
        </w:tc>
        <w:tc>
          <w:tcPr>
            <w:tcW w:type="dxa" w:w="1337"/>
          </w:tcPr>
          <w:p>
            <w:pPr>
              <w:spacing w:line="240" w:lineRule="auto" w:before="0" w:after="0"/>
              <w:jc w:val="center"/>
            </w:pPr>
            <w:r>
              <w:rPr>
                <w:rFonts w:ascii="Times New Roman" w:hAnsi="Times New Roman"/>
                <w:color w:val="000000"/>
                <w:sz w:val="18"/>
              </w:rPr>
              <w:t>-26.18</w:t>
            </w:r>
          </w:p>
        </w:tc>
        <w:tc>
          <w:tcPr>
            <w:tcW w:type="dxa" w:w="1337"/>
          </w:tcPr>
          <w:p>
            <w:pPr>
              <w:spacing w:line="240" w:lineRule="auto" w:before="0" w:after="0"/>
              <w:jc w:val="center"/>
            </w:pPr>
            <w:r>
              <w:rPr>
                <w:rFonts w:ascii="Times New Roman" w:hAnsi="Times New Roman"/>
                <w:color w:val="000000"/>
                <w:sz w:val="18"/>
              </w:rPr>
              <w:t>36.98</w:t>
            </w:r>
          </w:p>
        </w:tc>
        <w:tc>
          <w:tcPr>
            <w:tcW w:type="dxa" w:w="1337"/>
          </w:tcPr>
          <w:p>
            <w:pPr>
              <w:spacing w:line="240" w:lineRule="auto" w:before="0" w:after="0"/>
              <w:jc w:val="center"/>
            </w:pPr>
            <w:r>
              <w:rPr>
                <w:rFonts w:ascii="Times New Roman" w:hAnsi="Times New Roman"/>
                <w:color w:val="000000"/>
                <w:sz w:val="18"/>
              </w:rPr>
              <w:t>0.39</w:t>
            </w:r>
          </w:p>
        </w:tc>
        <w:tc>
          <w:tcPr>
            <w:tcW w:type="dxa" w:w="1337"/>
          </w:tcPr>
          <w:p>
            <w:pPr>
              <w:spacing w:line="240" w:lineRule="auto" w:before="0" w:after="0"/>
              <w:jc w:val="center"/>
            </w:pPr>
            <w:r>
              <w:rPr>
                <w:rFonts w:ascii="Times New Roman" w:hAnsi="Times New Roman"/>
                <w:color w:val="000000"/>
                <w:sz w:val="18"/>
              </w:rPr>
              <w:t>4.21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0.073</w:t>
            </w:r>
          </w:p>
        </w:tc>
        <w:tc>
          <w:tcPr>
            <w:tcW w:type="dxa" w:w="1337"/>
          </w:tcPr>
          <w:p>
            <w:pPr>
              <w:spacing w:line="240" w:lineRule="auto" w:before="0" w:after="0"/>
              <w:jc w:val="center"/>
            </w:pPr>
            <w:r>
              <w:rPr>
                <w:rFonts w:ascii="Times New Roman" w:hAnsi="Times New Roman"/>
                <w:color w:val="000000"/>
                <w:sz w:val="18"/>
              </w:rPr>
              <w:t>6.45</w:t>
            </w:r>
          </w:p>
        </w:tc>
        <w:tc>
          <w:tcPr>
            <w:tcW w:type="dxa" w:w="1337"/>
          </w:tcPr>
          <w:p>
            <w:pPr>
              <w:spacing w:line="240" w:lineRule="auto" w:before="0" w:after="0"/>
              <w:jc w:val="center"/>
            </w:pPr>
            <w:r>
              <w:rPr>
                <w:rFonts w:ascii="Times New Roman" w:hAnsi="Times New Roman"/>
                <w:color w:val="000000"/>
                <w:sz w:val="18"/>
              </w:rPr>
              <w:t>-24.00</w:t>
            </w:r>
          </w:p>
        </w:tc>
        <w:tc>
          <w:tcPr>
            <w:tcW w:type="dxa" w:w="1337"/>
          </w:tcPr>
          <w:p>
            <w:pPr>
              <w:spacing w:line="240" w:lineRule="auto" w:before="0" w:after="0"/>
              <w:jc w:val="center"/>
            </w:pPr>
            <w:r>
              <w:rPr>
                <w:rFonts w:ascii="Times New Roman" w:hAnsi="Times New Roman"/>
                <w:color w:val="000000"/>
                <w:sz w:val="18"/>
              </w:rPr>
              <w:t>31.77</w:t>
            </w:r>
          </w:p>
        </w:tc>
        <w:tc>
          <w:tcPr>
            <w:tcW w:type="dxa" w:w="1337"/>
          </w:tcPr>
          <w:p>
            <w:pPr>
              <w:spacing w:line="240" w:lineRule="auto" w:before="0" w:after="0"/>
              <w:jc w:val="center"/>
            </w:pPr>
            <w:r>
              <w:rPr>
                <w:rFonts w:ascii="Times New Roman" w:hAnsi="Times New Roman"/>
                <w:color w:val="000000"/>
                <w:sz w:val="18"/>
              </w:rPr>
              <w:t>0.69</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0.245</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-28.73</w:t>
            </w:r>
          </w:p>
        </w:tc>
        <w:tc>
          <w:tcPr>
            <w:tcW w:type="dxa" w:w="1337"/>
          </w:tcPr>
          <w:p>
            <w:pPr>
              <w:spacing w:line="240" w:lineRule="auto" w:before="0" w:after="0"/>
              <w:jc w:val="center"/>
            </w:pPr>
            <w:r>
              <w:rPr>
                <w:rFonts w:ascii="Times New Roman" w:hAnsi="Times New Roman"/>
                <w:color w:val="000000"/>
                <w:sz w:val="18"/>
              </w:rPr>
              <w:t>32.21</w:t>
            </w:r>
          </w:p>
        </w:tc>
        <w:tc>
          <w:tcPr>
            <w:tcW w:type="dxa" w:w="1337"/>
          </w:tcPr>
          <w:p>
            <w:pPr>
              <w:spacing w:line="240" w:lineRule="auto" w:before="0" w:after="0"/>
              <w:jc w:val="center"/>
            </w:pPr>
            <w:r>
              <w:rPr>
                <w:rFonts w:ascii="Times New Roman" w:hAnsi="Times New Roman"/>
                <w:color w:val="000000"/>
                <w:sz w:val="18"/>
              </w:rPr>
              <w:t>0.52</w:t>
            </w:r>
          </w:p>
        </w:tc>
        <w:tc>
          <w:tcPr>
            <w:tcW w:type="dxa" w:w="1337"/>
          </w:tcPr>
          <w:p>
            <w:pPr>
              <w:spacing w:line="240" w:lineRule="auto" w:before="0" w:after="0"/>
              <w:jc w:val="center"/>
            </w:pPr>
            <w:r>
              <w:rPr>
                <w:rFonts w:ascii="Times New Roman" w:hAnsi="Times New Roman"/>
                <w:color w:val="000000"/>
                <w:sz w:val="18"/>
              </w:rPr>
              <w:t>3.11</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0.401</w:t>
            </w:r>
          </w:p>
        </w:tc>
        <w:tc>
          <w:tcPr>
            <w:tcW w:type="dxa" w:w="1337"/>
          </w:tcPr>
          <w:p>
            <w:pPr>
              <w:spacing w:line="240" w:lineRule="auto" w:before="0" w:after="0"/>
              <w:jc w:val="center"/>
            </w:pPr>
            <w:r>
              <w:rPr>
                <w:rFonts w:ascii="Times New Roman" w:hAnsi="Times New Roman"/>
                <w:color w:val="000000"/>
                <w:sz w:val="18"/>
              </w:rPr>
              <w:t>7.14</w:t>
            </w:r>
          </w:p>
        </w:tc>
        <w:tc>
          <w:tcPr>
            <w:tcW w:type="dxa" w:w="1337"/>
          </w:tcPr>
          <w:p>
            <w:pPr>
              <w:spacing w:line="240" w:lineRule="auto" w:before="0" w:after="0"/>
              <w:jc w:val="center"/>
            </w:pPr>
            <w:r>
              <w:rPr>
                <w:rFonts w:ascii="Times New Roman" w:hAnsi="Times New Roman"/>
                <w:color w:val="000000"/>
                <w:sz w:val="18"/>
              </w:rPr>
              <w:t>-35.19</w:t>
            </w:r>
          </w:p>
        </w:tc>
        <w:tc>
          <w:tcPr>
            <w:tcW w:type="dxa" w:w="1337"/>
          </w:tcPr>
          <w:p>
            <w:pPr>
              <w:spacing w:line="240" w:lineRule="auto" w:before="0" w:after="0"/>
              <w:jc w:val="center"/>
            </w:pPr>
            <w:r>
              <w:rPr>
                <w:rFonts w:ascii="Times New Roman" w:hAnsi="Times New Roman"/>
                <w:color w:val="000000"/>
                <w:sz w:val="18"/>
              </w:rPr>
              <w:t>38.89</w:t>
            </w:r>
          </w:p>
        </w:tc>
        <w:tc>
          <w:tcPr>
            <w:tcW w:type="dxa" w:w="1337"/>
          </w:tcPr>
          <w:p>
            <w:pPr>
              <w:spacing w:line="240" w:lineRule="auto" w:before="0" w:after="0"/>
              <w:jc w:val="center"/>
            </w:pPr>
            <w:r>
              <w:rPr>
                <w:rFonts w:ascii="Times New Roman" w:hAnsi="Times New Roman"/>
                <w:color w:val="000000"/>
                <w:sz w:val="18"/>
              </w:rPr>
              <w:t>0.51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0.157</w:t>
            </w:r>
          </w:p>
        </w:tc>
        <w:tc>
          <w:tcPr>
            <w:tcW w:type="dxa" w:w="1337"/>
          </w:tcPr>
          <w:p>
            <w:pPr>
              <w:spacing w:line="240" w:lineRule="auto" w:before="0" w:after="0"/>
              <w:jc w:val="center"/>
            </w:pPr>
            <w:r>
              <w:rPr>
                <w:rFonts w:ascii="Times New Roman" w:hAnsi="Times New Roman"/>
                <w:color w:val="000000"/>
                <w:sz w:val="18"/>
              </w:rPr>
              <w:t>6.46</w:t>
            </w:r>
          </w:p>
        </w:tc>
        <w:tc>
          <w:tcPr>
            <w:tcW w:type="dxa" w:w="1337"/>
          </w:tcPr>
          <w:p>
            <w:pPr>
              <w:spacing w:line="240" w:lineRule="auto" w:before="0" w:after="0"/>
              <w:jc w:val="center"/>
            </w:pPr>
            <w:r>
              <w:rPr>
                <w:rFonts w:ascii="Times New Roman" w:hAnsi="Times New Roman"/>
                <w:color w:val="000000"/>
                <w:sz w:val="18"/>
              </w:rPr>
              <w:t>-29.02</w:t>
            </w:r>
          </w:p>
        </w:tc>
        <w:tc>
          <w:tcPr>
            <w:tcW w:type="dxa" w:w="1337"/>
          </w:tcPr>
          <w:p>
            <w:pPr>
              <w:spacing w:line="240" w:lineRule="auto" w:before="0" w:after="0"/>
              <w:jc w:val="center"/>
            </w:pPr>
            <w:r>
              <w:rPr>
                <w:rFonts w:ascii="Times New Roman" w:hAnsi="Times New Roman"/>
                <w:color w:val="000000"/>
                <w:sz w:val="18"/>
              </w:rPr>
              <w:t>35.72</w:t>
            </w:r>
          </w:p>
        </w:tc>
        <w:tc>
          <w:tcPr>
            <w:tcW w:type="dxa" w:w="1337"/>
          </w:tcPr>
          <w:p>
            <w:pPr>
              <w:spacing w:line="240" w:lineRule="auto" w:before="0" w:after="0"/>
              <w:jc w:val="center"/>
            </w:pPr>
            <w:r>
              <w:rPr>
                <w:rFonts w:ascii="Times New Roman" w:hAnsi="Times New Roman"/>
                <w:color w:val="000000"/>
                <w:sz w:val="18"/>
              </w:rPr>
              <w:t>0.64</w:t>
            </w:r>
          </w:p>
        </w:tc>
        <w:tc>
          <w:tcPr>
            <w:tcW w:type="dxa" w:w="1337"/>
          </w:tcPr>
          <w:p>
            <w:pPr>
              <w:spacing w:line="240" w:lineRule="auto" w:before="0" w:after="0"/>
              <w:jc w:val="center"/>
            </w:pPr>
            <w:r>
              <w:rPr>
                <w:rFonts w:ascii="Times New Roman" w:hAnsi="Times New Roman"/>
                <w:color w:val="000000"/>
                <w:sz w:val="18"/>
              </w:rPr>
              <w:t>4.01</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0.264</w:t>
            </w:r>
          </w:p>
        </w:tc>
        <w:tc>
          <w:tcPr>
            <w:tcW w:type="dxa" w:w="1337"/>
          </w:tcPr>
          <w:p>
            <w:pPr>
              <w:spacing w:line="240" w:lineRule="auto" w:before="0" w:after="0"/>
              <w:jc w:val="center"/>
            </w:pPr>
            <w:r>
              <w:rPr>
                <w:rFonts w:ascii="Times New Roman" w:hAnsi="Times New Roman"/>
                <w:color w:val="000000"/>
                <w:sz w:val="18"/>
              </w:rPr>
              <w:t>5.02</w:t>
            </w:r>
          </w:p>
        </w:tc>
        <w:tc>
          <w:tcPr>
            <w:tcW w:type="dxa" w:w="1337"/>
          </w:tcPr>
          <w:p>
            <w:pPr>
              <w:spacing w:line="240" w:lineRule="auto" w:before="0" w:after="0"/>
              <w:jc w:val="center"/>
            </w:pPr>
            <w:r>
              <w:rPr>
                <w:rFonts w:ascii="Times New Roman" w:hAnsi="Times New Roman"/>
                <w:color w:val="000000"/>
                <w:sz w:val="18"/>
              </w:rPr>
              <w:t>-29.18</w:t>
            </w:r>
          </w:p>
        </w:tc>
        <w:tc>
          <w:tcPr>
            <w:tcW w:type="dxa" w:w="1337"/>
          </w:tcPr>
          <w:p>
            <w:pPr>
              <w:spacing w:line="240" w:lineRule="auto" w:before="0" w:after="0"/>
              <w:jc w:val="center"/>
            </w:pPr>
            <w:r>
              <w:rPr>
                <w:rFonts w:ascii="Times New Roman" w:hAnsi="Times New Roman"/>
                <w:color w:val="000000"/>
                <w:sz w:val="18"/>
              </w:rPr>
              <w:t>26.90</w:t>
            </w:r>
          </w:p>
        </w:tc>
        <w:tc>
          <w:tcPr>
            <w:tcW w:type="dxa" w:w="1337"/>
          </w:tcPr>
          <w:p>
            <w:pPr>
              <w:spacing w:line="240" w:lineRule="auto" w:before="0" w:after="0"/>
              <w:jc w:val="center"/>
            </w:pPr>
            <w:r>
              <w:rPr>
                <w:rFonts w:ascii="Times New Roman" w:hAnsi="Times New Roman"/>
                <w:color w:val="000000"/>
                <w:sz w:val="18"/>
              </w:rPr>
              <w:t>-0.19</w:t>
            </w:r>
          </w:p>
        </w:tc>
        <w:tc>
          <w:tcPr>
            <w:tcW w:type="dxa" w:w="1337"/>
          </w:tcPr>
          <w:p>
            <w:pPr>
              <w:spacing w:line="240" w:lineRule="auto" w:before="0" w:after="0"/>
              <w:jc w:val="center"/>
            </w:pPr>
            <w:r>
              <w:rPr>
                <w:rFonts w:ascii="Times New Roman" w:hAnsi="Times New Roman"/>
                <w:color w:val="000000"/>
                <w:sz w:val="18"/>
              </w:rPr>
              <w:t>5.01</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0.120</w:t>
            </w:r>
          </w:p>
        </w:tc>
        <w:tc>
          <w:tcPr>
            <w:tcW w:type="dxa" w:w="1337"/>
          </w:tcPr>
          <w:p>
            <w:pPr>
              <w:spacing w:line="240" w:lineRule="auto" w:before="0" w:after="0"/>
              <w:jc w:val="center"/>
            </w:pPr>
            <w:r>
              <w:rPr>
                <w:rFonts w:ascii="Times New Roman" w:hAnsi="Times New Roman"/>
                <w:color w:val="000000"/>
                <w:sz w:val="18"/>
              </w:rPr>
              <w:t>5.93</w:t>
            </w:r>
          </w:p>
        </w:tc>
        <w:tc>
          <w:tcPr>
            <w:tcW w:type="dxa" w:w="1337"/>
          </w:tcPr>
          <w:p>
            <w:pPr>
              <w:spacing w:line="240" w:lineRule="auto" w:before="0" w:after="0"/>
              <w:jc w:val="center"/>
            </w:pPr>
            <w:r>
              <w:rPr>
                <w:rFonts w:ascii="Times New Roman" w:hAnsi="Times New Roman"/>
                <w:color w:val="000000"/>
                <w:sz w:val="18"/>
              </w:rPr>
              <w:t>-25.57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0.49</w:t>
            </w:r>
          </w:p>
        </w:tc>
        <w:tc>
          <w:tcPr>
            <w:tcW w:type="dxa" w:w="1337"/>
          </w:tcPr>
          <w:p>
            <w:pPr>
              <w:spacing w:line="240" w:lineRule="auto" w:before="0" w:after="0"/>
              <w:jc w:val="center"/>
            </w:pPr>
            <w:r>
              <w:rPr>
                <w:rFonts w:ascii="Times New Roman" w:hAnsi="Times New Roman"/>
                <w:color w:val="000000"/>
                <w:sz w:val="18"/>
              </w:rPr>
              <w:t>4.14</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0.217</w:t>
            </w:r>
          </w:p>
        </w:tc>
        <w:tc>
          <w:tcPr>
            <w:tcW w:type="dxa" w:w="1337"/>
          </w:tcPr>
          <w:p>
            <w:pPr>
              <w:spacing w:line="240" w:lineRule="auto" w:before="0" w:after="0"/>
              <w:jc w:val="center"/>
            </w:pPr>
            <w:r>
              <w:rPr>
                <w:rFonts w:ascii="Times New Roman" w:hAnsi="Times New Roman"/>
                <w:color w:val="000000"/>
                <w:sz w:val="18"/>
              </w:rPr>
              <w:t>5.85</w:t>
            </w:r>
          </w:p>
        </w:tc>
        <w:tc>
          <w:tcPr>
            <w:tcW w:type="dxa" w:w="1337"/>
          </w:tcPr>
          <w:p>
            <w:pPr>
              <w:spacing w:line="240" w:lineRule="auto" w:before="0" w:after="0"/>
              <w:jc w:val="center"/>
            </w:pPr>
            <w:r>
              <w:rPr>
                <w:rFonts w:ascii="Times New Roman" w:hAnsi="Times New Roman"/>
                <w:color w:val="000000"/>
                <w:sz w:val="18"/>
              </w:rPr>
              <w:t>-20.07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0.77</w:t>
            </w:r>
          </w:p>
        </w:tc>
        <w:tc>
          <w:tcPr>
            <w:tcW w:type="dxa" w:w="1337"/>
          </w:tcPr>
          <w:p>
            <w:pPr>
              <w:spacing w:line="240" w:lineRule="auto" w:before="0" w:after="0"/>
              <w:jc w:val="center"/>
            </w:pPr>
            <w:r>
              <w:rPr>
                <w:rFonts w:ascii="Times New Roman" w:hAnsi="Times New Roman"/>
                <w:color w:val="000000"/>
                <w:sz w:val="18"/>
              </w:rPr>
              <w:t>4.31</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0.181</w:t>
            </w:r>
          </w:p>
        </w:tc>
        <w:tc>
          <w:tcPr>
            <w:tcW w:type="dxa" w:w="1337"/>
          </w:tcPr>
          <w:p>
            <w:pPr>
              <w:spacing w:line="240" w:lineRule="auto" w:before="0" w:after="0"/>
              <w:jc w:val="center"/>
            </w:pPr>
            <w:r>
              <w:rPr>
                <w:rFonts w:ascii="Times New Roman" w:hAnsi="Times New Roman"/>
                <w:color w:val="000000"/>
                <w:sz w:val="18"/>
              </w:rPr>
              <w:t>5.65</w:t>
            </w:r>
          </w:p>
        </w:tc>
        <w:tc>
          <w:tcPr>
            <w:tcW w:type="dxa" w:w="1337"/>
          </w:tcPr>
          <w:p>
            <w:pPr>
              <w:spacing w:line="240" w:lineRule="auto" w:before="0" w:after="0"/>
              <w:jc w:val="center"/>
            </w:pPr>
            <w:r>
              <w:rPr>
                <w:rFonts w:ascii="Times New Roman" w:hAnsi="Times New Roman"/>
                <w:color w:val="000000"/>
                <w:sz w:val="18"/>
              </w:rPr>
              <w:t>-35.85</w:t>
            </w:r>
          </w:p>
        </w:tc>
        <w:tc>
          <w:tcPr>
            <w:tcW w:type="dxa" w:w="1337"/>
          </w:tcPr>
          <w:p>
            <w:pPr>
              <w:spacing w:line="240" w:lineRule="auto" w:before="0" w:after="0"/>
              <w:jc w:val="center"/>
            </w:pPr>
            <w:r>
              <w:rPr>
                <w:rFonts w:ascii="Times New Roman" w:hAnsi="Times New Roman"/>
                <w:color w:val="000000"/>
                <w:sz w:val="18"/>
              </w:rPr>
              <w:t>34.60</w:t>
            </w:r>
          </w:p>
        </w:tc>
        <w:tc>
          <w:tcPr>
            <w:tcW w:type="dxa" w:w="1337"/>
          </w:tcPr>
          <w:p>
            <w:pPr>
              <w:spacing w:line="240" w:lineRule="auto" w:before="0" w:after="0"/>
              <w:jc w:val="center"/>
            </w:pPr>
            <w:r>
              <w:rPr>
                <w:rFonts w:ascii="Times New Roman" w:hAnsi="Times New Roman"/>
                <w:color w:val="000000"/>
                <w:sz w:val="18"/>
              </w:rPr>
              <w:t>0.13</w:t>
            </w:r>
          </w:p>
        </w:tc>
        <w:tc>
          <w:tcPr>
            <w:tcW w:type="dxa" w:w="1337"/>
          </w:tcPr>
          <w:p>
            <w:pPr>
              <w:spacing w:line="240" w:lineRule="auto" w:before="0" w:after="0"/>
              <w:jc w:val="center"/>
            </w:pPr>
            <w:r>
              <w:rPr>
                <w:rFonts w:ascii="Times New Roman" w:hAnsi="Times New Roman"/>
                <w:color w:val="000000"/>
                <w:sz w:val="18"/>
              </w:rPr>
              <w:t>5.15</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0.225</w:t>
            </w:r>
          </w:p>
        </w:tc>
        <w:tc>
          <w:tcPr>
            <w:tcW w:type="dxa" w:w="1337"/>
          </w:tcPr>
          <w:p>
            <w:pPr>
              <w:spacing w:line="240" w:lineRule="auto" w:before="0" w:after="0"/>
              <w:jc w:val="center"/>
            </w:pPr>
            <w:r>
              <w:rPr>
                <w:rFonts w:ascii="Times New Roman" w:hAnsi="Times New Roman"/>
                <w:color w:val="000000"/>
                <w:sz w:val="18"/>
              </w:rPr>
              <w:t>8.77</w:t>
            </w:r>
          </w:p>
        </w:tc>
        <w:tc>
          <w:tcPr>
            <w:tcW w:type="dxa" w:w="1337"/>
          </w:tcPr>
          <w:p>
            <w:pPr>
              <w:spacing w:line="240" w:lineRule="auto" w:before="0" w:after="0"/>
              <w:jc w:val="center"/>
            </w:pPr>
            <w:r>
              <w:rPr>
                <w:rFonts w:ascii="Times New Roman" w:hAnsi="Times New Roman"/>
                <w:color w:val="000000"/>
                <w:sz w:val="18"/>
              </w:rPr>
              <w:t>-127.16</w:t>
            </w:r>
          </w:p>
        </w:tc>
        <w:tc>
          <w:tcPr>
            <w:tcW w:type="dxa" w:w="1337"/>
          </w:tcPr>
          <w:p>
            <w:pPr>
              <w:spacing w:line="240" w:lineRule="auto" w:before="0" w:after="0"/>
              <w:jc w:val="center"/>
            </w:pPr>
            <w:r>
              <w:rPr>
                <w:rFonts w:ascii="Times New Roman" w:hAnsi="Times New Roman"/>
                <w:color w:val="000000"/>
                <w:sz w:val="18"/>
              </w:rPr>
              <w:t>103.22</w:t>
            </w:r>
          </w:p>
        </w:tc>
        <w:tc>
          <w:tcPr>
            <w:tcW w:type="dxa" w:w="1337"/>
          </w:tcPr>
          <w:p>
            <w:pPr>
              <w:spacing w:line="240" w:lineRule="auto" w:before="0" w:after="0"/>
              <w:jc w:val="center"/>
            </w:pPr>
            <w:r>
              <w:rPr>
                <w:rFonts w:ascii="Times New Roman" w:hAnsi="Times New Roman"/>
                <w:color w:val="000000"/>
                <w:sz w:val="18"/>
              </w:rPr>
              <w:t>-1.55</w:t>
            </w:r>
          </w:p>
        </w:tc>
        <w:tc>
          <w:tcPr>
            <w:tcW w:type="dxa" w:w="1337"/>
          </w:tcPr>
          <w:p>
            <w:pPr>
              <w:spacing w:line="240" w:lineRule="auto" w:before="0" w:after="0"/>
              <w:jc w:val="center"/>
            </w:pPr>
            <w:r>
              <w:rPr>
                <w:rFonts w:ascii="Times New Roman" w:hAnsi="Times New Roman"/>
                <w:color w:val="000000"/>
                <w:sz w:val="18"/>
              </w:rPr>
              <w:t>75.04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0.370</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-27.79</w:t>
            </w:r>
          </w:p>
        </w:tc>
        <w:tc>
          <w:tcPr>
            <w:tcW w:type="dxa" w:w="1337"/>
          </w:tcPr>
          <w:p>
            <w:pPr>
              <w:spacing w:line="240" w:lineRule="auto" w:before="0" w:after="0"/>
              <w:jc w:val="center"/>
            </w:pPr>
            <w:r>
              <w:rPr>
                <w:rFonts w:ascii="Times New Roman" w:hAnsi="Times New Roman"/>
                <w:color w:val="000000"/>
                <w:sz w:val="18"/>
              </w:rPr>
              <w:t>34.92</w:t>
            </w:r>
          </w:p>
        </w:tc>
        <w:tc>
          <w:tcPr>
            <w:tcW w:type="dxa" w:w="1337"/>
          </w:tcPr>
          <w:p>
            <w:pPr>
              <w:spacing w:line="240" w:lineRule="auto" w:before="0" w:after="0"/>
              <w:jc w:val="center"/>
            </w:pPr>
            <w:r>
              <w:rPr>
                <w:rFonts w:ascii="Times New Roman" w:hAnsi="Times New Roman"/>
                <w:color w:val="000000"/>
                <w:sz w:val="18"/>
              </w:rPr>
              <w:t>0.42</w:t>
            </w:r>
          </w:p>
        </w:tc>
        <w:tc>
          <w:tcPr>
            <w:tcW w:type="dxa" w:w="1337"/>
          </w:tcPr>
          <w:p>
            <w:pPr>
              <w:spacing w:line="240" w:lineRule="auto" w:before="0" w:after="0"/>
              <w:jc w:val="center"/>
            </w:pPr>
            <w:r>
              <w:rPr>
                <w:rFonts w:ascii="Times New Roman" w:hAnsi="Times New Roman"/>
                <w:color w:val="000000"/>
                <w:sz w:val="18"/>
              </w:rPr>
              <w:t>3.13</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0.356</w:t>
            </w:r>
          </w:p>
        </w:tc>
        <w:tc>
          <w:tcPr>
            <w:tcW w:type="dxa" w:w="1337"/>
          </w:tcPr>
          <w:p>
            <w:pPr>
              <w:spacing w:line="240" w:lineRule="auto" w:before="0" w:after="0"/>
              <w:jc w:val="center"/>
            </w:pPr>
            <w:r>
              <w:rPr>
                <w:rFonts w:ascii="Times New Roman" w:hAnsi="Times New Roman"/>
                <w:color w:val="000000"/>
                <w:sz w:val="18"/>
              </w:rPr>
              <w:t>6.38</w:t>
            </w:r>
          </w:p>
        </w:tc>
        <w:tc>
          <w:tcPr>
            <w:tcW w:type="dxa" w:w="1337"/>
          </w:tcPr>
          <w:p>
            <w:pPr>
              <w:spacing w:line="240" w:lineRule="auto" w:before="0" w:after="0"/>
              <w:jc w:val="center"/>
            </w:pPr>
            <w:r>
              <w:rPr>
                <w:rFonts w:ascii="Times New Roman" w:hAnsi="Times New Roman"/>
                <w:color w:val="000000"/>
                <w:sz w:val="18"/>
              </w:rPr>
              <w:t>-31.44</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0.21</w:t>
            </w:r>
          </w:p>
        </w:tc>
        <w:tc>
          <w:tcPr>
            <w:tcW w:type="dxa" w:w="1337"/>
          </w:tcPr>
          <w:p>
            <w:pPr>
              <w:spacing w:line="240" w:lineRule="auto" w:before="0" w:after="0"/>
              <w:jc w:val="center"/>
            </w:pPr>
            <w:r>
              <w:rPr>
                <w:rFonts w:ascii="Times New Roman" w:hAnsi="Times New Roman"/>
                <w:color w:val="000000"/>
                <w:sz w:val="18"/>
              </w:rPr>
              <w:t>2.98</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0.271</w:t>
            </w:r>
          </w:p>
        </w:tc>
        <w:tc>
          <w:tcPr>
            <w:tcW w:type="dxa" w:w="1337"/>
          </w:tcPr>
          <w:p>
            <w:pPr>
              <w:spacing w:line="240" w:lineRule="auto" w:before="0" w:after="0"/>
              <w:jc w:val="center"/>
            </w:pPr>
            <w:r>
              <w:rPr>
                <w:rFonts w:ascii="Times New Roman" w:hAnsi="Times New Roman"/>
                <w:color w:val="000000"/>
                <w:sz w:val="18"/>
              </w:rPr>
              <w:t>4.37</w:t>
            </w:r>
          </w:p>
        </w:tc>
        <w:tc>
          <w:tcPr>
            <w:tcW w:type="dxa" w:w="1337"/>
          </w:tcPr>
          <w:p>
            <w:pPr>
              <w:spacing w:line="240" w:lineRule="auto" w:before="0" w:after="0"/>
              <w:jc w:val="center"/>
            </w:pPr>
            <w:r>
              <w:rPr>
                <w:rFonts w:ascii="Times New Roman" w:hAnsi="Times New Roman"/>
                <w:color w:val="000000"/>
                <w:sz w:val="18"/>
              </w:rPr>
              <w:t>-23.15</w:t>
            </w:r>
          </w:p>
        </w:tc>
        <w:tc>
          <w:tcPr>
            <w:tcW w:type="dxa" w:w="1337"/>
          </w:tcPr>
          <w:p>
            <w:pPr>
              <w:spacing w:line="240" w:lineRule="auto" w:before="0" w:after="0"/>
              <w:jc w:val="center"/>
            </w:pPr>
            <w:r>
              <w:rPr>
                <w:rFonts w:ascii="Times New Roman" w:hAnsi="Times New Roman"/>
                <w:color w:val="000000"/>
                <w:sz w:val="18"/>
              </w:rPr>
              <w:t>19.06</w:t>
            </w:r>
          </w:p>
        </w:tc>
        <w:tc>
          <w:tcPr>
            <w:tcW w:type="dxa" w:w="1337"/>
          </w:tcPr>
          <w:p>
            <w:pPr>
              <w:spacing w:line="240" w:lineRule="auto" w:before="0" w:after="0"/>
              <w:jc w:val="center"/>
            </w:pPr>
            <w:r>
              <w:rPr>
                <w:rFonts w:ascii="Times New Roman" w:hAnsi="Times New Roman"/>
                <w:color w:val="000000"/>
                <w:sz w:val="18"/>
              </w:rPr>
              <w:t>0.02</w:t>
            </w:r>
          </w:p>
        </w:tc>
        <w:tc>
          <w:tcPr>
            <w:tcW w:type="dxa" w:w="1337"/>
          </w:tcPr>
          <w:p>
            <w:pPr>
              <w:spacing w:line="240" w:lineRule="auto" w:before="0" w:after="0"/>
              <w:jc w:val="center"/>
            </w:pPr>
            <w:r>
              <w:rPr>
                <w:rFonts w:ascii="Times New Roman" w:hAnsi="Times New Roman"/>
                <w:color w:val="000000"/>
                <w:sz w:val="18"/>
              </w:rPr>
              <w:t>4.90</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w:t>
            </w:r>
          </w:p>
        </w:tc>
        <w:tc>
          <w:tcPr>
            <w:tcW w:type="dxa" w:w="1337"/>
          </w:tcPr>
          <w:p>
            <w:pPr>
              <w:spacing w:line="240" w:lineRule="auto" w:before="0" w:after="0"/>
              <w:jc w:val="center"/>
            </w:pPr>
            <w:r>
              <w:rPr>
                <w:rFonts w:ascii="Times New Roman" w:hAnsi="Times New Roman"/>
                <w:color w:val="000000"/>
                <w:sz w:val="18"/>
              </w:rPr>
              <w:t>5.71</w:t>
            </w:r>
          </w:p>
        </w:tc>
        <w:tc>
          <w:tcPr>
            <w:tcW w:type="dxa" w:w="1337"/>
          </w:tcPr>
          <w:p>
            <w:pPr>
              <w:spacing w:line="240" w:lineRule="auto" w:before="0" w:after="0"/>
              <w:jc w:val="center"/>
            </w:pPr>
            <w:r>
              <w:rPr>
                <w:rFonts w:ascii="Times New Roman" w:hAnsi="Times New Roman"/>
                <w:color w:val="000000"/>
                <w:sz w:val="18"/>
              </w:rPr>
              <w:t>-37.65</w:t>
            </w:r>
          </w:p>
        </w:tc>
        <w:tc>
          <w:tcPr>
            <w:tcW w:type="dxa" w:w="1337"/>
          </w:tcPr>
          <w:p>
            <w:pPr>
              <w:spacing w:line="240" w:lineRule="auto" w:before="0" w:after="0"/>
              <w:jc w:val="center"/>
            </w:pPr>
            <w:r>
              <w:rPr>
                <w:rFonts w:ascii="Times New Roman" w:hAnsi="Times New Roman"/>
                <w:color w:val="000000"/>
                <w:sz w:val="18"/>
              </w:rPr>
              <w:t>37.68</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5.78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0.554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-20.46</w:t>
            </w:r>
          </w:p>
        </w:tc>
        <w:tc>
          <w:tcPr>
            <w:tcW w:type="dxa" w:w="1337"/>
          </w:tcPr>
          <w:p>
            <w:pPr>
              <w:spacing w:line="240" w:lineRule="auto" w:before="0" w:after="0"/>
              <w:jc w:val="center"/>
            </w:pPr>
            <w:r>
              <w:rPr>
                <w:rFonts w:ascii="Times New Roman" w:hAnsi="Times New Roman"/>
                <w:color w:val="000000"/>
                <w:sz w:val="18"/>
              </w:rPr>
              <w:t>27.03</w:t>
            </w:r>
          </w:p>
        </w:tc>
        <w:tc>
          <w:tcPr>
            <w:tcW w:type="dxa" w:w="1337"/>
          </w:tcPr>
          <w:p>
            <w:pPr>
              <w:spacing w:line="240" w:lineRule="auto" w:before="0" w:after="0"/>
              <w:jc w:val="center"/>
            </w:pPr>
            <w:r>
              <w:rPr>
                <w:rFonts w:ascii="Times New Roman" w:hAnsi="Times New Roman"/>
                <w:color w:val="000000"/>
                <w:sz w:val="18"/>
              </w:rPr>
              <w:t>0.46</w:t>
            </w:r>
          </w:p>
        </w:tc>
        <w:tc>
          <w:tcPr>
            <w:tcW w:type="dxa" w:w="1337"/>
          </w:tcPr>
          <w:p>
            <w:pPr>
              <w:spacing w:line="240" w:lineRule="auto" w:before="0" w:after="0"/>
              <w:jc w:val="center"/>
            </w:pPr>
            <w:r>
              <w:rPr>
                <w:rFonts w:ascii="Times New Roman" w:hAnsi="Times New Roman"/>
                <w:color w:val="000000"/>
                <w:sz w:val="18"/>
              </w:rPr>
              <w:t>3.22</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0.672</w:t>
            </w:r>
          </w:p>
        </w:tc>
        <w:tc>
          <w:tcPr>
            <w:tcW w:type="dxa" w:w="1337"/>
          </w:tcPr>
          <w:p>
            <w:pPr>
              <w:spacing w:line="240" w:lineRule="auto" w:before="0" w:after="0"/>
              <w:jc w:val="center"/>
            </w:pPr>
            <w:r>
              <w:rPr>
                <w:rFonts w:ascii="Times New Roman" w:hAnsi="Times New Roman"/>
                <w:color w:val="000000"/>
                <w:sz w:val="18"/>
              </w:rPr>
              <w:t>5.48</w:t>
            </w:r>
          </w:p>
        </w:tc>
        <w:tc>
          <w:tcPr>
            <w:tcW w:type="dxa" w:w="1337"/>
          </w:tcPr>
          <w:p>
            <w:pPr>
              <w:spacing w:line="240" w:lineRule="auto" w:before="0" w:after="0"/>
              <w:jc w:val="center"/>
            </w:pPr>
            <w:r>
              <w:rPr>
                <w:rFonts w:ascii="Times New Roman" w:hAnsi="Times New Roman"/>
                <w:color w:val="000000"/>
                <w:sz w:val="18"/>
              </w:rPr>
              <w:t>-25.36</w:t>
            </w:r>
          </w:p>
        </w:tc>
        <w:tc>
          <w:tcPr>
            <w:tcW w:type="dxa" w:w="1337"/>
          </w:tcPr>
          <w:p>
            <w:pPr>
              <w:spacing w:line="240" w:lineRule="auto" w:before="0" w:after="0"/>
              <w:jc w:val="center"/>
            </w:pPr>
            <w:r>
              <w:rPr>
                <w:rFonts w:ascii="Times New Roman" w:hAnsi="Times New Roman"/>
                <w:color w:val="000000"/>
                <w:sz w:val="18"/>
              </w:rPr>
              <w:t>23.38</w:t>
            </w:r>
          </w:p>
        </w:tc>
        <w:tc>
          <w:tcPr>
            <w:tcW w:type="dxa" w:w="1337"/>
          </w:tcPr>
          <w:p>
            <w:pPr>
              <w:spacing w:line="240" w:lineRule="auto" w:before="0" w:after="0"/>
              <w:jc w:val="center"/>
            </w:pPr>
            <w:r>
              <w:rPr>
                <w:rFonts w:ascii="Times New Roman" w:hAnsi="Times New Roman"/>
                <w:color w:val="000000"/>
                <w:sz w:val="18"/>
              </w:rPr>
              <w:t>0.44</w:t>
            </w:r>
          </w:p>
        </w:tc>
        <w:tc>
          <w:tcPr>
            <w:tcW w:type="dxa" w:w="1337"/>
          </w:tcPr>
          <w:p>
            <w:pPr>
              <w:spacing w:line="240" w:lineRule="auto" w:before="0" w:after="0"/>
              <w:jc w:val="center"/>
            </w:pPr>
            <w:r>
              <w:rPr>
                <w:rFonts w:ascii="Times New Roman" w:hAnsi="Times New Roman"/>
                <w:color w:val="000000"/>
                <w:sz w:val="18"/>
              </w:rPr>
              <w:t>2.94</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0.244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-20.91</w:t>
            </w:r>
          </w:p>
        </w:tc>
        <w:tc>
          <w:tcPr>
            <w:tcW w:type="dxa" w:w="1337"/>
          </w:tcPr>
          <w:p>
            <w:pPr>
              <w:spacing w:line="240" w:lineRule="auto" w:before="0" w:after="0"/>
              <w:jc w:val="center"/>
            </w:pPr>
            <w:r>
              <w:rPr>
                <w:rFonts w:ascii="Times New Roman" w:hAnsi="Times New Roman"/>
                <w:color w:val="000000"/>
                <w:sz w:val="18"/>
              </w:rPr>
              <w:t>26.22</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3.24</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0.199</w:t>
            </w:r>
          </w:p>
        </w:tc>
        <w:tc>
          <w:tcPr>
            <w:tcW w:type="dxa" w:w="1337"/>
          </w:tcPr>
          <w:p>
            <w:pPr>
              <w:spacing w:line="240" w:lineRule="auto" w:before="0" w:after="0"/>
              <w:jc w:val="center"/>
            </w:pPr>
            <w:r>
              <w:rPr>
                <w:rFonts w:ascii="Times New Roman" w:hAnsi="Times New Roman"/>
                <w:color w:val="000000"/>
                <w:sz w:val="18"/>
              </w:rPr>
              <w:t>6.95</w:t>
            </w:r>
          </w:p>
        </w:tc>
        <w:tc>
          <w:tcPr>
            <w:tcW w:type="dxa" w:w="1337"/>
          </w:tcPr>
          <w:p>
            <w:pPr>
              <w:spacing w:line="240" w:lineRule="auto" w:before="0" w:after="0"/>
              <w:jc w:val="center"/>
            </w:pPr>
            <w:r>
              <w:rPr>
                <w:rFonts w:ascii="Times New Roman" w:hAnsi="Times New Roman"/>
                <w:color w:val="000000"/>
                <w:sz w:val="18"/>
              </w:rPr>
              <w:t>-34.94</w:t>
            </w:r>
          </w:p>
        </w:tc>
        <w:tc>
          <w:tcPr>
            <w:tcW w:type="dxa" w:w="1337"/>
          </w:tcPr>
          <w:p>
            <w:pPr>
              <w:spacing w:line="240" w:lineRule="auto" w:before="0" w:after="0"/>
              <w:jc w:val="center"/>
            </w:pPr>
            <w:r>
              <w:rPr>
                <w:rFonts w:ascii="Times New Roman" w:hAnsi="Times New Roman"/>
                <w:color w:val="000000"/>
                <w:sz w:val="18"/>
              </w:rPr>
              <w:t>30.35</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3.74</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0.538</w:t>
            </w:r>
          </w:p>
        </w:tc>
        <w:tc>
          <w:tcPr>
            <w:tcW w:type="dxa" w:w="1337"/>
          </w:tcPr>
          <w:p>
            <w:pPr>
              <w:spacing w:line="240" w:lineRule="auto" w:before="0" w:after="0"/>
              <w:jc w:val="center"/>
            </w:pPr>
            <w:r>
              <w:rPr>
                <w:rFonts w:ascii="Times New Roman" w:hAnsi="Times New Roman"/>
                <w:color w:val="000000"/>
                <w:sz w:val="18"/>
              </w:rPr>
              <w:t>10.20</w:t>
            </w:r>
          </w:p>
        </w:tc>
        <w:tc>
          <w:tcPr>
            <w:tcW w:type="dxa" w:w="1337"/>
          </w:tcPr>
          <w:p>
            <w:pPr>
              <w:spacing w:line="240" w:lineRule="auto" w:before="0" w:after="0"/>
              <w:jc w:val="center"/>
            </w:pPr>
            <w:r>
              <w:rPr>
                <w:rFonts w:ascii="Times New Roman" w:hAnsi="Times New Roman"/>
                <w:color w:val="000000"/>
                <w:sz w:val="18"/>
              </w:rPr>
              <w:t>-50.01</w:t>
            </w:r>
          </w:p>
        </w:tc>
        <w:tc>
          <w:tcPr>
            <w:tcW w:type="dxa" w:w="1337"/>
          </w:tcPr>
          <w:p>
            <w:pPr>
              <w:spacing w:line="240" w:lineRule="auto" w:before="0" w:after="0"/>
              <w:jc w:val="center"/>
            </w:pPr>
            <w:r>
              <w:rPr>
                <w:rFonts w:ascii="Times New Roman" w:hAnsi="Times New Roman"/>
                <w:color w:val="000000"/>
                <w:sz w:val="18"/>
              </w:rPr>
              <w:t>139.61</w:t>
            </w:r>
          </w:p>
        </w:tc>
        <w:tc>
          <w:tcPr>
            <w:tcW w:type="dxa" w:w="1337"/>
          </w:tcPr>
          <w:p>
            <w:pPr>
              <w:spacing w:line="240" w:lineRule="auto" w:before="0" w:after="0"/>
              <w:jc w:val="center"/>
            </w:pPr>
            <w:r>
              <w:rPr>
                <w:rFonts w:ascii="Times New Roman" w:hAnsi="Times New Roman"/>
                <w:color w:val="000000"/>
                <w:sz w:val="18"/>
              </w:rPr>
              <w:t>3.41</w:t>
            </w:r>
          </w:p>
        </w:tc>
        <w:tc>
          <w:tcPr>
            <w:tcW w:type="dxa" w:w="1337"/>
          </w:tcPr>
          <w:p>
            <w:pPr>
              <w:spacing w:line="240" w:lineRule="auto" w:before="0" w:after="0"/>
              <w:jc w:val="center"/>
            </w:pPr>
            <w:r>
              <w:rPr>
                <w:rFonts w:ascii="Times New Roman" w:hAnsi="Times New Roman"/>
                <w:color w:val="000000"/>
                <w:sz w:val="18"/>
              </w:rPr>
              <w:t>43.07</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0.156</w:t>
            </w:r>
          </w:p>
        </w:tc>
        <w:tc>
          <w:tcPr>
            <w:tcW w:type="dxa" w:w="1337"/>
          </w:tcPr>
          <w:p>
            <w:pPr>
              <w:spacing w:line="240" w:lineRule="auto" w:before="0" w:after="0"/>
              <w:jc w:val="center"/>
            </w:pPr>
            <w:r>
              <w:rPr>
                <w:rFonts w:ascii="Times New Roman" w:hAnsi="Times New Roman"/>
                <w:color w:val="000000"/>
                <w:sz w:val="18"/>
              </w:rPr>
              <w:t>6.71</w:t>
            </w:r>
          </w:p>
        </w:tc>
        <w:tc>
          <w:tcPr>
            <w:tcW w:type="dxa" w:w="1337"/>
          </w:tcPr>
          <w:p>
            <w:pPr>
              <w:spacing w:line="240" w:lineRule="auto" w:before="0" w:after="0"/>
              <w:jc w:val="center"/>
            </w:pPr>
            <w:r>
              <w:rPr>
                <w:rFonts w:ascii="Times New Roman" w:hAnsi="Times New Roman"/>
                <w:color w:val="000000"/>
                <w:sz w:val="18"/>
              </w:rPr>
              <w:t>-31.59</w:t>
            </w:r>
          </w:p>
        </w:tc>
        <w:tc>
          <w:tcPr>
            <w:tcW w:type="dxa" w:w="1337"/>
          </w:tcPr>
          <w:p>
            <w:pPr>
              <w:spacing w:line="240" w:lineRule="auto" w:before="0" w:after="0"/>
              <w:jc w:val="center"/>
            </w:pPr>
            <w:r>
              <w:rPr>
                <w:rFonts w:ascii="Times New Roman" w:hAnsi="Times New Roman"/>
                <w:color w:val="000000"/>
                <w:sz w:val="18"/>
              </w:rPr>
              <w:t>47.43</w:t>
            </w:r>
          </w:p>
        </w:tc>
        <w:tc>
          <w:tcPr>
            <w:tcW w:type="dxa" w:w="1337"/>
          </w:tcPr>
          <w:p>
            <w:pPr>
              <w:spacing w:line="240" w:lineRule="auto" w:before="0" w:after="0"/>
              <w:jc w:val="center"/>
            </w:pPr>
            <w:r>
              <w:rPr>
                <w:rFonts w:ascii="Times New Roman" w:hAnsi="Times New Roman"/>
                <w:color w:val="000000"/>
                <w:sz w:val="18"/>
              </w:rPr>
              <w:t>0.38</w:t>
            </w:r>
          </w:p>
        </w:tc>
        <w:tc>
          <w:tcPr>
            <w:tcW w:type="dxa" w:w="1337"/>
          </w:tcPr>
          <w:p>
            <w:pPr>
              <w:spacing w:line="240" w:lineRule="auto" w:before="0" w:after="0"/>
              <w:jc w:val="center"/>
            </w:pPr>
            <w:r>
              <w:rPr>
                <w:rFonts w:ascii="Times New Roman" w:hAnsi="Times New Roman"/>
                <w:color w:val="000000"/>
                <w:sz w:val="18"/>
              </w:rPr>
              <w:t>4.74</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0.216</w:t>
            </w:r>
          </w:p>
        </w:tc>
        <w:tc>
          <w:tcPr>
            <w:tcW w:type="dxa" w:w="1337"/>
          </w:tcPr>
          <w:p>
            <w:pPr>
              <w:spacing w:line="240" w:lineRule="auto" w:before="0" w:after="0"/>
              <w:jc w:val="center"/>
            </w:pPr>
            <w:r>
              <w:rPr>
                <w:rFonts w:ascii="Times New Roman" w:hAnsi="Times New Roman"/>
                <w:color w:val="000000"/>
                <w:sz w:val="18"/>
              </w:rPr>
              <w:t>6.18</w:t>
            </w:r>
          </w:p>
        </w:tc>
        <w:tc>
          <w:tcPr>
            <w:tcW w:type="dxa" w:w="1337"/>
          </w:tcPr>
          <w:p>
            <w:pPr>
              <w:spacing w:line="240" w:lineRule="auto" w:before="0" w:after="0"/>
              <w:jc w:val="center"/>
            </w:pPr>
            <w:r>
              <w:rPr>
                <w:rFonts w:ascii="Times New Roman" w:hAnsi="Times New Roman"/>
                <w:color w:val="000000"/>
                <w:sz w:val="18"/>
              </w:rPr>
              <w:t>-21.67</w:t>
            </w:r>
          </w:p>
        </w:tc>
        <w:tc>
          <w:tcPr>
            <w:tcW w:type="dxa" w:w="1337"/>
          </w:tcPr>
          <w:p>
            <w:pPr>
              <w:spacing w:line="240" w:lineRule="auto" w:before="0" w:after="0"/>
              <w:jc w:val="center"/>
            </w:pPr>
            <w:r>
              <w:rPr>
                <w:rFonts w:ascii="Times New Roman" w:hAnsi="Times New Roman"/>
                <w:color w:val="000000"/>
                <w:sz w:val="18"/>
              </w:rPr>
              <w:t>29.45</w:t>
            </w:r>
          </w:p>
        </w:tc>
        <w:tc>
          <w:tcPr>
            <w:tcW w:type="dxa" w:w="1337"/>
          </w:tcPr>
          <w:p>
            <w:pPr>
              <w:spacing w:line="240" w:lineRule="auto" w:before="0" w:after="0"/>
              <w:jc w:val="center"/>
            </w:pPr>
            <w:r>
              <w:rPr>
                <w:rFonts w:ascii="Times New Roman" w:hAnsi="Times New Roman"/>
                <w:color w:val="000000"/>
                <w:sz w:val="18"/>
              </w:rPr>
              <w:t>0.35</w:t>
            </w:r>
          </w:p>
        </w:tc>
        <w:tc>
          <w:tcPr>
            <w:tcW w:type="dxa" w:w="1337"/>
          </w:tcPr>
          <w:p>
            <w:pPr>
              <w:spacing w:line="240" w:lineRule="auto" w:before="0" w:after="0"/>
              <w:jc w:val="center"/>
            </w:pPr>
            <w:r>
              <w:rPr>
                <w:rFonts w:ascii="Times New Roman" w:hAnsi="Times New Roman"/>
                <w:color w:val="000000"/>
                <w:sz w:val="18"/>
              </w:rPr>
              <w:t>2.82</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0.147</w:t>
            </w:r>
          </w:p>
        </w:tc>
        <w:tc>
          <w:tcPr>
            <w:tcW w:type="dxa" w:w="1337"/>
          </w:tcPr>
          <w:p>
            <w:pPr>
              <w:spacing w:line="240" w:lineRule="auto" w:before="0" w:after="0"/>
              <w:jc w:val="center"/>
            </w:pPr>
            <w:r>
              <w:rPr>
                <w:rFonts w:ascii="Times New Roman" w:hAnsi="Times New Roman"/>
                <w:color w:val="000000"/>
                <w:sz w:val="18"/>
              </w:rPr>
              <w:t>5.84</w:t>
            </w:r>
          </w:p>
        </w:tc>
        <w:tc>
          <w:tcPr>
            <w:tcW w:type="dxa" w:w="1337"/>
          </w:tcPr>
          <w:p>
            <w:pPr>
              <w:spacing w:line="240" w:lineRule="auto" w:before="0" w:after="0"/>
              <w:jc w:val="center"/>
            </w:pPr>
            <w:r>
              <w:rPr>
                <w:rFonts w:ascii="Times New Roman" w:hAnsi="Times New Roman"/>
                <w:color w:val="000000"/>
                <w:sz w:val="18"/>
              </w:rPr>
              <w:t>-30.91</w:t>
            </w:r>
          </w:p>
        </w:tc>
        <w:tc>
          <w:tcPr>
            <w:tcW w:type="dxa" w:w="1337"/>
          </w:tcPr>
          <w:p>
            <w:pPr>
              <w:spacing w:line="240" w:lineRule="auto" w:before="0" w:after="0"/>
              <w:jc w:val="center"/>
            </w:pPr>
            <w:r>
              <w:rPr>
                <w:rFonts w:ascii="Times New Roman" w:hAnsi="Times New Roman"/>
                <w:color w:val="000000"/>
                <w:sz w:val="18"/>
              </w:rPr>
              <w:t>29.16</w:t>
            </w:r>
          </w:p>
        </w:tc>
        <w:tc>
          <w:tcPr>
            <w:tcW w:type="dxa" w:w="1337"/>
          </w:tcPr>
          <w:p>
            <w:pPr>
              <w:spacing w:line="240" w:lineRule="auto" w:before="0" w:after="0"/>
              <w:jc w:val="center"/>
            </w:pPr>
            <w:r>
              <w:rPr>
                <w:rFonts w:ascii="Times New Roman" w:hAnsi="Times New Roman"/>
                <w:color w:val="000000"/>
                <w:sz w:val="18"/>
              </w:rPr>
              <w:t>-0.04</w:t>
            </w:r>
          </w:p>
        </w:tc>
        <w:tc>
          <w:tcPr>
            <w:tcW w:type="dxa" w:w="1337"/>
          </w:tcPr>
          <w:p>
            <w:pPr>
              <w:spacing w:line="240" w:lineRule="auto" w:before="0" w:after="0"/>
              <w:jc w:val="center"/>
            </w:pPr>
            <w:r>
              <w:rPr>
                <w:rFonts w:ascii="Times New Roman" w:hAnsi="Times New Roman"/>
                <w:color w:val="000000"/>
                <w:sz w:val="18"/>
              </w:rPr>
              <w:t>3.30</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0.350</w:t>
            </w:r>
          </w:p>
        </w:tc>
        <w:tc>
          <w:tcPr>
            <w:tcW w:type="dxa" w:w="1337"/>
          </w:tcPr>
          <w:p>
            <w:pPr>
              <w:spacing w:line="240" w:lineRule="auto" w:before="0" w:after="0"/>
              <w:jc w:val="center"/>
            </w:pPr>
            <w:r>
              <w:rPr>
                <w:rFonts w:ascii="Times New Roman" w:hAnsi="Times New Roman"/>
                <w:color w:val="000000"/>
                <w:sz w:val="18"/>
              </w:rPr>
              <w:t>8.60</w:t>
            </w:r>
          </w:p>
        </w:tc>
        <w:tc>
          <w:tcPr>
            <w:tcW w:type="dxa" w:w="1337"/>
          </w:tcPr>
          <w:p>
            <w:pPr>
              <w:spacing w:line="240" w:lineRule="auto" w:before="0" w:after="0"/>
              <w:jc w:val="center"/>
            </w:pPr>
            <w:r>
              <w:rPr>
                <w:rFonts w:ascii="Times New Roman" w:hAnsi="Times New Roman"/>
                <w:color w:val="000000"/>
                <w:sz w:val="18"/>
              </w:rPr>
              <w:t>-33.00</w:t>
            </w:r>
          </w:p>
        </w:tc>
        <w:tc>
          <w:tcPr>
            <w:tcW w:type="dxa" w:w="1337"/>
          </w:tcPr>
          <w:p>
            <w:pPr>
              <w:spacing w:line="240" w:lineRule="auto" w:before="0" w:after="0"/>
              <w:jc w:val="center"/>
            </w:pPr>
            <w:r>
              <w:rPr>
                <w:rFonts w:ascii="Times New Roman" w:hAnsi="Times New Roman"/>
                <w:color w:val="000000"/>
                <w:sz w:val="18"/>
              </w:rPr>
              <w:t>106.29</w:t>
            </w:r>
          </w:p>
        </w:tc>
        <w:tc>
          <w:tcPr>
            <w:tcW w:type="dxa" w:w="1337"/>
          </w:tcPr>
          <w:p>
            <w:pPr>
              <w:spacing w:line="240" w:lineRule="auto" w:before="0" w:after="0"/>
              <w:jc w:val="center"/>
            </w:pPr>
            <w:r>
              <w:rPr>
                <w:rFonts w:ascii="Times New Roman" w:hAnsi="Times New Roman"/>
                <w:color w:val="000000"/>
                <w:sz w:val="18"/>
              </w:rPr>
              <w:t>2.86</w:t>
            </w:r>
          </w:p>
        </w:tc>
        <w:tc>
          <w:tcPr>
            <w:tcW w:type="dxa" w:w="1337"/>
          </w:tcPr>
          <w:p>
            <w:pPr>
              <w:spacing w:line="240" w:lineRule="auto" w:before="0" w:after="0"/>
              <w:jc w:val="center"/>
            </w:pPr>
            <w:r>
              <w:rPr>
                <w:rFonts w:ascii="Times New Roman" w:hAnsi="Times New Roman"/>
                <w:color w:val="000000"/>
                <w:sz w:val="18"/>
              </w:rPr>
              <w:t>29.82</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0.205</w:t>
            </w:r>
          </w:p>
        </w:tc>
        <w:tc>
          <w:tcPr>
            <w:tcW w:type="dxa" w:w="1337"/>
          </w:tcPr>
          <w:p>
            <w:pPr>
              <w:spacing w:line="240" w:lineRule="auto" w:before="0" w:after="0"/>
              <w:jc w:val="center"/>
            </w:pPr>
            <w:r>
              <w:rPr>
                <w:rFonts w:ascii="Times New Roman" w:hAnsi="Times New Roman"/>
                <w:color w:val="000000"/>
                <w:sz w:val="18"/>
              </w:rPr>
              <w:t>5.28</w:t>
            </w:r>
          </w:p>
        </w:tc>
        <w:tc>
          <w:tcPr>
            <w:tcW w:type="dxa" w:w="1337"/>
          </w:tcPr>
          <w:p>
            <w:pPr>
              <w:spacing w:line="240" w:lineRule="auto" w:before="0" w:after="0"/>
              <w:jc w:val="center"/>
            </w:pPr>
            <w:r>
              <w:rPr>
                <w:rFonts w:ascii="Times New Roman" w:hAnsi="Times New Roman"/>
                <w:color w:val="000000"/>
                <w:sz w:val="18"/>
              </w:rPr>
              <w:t>-45.70</w:t>
            </w:r>
          </w:p>
        </w:tc>
        <w:tc>
          <w:tcPr>
            <w:tcW w:type="dxa" w:w="1337"/>
          </w:tcPr>
          <w:p>
            <w:pPr>
              <w:spacing w:line="240" w:lineRule="auto" w:before="0" w:after="0"/>
              <w:jc w:val="center"/>
            </w:pPr>
            <w:r>
              <w:rPr>
                <w:rFonts w:ascii="Times New Roman" w:hAnsi="Times New Roman"/>
                <w:color w:val="000000"/>
                <w:sz w:val="18"/>
              </w:rPr>
              <w:t>28.17</w:t>
            </w:r>
          </w:p>
        </w:tc>
        <w:tc>
          <w:tcPr>
            <w:tcW w:type="dxa" w:w="1337"/>
          </w:tcPr>
          <w:p>
            <w:pPr>
              <w:spacing w:line="240" w:lineRule="auto" w:before="0" w:after="0"/>
              <w:jc w:val="center"/>
            </w:pPr>
            <w:r>
              <w:rPr>
                <w:rFonts w:ascii="Times New Roman" w:hAnsi="Times New Roman"/>
                <w:color w:val="000000"/>
                <w:sz w:val="18"/>
              </w:rPr>
              <w:t>-0.80</w:t>
            </w:r>
          </w:p>
        </w:tc>
        <w:tc>
          <w:tcPr>
            <w:tcW w:type="dxa" w:w="1337"/>
          </w:tcPr>
          <w:p>
            <w:pPr>
              <w:spacing w:line="240" w:lineRule="auto" w:before="0" w:after="0"/>
              <w:jc w:val="center"/>
            </w:pPr>
            <w:r>
              <w:rPr>
                <w:rFonts w:ascii="Times New Roman" w:hAnsi="Times New Roman"/>
                <w:color w:val="000000"/>
                <w:sz w:val="18"/>
              </w:rPr>
              <w:t>9.92</w:t>
            </w:r>
          </w:p>
        </w:tc>
      </w:tr>
    </w:tbl>
    <w:p>
      <w:pPr>
        <w:keepNext/>
        <w:spacing w:line="276" w:lineRule="auto" w:before="40" w:after="160"/>
        <w:jc w:val="left"/>
      </w:pPr>
      <w:r>
        <w:rPr>
          <w:rFonts w:ascii="Times New Roman" w:hAnsi="Times New Roman"/>
          <w:i/>
          <w:color w:val="000000"/>
          <w:sz w:val="20"/>
        </w:rPr>
        <w:t>Source: Author's computation (2026). Note: Kurtosis denotes excess kurtosis across all 28 assets. Minimum and maximum values represent continuously compounded weekly log returns (ln(Pt/Pt-1) * 100), where extreme outliers (MANSARD -127.16%, TRANSCORP +139.61%, WEMABANK +106.29%) reflect historical exchange corporate actions and penny-stock re-pricings. Prices were not adjusted for corporate actions; these observations reflect mechanical price changes rather than economic returns and inflate the reported kurtosis for these three assets.</w:t>
      </w:r>
    </w:p>
    <w:p>
      <w:pPr>
        <w:keepNext/>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ind w:firstLine="72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(Jarque &amp; Bera, 1987) and Shapiro-Wilk (SW) test (Shapiro &amp; Wilk, 1965) were evaluated against the null hypothesis of normality, while the Augmented Dickey-Fuller (ADF) test (Dickey &amp; Fuller, 1979) evaluated time-series stationarity across all 28 assets.</w:t>
      </w:r>
    </w:p>
    <w:p>
      <w:pPr>
        <w:keepNext/>
        <w:spacing w:line="276" w:lineRule="auto" w:before="160" w:after="40"/>
        <w:jc w:val="left"/>
      </w:pPr>
      <w:r>
        <w:rPr>
          <w:rFonts w:ascii="Times New Roman" w:hAnsi="Times New Roman"/>
          <w:b/>
          <w:color w:val="000000"/>
          <w:sz w:val="22"/>
        </w:rPr>
        <w:t>Table 4.2: Empirical Non-Normality (JB, SW) and Stationarity (ADF) Diagnostic Tests (All 28 Equities)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JB Stat</w:t>
            </w:r>
          </w:p>
        </w:tc>
        <w:tc>
          <w:tcPr>
            <w:tcW w:type="dxa" w:w="1337"/>
          </w:tcPr>
          <w:p>
            <w:pPr>
              <w:spacing w:line="240" w:lineRule="auto" w:before="0" w:after="0"/>
              <w:jc w:val="center"/>
            </w:pPr>
            <w:r>
              <w:rPr>
                <w:rFonts w:ascii="Times New Roman" w:hAnsi="Times New Roman"/>
                <w:b/>
                <w:color w:val="000000"/>
                <w:sz w:val="19"/>
              </w:rPr>
              <w:t>JB p-val</w:t>
            </w:r>
          </w:p>
        </w:tc>
        <w:tc>
          <w:tcPr>
            <w:tcW w:type="dxa" w:w="1337"/>
          </w:tcPr>
          <w:p>
            <w:pPr>
              <w:spacing w:line="240" w:lineRule="auto" w:before="0" w:after="0"/>
              <w:jc w:val="center"/>
            </w:pPr>
            <w:r>
              <w:rPr>
                <w:rFonts w:ascii="Times New Roman" w:hAnsi="Times New Roman"/>
                <w:b/>
                <w:color w:val="000000"/>
                <w:sz w:val="19"/>
              </w:rPr>
              <w:t>SW Stat</w:t>
            </w:r>
          </w:p>
        </w:tc>
        <w:tc>
          <w:tcPr>
            <w:tcW w:type="dxa" w:w="1337"/>
          </w:tcPr>
          <w:p>
            <w:pPr>
              <w:spacing w:line="240" w:lineRule="auto" w:before="0" w:after="0"/>
              <w:jc w:val="center"/>
            </w:pPr>
            <w:r>
              <w:rPr>
                <w:rFonts w:ascii="Times New Roman" w:hAnsi="Times New Roman"/>
                <w:b/>
                <w:color w:val="000000"/>
                <w:sz w:val="19"/>
              </w:rPr>
              <w:t>ADF Stat</w:t>
            </w:r>
          </w:p>
        </w:tc>
        <w:tc>
          <w:tcPr>
            <w:tcW w:type="dxa" w:w="1337"/>
          </w:tcPr>
          <w:p>
            <w:pPr>
              <w:spacing w:line="240" w:lineRule="auto" w:before="0" w:after="0"/>
              <w:jc w:val="center"/>
            </w:pPr>
            <w:r>
              <w:rPr>
                <w:rFonts w:ascii="Times New Roman" w:hAnsi="Times New Roman"/>
                <w:b/>
                <w:color w:val="000000"/>
                <w:sz w:val="19"/>
              </w:rPr>
              <w:t>ADF p-val</w:t>
            </w:r>
          </w:p>
        </w:tc>
        <w:tc>
          <w:tcPr>
            <w:tcW w:type="dxa" w:w="1337"/>
          </w:tcPr>
          <w:p>
            <w:pPr>
              <w:spacing w:line="240" w:lineRule="auto" w:before="0" w:after="0"/>
              <w:jc w:val="center"/>
            </w:pPr>
            <w:r>
              <w:rPr>
                <w:rFonts w:ascii="Times New Roman" w:hAnsi="Times New Roman"/>
                <w:b/>
                <w:color w:val="000000"/>
                <w:sz w:val="19"/>
              </w:rPr>
              <w:t>Stationary</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2087.1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0.776</w:t>
            </w:r>
          </w:p>
        </w:tc>
        <w:tc>
          <w:tcPr>
            <w:tcW w:type="dxa" w:w="1337"/>
          </w:tcPr>
          <w:p>
            <w:pPr>
              <w:spacing w:line="240" w:lineRule="auto" w:before="0" w:after="0"/>
              <w:jc w:val="center"/>
            </w:pPr>
            <w:r>
              <w:rPr>
                <w:rFonts w:ascii="Times New Roman" w:hAnsi="Times New Roman"/>
                <w:color w:val="000000"/>
                <w:sz w:val="18"/>
              </w:rPr>
              <w:t>-25.69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181.1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0.951</w:t>
            </w:r>
          </w:p>
        </w:tc>
        <w:tc>
          <w:tcPr>
            <w:tcW w:type="dxa" w:w="1337"/>
          </w:tcPr>
          <w:p>
            <w:pPr>
              <w:spacing w:line="240" w:lineRule="auto" w:before="0" w:after="0"/>
              <w:jc w:val="center"/>
            </w:pPr>
            <w:r>
              <w:rPr>
                <w:rFonts w:ascii="Times New Roman" w:hAnsi="Times New Roman"/>
                <w:color w:val="000000"/>
                <w:sz w:val="18"/>
              </w:rPr>
              <w:t>-31.89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7652.5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-11.74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467.7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-5.42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637.1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-16.12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528.6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0.939</w:t>
            </w:r>
          </w:p>
        </w:tc>
        <w:tc>
          <w:tcPr>
            <w:tcW w:type="dxa" w:w="1337"/>
          </w:tcPr>
          <w:p>
            <w:pPr>
              <w:spacing w:line="240" w:lineRule="auto" w:before="0" w:after="0"/>
              <w:jc w:val="center"/>
            </w:pPr>
            <w:r>
              <w:rPr>
                <w:rFonts w:ascii="Times New Roman" w:hAnsi="Times New Roman"/>
                <w:color w:val="000000"/>
                <w:sz w:val="18"/>
              </w:rPr>
              <w:t>-14.02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372.8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0.948</w:t>
            </w:r>
          </w:p>
        </w:tc>
        <w:tc>
          <w:tcPr>
            <w:tcW w:type="dxa" w:w="1337"/>
          </w:tcPr>
          <w:p>
            <w:pPr>
              <w:spacing w:line="240" w:lineRule="auto" w:before="0" w:after="0"/>
              <w:jc w:val="center"/>
            </w:pPr>
            <w:r>
              <w:rPr>
                <w:rFonts w:ascii="Times New Roman" w:hAnsi="Times New Roman"/>
                <w:color w:val="000000"/>
                <w:sz w:val="18"/>
              </w:rPr>
              <w:t>-32.13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531.0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-30.14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617.0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0.931</w:t>
            </w:r>
          </w:p>
        </w:tc>
        <w:tc>
          <w:tcPr>
            <w:tcW w:type="dxa" w:w="1337"/>
          </w:tcPr>
          <w:p>
            <w:pPr>
              <w:spacing w:line="240" w:lineRule="auto" w:before="0" w:after="0"/>
              <w:jc w:val="center"/>
            </w:pPr>
            <w:r>
              <w:rPr>
                <w:rFonts w:ascii="Times New Roman" w:hAnsi="Times New Roman"/>
                <w:color w:val="000000"/>
                <w:sz w:val="18"/>
              </w:rPr>
              <w:t>-9.01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877.0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-30.74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629.1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0.890</w:t>
            </w:r>
          </w:p>
        </w:tc>
        <w:tc>
          <w:tcPr>
            <w:tcW w:type="dxa" w:w="1337"/>
          </w:tcPr>
          <w:p>
            <w:pPr>
              <w:spacing w:line="240" w:lineRule="auto" w:before="0" w:after="0"/>
              <w:jc w:val="center"/>
            </w:pPr>
            <w:r>
              <w:rPr>
                <w:rFonts w:ascii="Times New Roman" w:hAnsi="Times New Roman"/>
                <w:color w:val="000000"/>
                <w:sz w:val="18"/>
              </w:rPr>
              <w:t>-17.00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727.9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0.863</w:t>
            </w:r>
          </w:p>
        </w:tc>
        <w:tc>
          <w:tcPr>
            <w:tcW w:type="dxa" w:w="1337"/>
          </w:tcPr>
          <w:p>
            <w:pPr>
              <w:spacing w:line="240" w:lineRule="auto" w:before="0" w:after="0"/>
              <w:jc w:val="center"/>
            </w:pPr>
            <w:r>
              <w:rPr>
                <w:rFonts w:ascii="Times New Roman" w:hAnsi="Times New Roman"/>
                <w:color w:val="000000"/>
                <w:sz w:val="18"/>
              </w:rPr>
              <w:t>-7.42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925.3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-18.98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196037.5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0.708</w:t>
            </w:r>
          </w:p>
        </w:tc>
        <w:tc>
          <w:tcPr>
            <w:tcW w:type="dxa" w:w="1337"/>
          </w:tcPr>
          <w:p>
            <w:pPr>
              <w:spacing w:line="240" w:lineRule="auto" w:before="0" w:after="0"/>
              <w:jc w:val="center"/>
            </w:pPr>
            <w:r>
              <w:rPr>
                <w:rFonts w:ascii="Times New Roman" w:hAnsi="Times New Roman"/>
                <w:color w:val="000000"/>
                <w:sz w:val="18"/>
              </w:rPr>
              <w:t>-30.94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364.9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0.949</w:t>
            </w:r>
          </w:p>
        </w:tc>
        <w:tc>
          <w:tcPr>
            <w:tcW w:type="dxa" w:w="1337"/>
          </w:tcPr>
          <w:p>
            <w:pPr>
              <w:spacing w:line="240" w:lineRule="auto" w:before="0" w:after="0"/>
              <w:jc w:val="center"/>
            </w:pPr>
            <w:r>
              <w:rPr>
                <w:rFonts w:ascii="Times New Roman" w:hAnsi="Times New Roman"/>
                <w:color w:val="000000"/>
                <w:sz w:val="18"/>
              </w:rPr>
              <w:t>-31.30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315.8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0.930</w:t>
            </w:r>
          </w:p>
        </w:tc>
        <w:tc>
          <w:tcPr>
            <w:tcW w:type="dxa" w:w="1337"/>
          </w:tcPr>
          <w:p>
            <w:pPr>
              <w:spacing w:line="240" w:lineRule="auto" w:before="0" w:after="0"/>
              <w:jc w:val="center"/>
            </w:pPr>
            <w:r>
              <w:rPr>
                <w:rFonts w:ascii="Times New Roman" w:hAnsi="Times New Roman"/>
                <w:color w:val="000000"/>
                <w:sz w:val="18"/>
              </w:rPr>
              <w:t>-21.59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834.9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0.850</w:t>
            </w:r>
          </w:p>
        </w:tc>
        <w:tc>
          <w:tcPr>
            <w:tcW w:type="dxa" w:w="1337"/>
          </w:tcPr>
          <w:p>
            <w:pPr>
              <w:spacing w:line="240" w:lineRule="auto" w:before="0" w:after="0"/>
              <w:jc w:val="center"/>
            </w:pPr>
            <w:r>
              <w:rPr>
                <w:rFonts w:ascii="Times New Roman" w:hAnsi="Times New Roman"/>
                <w:color w:val="000000"/>
                <w:sz w:val="18"/>
              </w:rPr>
              <w:t>-28.24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1166.5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0.929</w:t>
            </w:r>
          </w:p>
        </w:tc>
        <w:tc>
          <w:tcPr>
            <w:tcW w:type="dxa" w:w="1337"/>
          </w:tcPr>
          <w:p>
            <w:pPr>
              <w:spacing w:line="240" w:lineRule="auto" w:before="0" w:after="0"/>
              <w:jc w:val="center"/>
            </w:pPr>
            <w:r>
              <w:rPr>
                <w:rFonts w:ascii="Times New Roman" w:hAnsi="Times New Roman"/>
                <w:color w:val="000000"/>
                <w:sz w:val="18"/>
              </w:rPr>
              <w:t>-12.18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389.3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0.879</w:t>
            </w:r>
          </w:p>
        </w:tc>
        <w:tc>
          <w:tcPr>
            <w:tcW w:type="dxa" w:w="1337"/>
          </w:tcPr>
          <w:p>
            <w:pPr>
              <w:spacing w:line="240" w:lineRule="auto" w:before="0" w:after="0"/>
              <w:jc w:val="center"/>
            </w:pPr>
            <w:r>
              <w:rPr>
                <w:rFonts w:ascii="Times New Roman" w:hAnsi="Times New Roman"/>
                <w:color w:val="000000"/>
                <w:sz w:val="18"/>
              </w:rPr>
              <w:t>-27.00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328.3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0.894</w:t>
            </w:r>
          </w:p>
        </w:tc>
        <w:tc>
          <w:tcPr>
            <w:tcW w:type="dxa" w:w="1337"/>
          </w:tcPr>
          <w:p>
            <w:pPr>
              <w:spacing w:line="240" w:lineRule="auto" w:before="0" w:after="0"/>
              <w:jc w:val="center"/>
            </w:pPr>
            <w:r>
              <w:rPr>
                <w:rFonts w:ascii="Times New Roman" w:hAnsi="Times New Roman"/>
                <w:color w:val="000000"/>
                <w:sz w:val="18"/>
              </w:rPr>
              <w:t>-27.49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371.5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-30.53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528.5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-15.62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66065.8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-29.66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799.3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-31.63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293.6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0.955</w:t>
            </w:r>
          </w:p>
        </w:tc>
        <w:tc>
          <w:tcPr>
            <w:tcW w:type="dxa" w:w="1337"/>
          </w:tcPr>
          <w:p>
            <w:pPr>
              <w:spacing w:line="240" w:lineRule="auto" w:before="0" w:after="0"/>
              <w:jc w:val="center"/>
            </w:pPr>
            <w:r>
              <w:rPr>
                <w:rFonts w:ascii="Times New Roman" w:hAnsi="Times New Roman"/>
                <w:color w:val="000000"/>
                <w:sz w:val="18"/>
              </w:rPr>
              <w:t>-5.73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379.6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0.942</w:t>
            </w:r>
          </w:p>
        </w:tc>
        <w:tc>
          <w:tcPr>
            <w:tcW w:type="dxa" w:w="1337"/>
          </w:tcPr>
          <w:p>
            <w:pPr>
              <w:spacing w:line="240" w:lineRule="auto" w:before="0" w:after="0"/>
              <w:jc w:val="center"/>
            </w:pPr>
            <w:r>
              <w:rPr>
                <w:rFonts w:ascii="Times New Roman" w:hAnsi="Times New Roman"/>
                <w:color w:val="000000"/>
                <w:sz w:val="18"/>
              </w:rPr>
              <w:t>-28.97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32045.0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0.825</w:t>
            </w:r>
          </w:p>
        </w:tc>
        <w:tc>
          <w:tcPr>
            <w:tcW w:type="dxa" w:w="1337"/>
          </w:tcPr>
          <w:p>
            <w:pPr>
              <w:spacing w:line="240" w:lineRule="auto" w:before="0" w:after="0"/>
              <w:jc w:val="center"/>
            </w:pPr>
            <w:r>
              <w:rPr>
                <w:rFonts w:ascii="Times New Roman" w:hAnsi="Times New Roman"/>
                <w:color w:val="000000"/>
                <w:sz w:val="18"/>
              </w:rPr>
              <w:t>-30.03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3504.8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0.917</w:t>
            </w:r>
          </w:p>
        </w:tc>
        <w:tc>
          <w:tcPr>
            <w:tcW w:type="dxa" w:w="1337"/>
          </w:tcPr>
          <w:p>
            <w:pPr>
              <w:spacing w:line="240" w:lineRule="auto" w:before="0" w:after="0"/>
              <w:jc w:val="center"/>
            </w:pPr>
            <w:r>
              <w:rPr>
                <w:rFonts w:ascii="Times New Roman" w:hAnsi="Times New Roman"/>
                <w:color w:val="000000"/>
                <w:sz w:val="18"/>
              </w:rPr>
              <w:t>-21.97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bl>
    <w:p>
      <w:pPr>
        <w:keepNext/>
        <w:spacing w:line="276" w:lineRule="auto" w:before="40" w:after="160"/>
        <w:jc w:val="left"/>
      </w:pPr>
      <w:r>
        <w:rPr>
          <w:rFonts w:ascii="Times New Roman" w:hAnsi="Times New Roman"/>
          <w:i/>
          <w:color w:val="000000"/>
          <w:sz w:val="20"/>
        </w:rPr>
        <w:t>Source: Author's computation (2026). Note: JB = Jarque–Bera test for normality (Jarque &amp; Bera, 1987); SW = Shapiro–Wilk test for normality (Shapiro &amp; Wilk, 1965); ADF = Augmented Dickey–Fuller test for time-series stationarity (Dickey &amp; Fuller, 1979). Rejection of normality across 100% of 28 equities at p &lt; 0.001.</w:t>
      </w:r>
    </w:p>
    <w:p>
      <w:pPr>
        <w:keepNext/>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ind w:firstLine="72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keepNext/>
        <w:jc w:val="center"/>
      </w:pPr>
      <w:r>
        <w:drawing>
          <wp:inline xmlns:a="http://schemas.openxmlformats.org/drawingml/2006/main" xmlns:pic="http://schemas.openxmlformats.org/drawingml/2006/picture">
            <wp:extent cx="5486400" cy="480060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4.1: NGX 28 Equity Log Return Pairwise Correlation Matrix (2010-2025)</w:t>
      </w:r>
    </w:p>
    <w:p>
      <w:pPr>
        <w:keepNext/>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ind w:firstLine="720"/>
        <w:jc w:val="both"/>
      </w:pPr>
      <w:r>
        <w:rPr>
          <w:rFonts w:ascii="Times New Roman" w:hAnsi="Times New Roman"/>
          <w:color w:val="000000"/>
          <w:sz w:val="24"/>
        </w:rPr>
        <w:t>Machine learning models (Random Forest and XGBoost Regressors) were evaluated under a rigorous Expanding-Window Walk-Forward Validation protocol. Although tree-based ensembles are inherently invariant to monotonic feature scaling, Min-Max normalization was applied to maintain numerical stability across technical indicators and ensure pipeline consistency. To guarantee zero temporal data leakage, feature scalers were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keepNext/>
        <w:spacing w:line="276" w:lineRule="auto" w:before="160" w:after="40"/>
        <w:jc w:val="left"/>
      </w:pPr>
      <w:r>
        <w:rPr>
          <w:rFonts w:ascii="Times New Roman" w:hAnsi="Times New Roman"/>
          <w:b/>
          <w:color w:val="000000"/>
          <w:sz w:val="22"/>
        </w:rPr>
        <w:t>Table 4.3: Out-of-Sample Predictive Performance Metrics across All 28 NGX Equities (2021-2025 Walk-Forward)</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Ticker</w:t>
            </w:r>
          </w:p>
        </w:tc>
        <w:tc>
          <w:tcPr>
            <w:tcW w:type="dxa" w:w="1040"/>
          </w:tcPr>
          <w:p>
            <w:pPr>
              <w:spacing w:line="240" w:lineRule="auto" w:before="0" w:after="0"/>
              <w:jc w:val="center"/>
            </w:pPr>
            <w:r>
              <w:rPr>
                <w:rFonts w:ascii="Times New Roman" w:hAnsi="Times New Roman"/>
                <w:b/>
                <w:color w:val="000000"/>
                <w:sz w:val="19"/>
              </w:rPr>
              <w:t>Base RMSE</w:t>
            </w:r>
          </w:p>
        </w:tc>
        <w:tc>
          <w:tcPr>
            <w:tcW w:type="dxa" w:w="1040"/>
          </w:tcPr>
          <w:p>
            <w:pPr>
              <w:spacing w:line="240" w:lineRule="auto" w:before="0" w:after="0"/>
              <w:jc w:val="center"/>
            </w:pPr>
            <w:r>
              <w:rPr>
                <w:rFonts w:ascii="Times New Roman" w:hAnsi="Times New Roman"/>
                <w:b/>
                <w:color w:val="000000"/>
                <w:sz w:val="19"/>
              </w:rPr>
              <w:t>RF RMSE</w:t>
            </w:r>
          </w:p>
        </w:tc>
        <w:tc>
          <w:tcPr>
            <w:tcW w:type="dxa" w:w="1040"/>
          </w:tcPr>
          <w:p>
            <w:pPr>
              <w:spacing w:line="240" w:lineRule="auto" w:before="0" w:after="0"/>
              <w:jc w:val="center"/>
            </w:pPr>
            <w:r>
              <w:rPr>
                <w:rFonts w:ascii="Times New Roman" w:hAnsi="Times New Roman"/>
                <w:b/>
                <w:color w:val="000000"/>
                <w:sz w:val="19"/>
              </w:rPr>
              <w:t>XGB RMSE</w:t>
            </w:r>
          </w:p>
        </w:tc>
        <w:tc>
          <w:tcPr>
            <w:tcW w:type="dxa" w:w="1040"/>
          </w:tcPr>
          <w:p>
            <w:pPr>
              <w:spacing w:line="240" w:lineRule="auto" w:before="0" w:after="0"/>
              <w:jc w:val="center"/>
            </w:pPr>
            <w:r>
              <w:rPr>
                <w:rFonts w:ascii="Times New Roman" w:hAnsi="Times New Roman"/>
                <w:b/>
                <w:color w:val="000000"/>
                <w:sz w:val="19"/>
              </w:rPr>
              <w:t>Base DA (%)</w:t>
            </w:r>
          </w:p>
        </w:tc>
        <w:tc>
          <w:tcPr>
            <w:tcW w:type="dxa" w:w="1040"/>
          </w:tcPr>
          <w:p>
            <w:pPr>
              <w:spacing w:line="240" w:lineRule="auto" w:before="0" w:after="0"/>
              <w:jc w:val="center"/>
            </w:pPr>
            <w:r>
              <w:rPr>
                <w:rFonts w:ascii="Times New Roman" w:hAnsi="Times New Roman"/>
                <w:b/>
                <w:color w:val="000000"/>
                <w:sz w:val="19"/>
              </w:rPr>
              <w:t>RF DA (%)</w:t>
            </w:r>
          </w:p>
        </w:tc>
        <w:tc>
          <w:tcPr>
            <w:tcW w:type="dxa" w:w="1040"/>
          </w:tcPr>
          <w:p>
            <w:pPr>
              <w:spacing w:line="240" w:lineRule="auto" w:before="0" w:after="0"/>
              <w:jc w:val="center"/>
            </w:pPr>
            <w:r>
              <w:rPr>
                <w:rFonts w:ascii="Times New Roman" w:hAnsi="Times New Roman"/>
                <w:b/>
                <w:color w:val="000000"/>
                <w:sz w:val="19"/>
              </w:rPr>
              <w:t>XGB DA (%)</w:t>
            </w:r>
          </w:p>
        </w:tc>
        <w:tc>
          <w:tcPr>
            <w:tcW w:type="dxa" w:w="1040"/>
          </w:tcPr>
          <w:p>
            <w:pPr>
              <w:spacing w:line="240" w:lineRule="auto" w:before="0" w:after="0"/>
              <w:jc w:val="center"/>
            </w:pPr>
            <w:r>
              <w:rPr>
                <w:rFonts w:ascii="Times New Roman" w:hAnsi="Times New Roman"/>
                <w:b/>
                <w:color w:val="000000"/>
                <w:sz w:val="19"/>
              </w:rPr>
              <w:t>Diebold-Mariano Stat</w:t>
            </w:r>
          </w:p>
        </w:tc>
        <w:tc>
          <w:tcPr>
            <w:tcW w:type="dxa" w:w="1040"/>
          </w:tcPr>
          <w:p>
            <w:pPr>
              <w:spacing w:line="240" w:lineRule="auto" w:before="0" w:after="0"/>
              <w:jc w:val="center"/>
            </w:pPr>
            <w:r>
              <w:rPr>
                <w:rFonts w:ascii="Times New Roman" w:hAnsi="Times New Roman"/>
                <w:b/>
                <w:color w:val="000000"/>
                <w:sz w:val="19"/>
              </w:rPr>
              <w:t>Diebold-Mariano p-val</w:t>
            </w:r>
          </w:p>
        </w:tc>
      </w:tr>
      <w:tr>
        <w:trPr>
          <w:cantSplit/>
        </w:trPr>
        <w:tc>
          <w:tcPr>
            <w:tcW w:type="dxa" w:w="1040"/>
          </w:tcPr>
          <w:p>
            <w:pPr>
              <w:spacing w:line="240" w:lineRule="auto" w:before="0" w:after="0"/>
              <w:jc w:val="center"/>
            </w:pPr>
            <w:r>
              <w:rPr>
                <w:rFonts w:ascii="Times New Roman" w:hAnsi="Times New Roman"/>
                <w:color w:val="000000"/>
                <w:sz w:val="18"/>
              </w:rPr>
              <w:t>CONOIL</w:t>
            </w:r>
          </w:p>
        </w:tc>
        <w:tc>
          <w:tcPr>
            <w:tcW w:type="dxa" w:w="1040"/>
          </w:tcPr>
          <w:p>
            <w:pPr>
              <w:spacing w:line="240" w:lineRule="auto" w:before="0" w:after="0"/>
              <w:jc w:val="center"/>
            </w:pPr>
            <w:r>
              <w:rPr>
                <w:rFonts w:ascii="Times New Roman" w:hAnsi="Times New Roman"/>
                <w:color w:val="000000"/>
                <w:sz w:val="18"/>
              </w:rPr>
              <w:t>0.0650</w:t>
            </w:r>
          </w:p>
        </w:tc>
        <w:tc>
          <w:tcPr>
            <w:tcW w:type="dxa" w:w="1040"/>
          </w:tcPr>
          <w:p>
            <w:pPr>
              <w:spacing w:line="240" w:lineRule="auto" w:before="0" w:after="0"/>
              <w:jc w:val="center"/>
            </w:pPr>
            <w:r>
              <w:rPr>
                <w:rFonts w:ascii="Times New Roman" w:hAnsi="Times New Roman"/>
                <w:color w:val="000000"/>
                <w:sz w:val="18"/>
              </w:rPr>
              <w:t>0.0680</w:t>
            </w:r>
          </w:p>
        </w:tc>
        <w:tc>
          <w:tcPr>
            <w:tcW w:type="dxa" w:w="1040"/>
          </w:tcPr>
          <w:p>
            <w:pPr>
              <w:spacing w:line="240" w:lineRule="auto" w:before="0" w:after="0"/>
              <w:jc w:val="center"/>
            </w:pPr>
            <w:r>
              <w:rPr>
                <w:rFonts w:ascii="Times New Roman" w:hAnsi="Times New Roman"/>
                <w:color w:val="000000"/>
                <w:sz w:val="18"/>
              </w:rPr>
              <w:t>0.0674</w:t>
            </w:r>
          </w:p>
        </w:tc>
        <w:tc>
          <w:tcPr>
            <w:tcW w:type="dxa" w:w="1040"/>
          </w:tcPr>
          <w:p>
            <w:pPr>
              <w:spacing w:line="240" w:lineRule="auto" w:before="0" w:after="0"/>
              <w:jc w:val="center"/>
            </w:pPr>
            <w:r>
              <w:rPr>
                <w:rFonts w:ascii="Times New Roman" w:hAnsi="Times New Roman"/>
                <w:color w:val="000000"/>
                <w:sz w:val="18"/>
              </w:rPr>
              <w:t>13.8%</w:t>
            </w:r>
          </w:p>
        </w:tc>
        <w:tc>
          <w:tcPr>
            <w:tcW w:type="dxa" w:w="1040"/>
          </w:tcPr>
          <w:p>
            <w:pPr>
              <w:spacing w:line="240" w:lineRule="auto" w:before="0" w:after="0"/>
              <w:jc w:val="center"/>
            </w:pPr>
            <w:r>
              <w:rPr>
                <w:rFonts w:ascii="Times New Roman" w:hAnsi="Times New Roman"/>
                <w:color w:val="000000"/>
                <w:sz w:val="18"/>
              </w:rPr>
              <w:t>13.5%</w:t>
            </w:r>
          </w:p>
        </w:tc>
        <w:tc>
          <w:tcPr>
            <w:tcW w:type="dxa" w:w="1040"/>
          </w:tcPr>
          <w:p>
            <w:pPr>
              <w:spacing w:line="240" w:lineRule="auto" w:before="0" w:after="0"/>
              <w:jc w:val="center"/>
            </w:pPr>
            <w:r>
              <w:rPr>
                <w:rFonts w:ascii="Times New Roman" w:hAnsi="Times New Roman"/>
                <w:color w:val="000000"/>
                <w:sz w:val="18"/>
              </w:rPr>
              <w:t>11.5%</w:t>
            </w:r>
          </w:p>
        </w:tc>
        <w:tc>
          <w:tcPr>
            <w:tcW w:type="dxa" w:w="1040"/>
          </w:tcPr>
          <w:p>
            <w:pPr>
              <w:spacing w:line="240" w:lineRule="auto" w:before="0" w:after="0"/>
              <w:jc w:val="center"/>
            </w:pPr>
            <w:r>
              <w:rPr>
                <w:rFonts w:ascii="Times New Roman" w:hAnsi="Times New Roman"/>
                <w:color w:val="000000"/>
                <w:sz w:val="18"/>
              </w:rPr>
              <w:t>-1.90</w:t>
            </w:r>
          </w:p>
        </w:tc>
        <w:tc>
          <w:tcPr>
            <w:tcW w:type="dxa" w:w="1040"/>
          </w:tcPr>
          <w:p>
            <w:pPr>
              <w:spacing w:line="240" w:lineRule="auto" w:before="0" w:after="0"/>
              <w:jc w:val="center"/>
            </w:pPr>
            <w:r>
              <w:rPr>
                <w:rFonts w:ascii="Times New Roman" w:hAnsi="Times New Roman"/>
                <w:color w:val="000000"/>
                <w:sz w:val="18"/>
              </w:rPr>
              <w:t>0.057</w:t>
            </w:r>
          </w:p>
        </w:tc>
      </w:tr>
      <w:tr>
        <w:trPr>
          <w:cantSplit/>
        </w:trPr>
        <w:tc>
          <w:tcPr>
            <w:tcW w:type="dxa" w:w="1040"/>
          </w:tcPr>
          <w:p>
            <w:pPr>
              <w:spacing w:line="240" w:lineRule="auto" w:before="0" w:after="0"/>
              <w:jc w:val="center"/>
            </w:pPr>
            <w:r>
              <w:rPr>
                <w:rFonts w:ascii="Times New Roman" w:hAnsi="Times New Roman"/>
                <w:color w:val="000000"/>
                <w:sz w:val="18"/>
              </w:rPr>
              <w:t>CUSTODIAN</w:t>
            </w:r>
          </w:p>
        </w:tc>
        <w:tc>
          <w:tcPr>
            <w:tcW w:type="dxa" w:w="1040"/>
          </w:tcPr>
          <w:p>
            <w:pPr>
              <w:spacing w:line="240" w:lineRule="auto" w:before="0" w:after="0"/>
              <w:jc w:val="center"/>
            </w:pPr>
            <w:r>
              <w:rPr>
                <w:rFonts w:ascii="Times New Roman" w:hAnsi="Times New Roman"/>
                <w:color w:val="000000"/>
                <w:sz w:val="18"/>
              </w:rPr>
              <w:t>0.0548</w:t>
            </w:r>
          </w:p>
        </w:tc>
        <w:tc>
          <w:tcPr>
            <w:tcW w:type="dxa" w:w="1040"/>
          </w:tcPr>
          <w:p>
            <w:pPr>
              <w:spacing w:line="240" w:lineRule="auto" w:before="0" w:after="0"/>
              <w:jc w:val="center"/>
            </w:pPr>
            <w:r>
              <w:rPr>
                <w:rFonts w:ascii="Times New Roman" w:hAnsi="Times New Roman"/>
                <w:color w:val="000000"/>
                <w:sz w:val="18"/>
              </w:rPr>
              <w:t>0.0571</w:t>
            </w:r>
          </w:p>
        </w:tc>
        <w:tc>
          <w:tcPr>
            <w:tcW w:type="dxa" w:w="1040"/>
          </w:tcPr>
          <w:p>
            <w:pPr>
              <w:spacing w:line="240" w:lineRule="auto" w:before="0" w:after="0"/>
              <w:jc w:val="center"/>
            </w:pPr>
            <w:r>
              <w:rPr>
                <w:rFonts w:ascii="Times New Roman" w:hAnsi="Times New Roman"/>
                <w:color w:val="000000"/>
                <w:sz w:val="18"/>
              </w:rPr>
              <w:t>0.0552</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-0.73</w:t>
            </w:r>
          </w:p>
        </w:tc>
        <w:tc>
          <w:tcPr>
            <w:tcW w:type="dxa" w:w="1040"/>
          </w:tcPr>
          <w:p>
            <w:pPr>
              <w:spacing w:line="240" w:lineRule="auto" w:before="0" w:after="0"/>
              <w:jc w:val="center"/>
            </w:pPr>
            <w:r>
              <w:rPr>
                <w:rFonts w:ascii="Times New Roman" w:hAnsi="Times New Roman"/>
                <w:color w:val="000000"/>
                <w:sz w:val="18"/>
              </w:rPr>
              <w:t>0.466</w:t>
            </w:r>
          </w:p>
        </w:tc>
      </w:tr>
      <w:tr>
        <w:trPr>
          <w:cantSplit/>
        </w:trPr>
        <w:tc>
          <w:tcPr>
            <w:tcW w:type="dxa" w:w="1040"/>
          </w:tcPr>
          <w:p>
            <w:pPr>
              <w:spacing w:line="240" w:lineRule="auto" w:before="0" w:after="0"/>
              <w:jc w:val="center"/>
            </w:pPr>
            <w:r>
              <w:rPr>
                <w:rFonts w:ascii="Times New Roman" w:hAnsi="Times New Roman"/>
                <w:color w:val="000000"/>
                <w:sz w:val="18"/>
              </w:rPr>
              <w:t>DANGCEM</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0.0515</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23.6%</w:t>
            </w:r>
          </w:p>
        </w:tc>
        <w:tc>
          <w:tcPr>
            <w:tcW w:type="dxa" w:w="1040"/>
          </w:tcPr>
          <w:p>
            <w:pPr>
              <w:spacing w:line="240" w:lineRule="auto" w:before="0" w:after="0"/>
              <w:jc w:val="center"/>
            </w:pPr>
            <w:r>
              <w:rPr>
                <w:rFonts w:ascii="Times New Roman" w:hAnsi="Times New Roman"/>
                <w:color w:val="000000"/>
                <w:sz w:val="18"/>
              </w:rPr>
              <w:t>21.3%</w:t>
            </w:r>
          </w:p>
        </w:tc>
        <w:tc>
          <w:tcPr>
            <w:tcW w:type="dxa" w:w="1040"/>
          </w:tcPr>
          <w:p>
            <w:pPr>
              <w:spacing w:line="240" w:lineRule="auto" w:before="0" w:after="0"/>
              <w:jc w:val="center"/>
            </w:pPr>
            <w:r>
              <w:rPr>
                <w:rFonts w:ascii="Times New Roman" w:hAnsi="Times New Roman"/>
                <w:color w:val="000000"/>
                <w:sz w:val="18"/>
              </w:rPr>
              <w:t>21.7%</w:t>
            </w:r>
          </w:p>
        </w:tc>
        <w:tc>
          <w:tcPr>
            <w:tcW w:type="dxa" w:w="1040"/>
          </w:tcPr>
          <w:p>
            <w:pPr>
              <w:spacing w:line="240" w:lineRule="auto" w:before="0" w:after="0"/>
              <w:jc w:val="center"/>
            </w:pPr>
            <w:r>
              <w:rPr>
                <w:rFonts w:ascii="Times New Roman" w:hAnsi="Times New Roman"/>
                <w:color w:val="000000"/>
                <w:sz w:val="18"/>
              </w:rPr>
              <w:t>-1.40</w:t>
            </w:r>
          </w:p>
        </w:tc>
        <w:tc>
          <w:tcPr>
            <w:tcW w:type="dxa" w:w="1040"/>
          </w:tcPr>
          <w:p>
            <w:pPr>
              <w:spacing w:line="240" w:lineRule="auto" w:before="0" w:after="0"/>
              <w:jc w:val="center"/>
            </w:pPr>
            <w:r>
              <w:rPr>
                <w:rFonts w:ascii="Times New Roman" w:hAnsi="Times New Roman"/>
                <w:color w:val="000000"/>
                <w:sz w:val="18"/>
              </w:rPr>
              <w:t>0.160</w:t>
            </w:r>
          </w:p>
        </w:tc>
      </w:tr>
      <w:tr>
        <w:trPr>
          <w:cantSplit/>
        </w:trPr>
        <w:tc>
          <w:tcPr>
            <w:tcW w:type="dxa" w:w="1040"/>
          </w:tcPr>
          <w:p>
            <w:pPr>
              <w:spacing w:line="240" w:lineRule="auto" w:before="0" w:after="0"/>
              <w:jc w:val="center"/>
            </w:pPr>
            <w:r>
              <w:rPr>
                <w:rFonts w:ascii="Times New Roman" w:hAnsi="Times New Roman"/>
                <w:color w:val="000000"/>
                <w:sz w:val="18"/>
              </w:rPr>
              <w:t>DANGSUGAR</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0.0630</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0.09</w:t>
            </w:r>
          </w:p>
        </w:tc>
        <w:tc>
          <w:tcPr>
            <w:tcW w:type="dxa" w:w="1040"/>
          </w:tcPr>
          <w:p>
            <w:pPr>
              <w:spacing w:line="240" w:lineRule="auto" w:before="0" w:after="0"/>
              <w:jc w:val="center"/>
            </w:pPr>
            <w:r>
              <w:rPr>
                <w:rFonts w:ascii="Times New Roman" w:hAnsi="Times New Roman"/>
                <w:color w:val="000000"/>
                <w:sz w:val="18"/>
              </w:rPr>
              <w:t>0.929</w:t>
            </w:r>
          </w:p>
        </w:tc>
      </w:tr>
      <w:tr>
        <w:trPr>
          <w:cantSplit/>
        </w:trPr>
        <w:tc>
          <w:tcPr>
            <w:tcW w:type="dxa" w:w="1040"/>
          </w:tcPr>
          <w:p>
            <w:pPr>
              <w:spacing w:line="240" w:lineRule="auto" w:before="0" w:after="0"/>
              <w:jc w:val="center"/>
            </w:pPr>
            <w:r>
              <w:rPr>
                <w:rFonts w:ascii="Times New Roman" w:hAnsi="Times New Roman"/>
                <w:color w:val="000000"/>
                <w:sz w:val="18"/>
              </w:rPr>
              <w:t>ETI</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0.0663</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31.9%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-0.02</w:t>
            </w:r>
          </w:p>
        </w:tc>
        <w:tc>
          <w:tcPr>
            <w:tcW w:type="dxa" w:w="1040"/>
          </w:tcPr>
          <w:p>
            <w:pPr>
              <w:spacing w:line="240" w:lineRule="auto" w:before="0" w:after="0"/>
              <w:jc w:val="center"/>
            </w:pPr>
            <w:r>
              <w:rPr>
                <w:rFonts w:ascii="Times New Roman" w:hAnsi="Times New Roman"/>
                <w:color w:val="000000"/>
                <w:sz w:val="18"/>
              </w:rPr>
              <w:t>0.985</w:t>
            </w:r>
          </w:p>
        </w:tc>
      </w:tr>
      <w:tr>
        <w:trPr>
          <w:cantSplit/>
        </w:trPr>
        <w:tc>
          <w:tcPr>
            <w:tcW w:type="dxa" w:w="1040"/>
          </w:tcPr>
          <w:p>
            <w:pPr>
              <w:spacing w:line="240" w:lineRule="auto" w:before="0" w:after="0"/>
              <w:jc w:val="center"/>
            </w:pPr>
            <w:r>
              <w:rPr>
                <w:rFonts w:ascii="Times New Roman" w:hAnsi="Times New Roman"/>
                <w:color w:val="000000"/>
                <w:sz w:val="18"/>
              </w:rPr>
              <w:t>FCMB</w:t>
            </w:r>
          </w:p>
        </w:tc>
        <w:tc>
          <w:tcPr>
            <w:tcW w:type="dxa" w:w="1040"/>
          </w:tcPr>
          <w:p>
            <w:pPr>
              <w:spacing w:line="240" w:lineRule="auto" w:before="0" w:after="0"/>
              <w:jc w:val="center"/>
            </w:pPr>
            <w:r>
              <w:rPr>
                <w:rFonts w:ascii="Times New Roman" w:hAnsi="Times New Roman"/>
                <w:color w:val="000000"/>
                <w:sz w:val="18"/>
              </w:rPr>
              <w:t>0.0560</w:t>
            </w:r>
          </w:p>
        </w:tc>
        <w:tc>
          <w:tcPr>
            <w:tcW w:type="dxa" w:w="1040"/>
          </w:tcPr>
          <w:p>
            <w:pPr>
              <w:spacing w:line="240" w:lineRule="auto" w:before="0" w:after="0"/>
              <w:jc w:val="center"/>
            </w:pPr>
            <w:r>
              <w:rPr>
                <w:rFonts w:ascii="Times New Roman" w:hAnsi="Times New Roman"/>
                <w:color w:val="000000"/>
                <w:sz w:val="18"/>
              </w:rPr>
              <w:t>0.0647</w:t>
            </w:r>
          </w:p>
        </w:tc>
        <w:tc>
          <w:tcPr>
            <w:tcW w:type="dxa" w:w="1040"/>
          </w:tcPr>
          <w:p>
            <w:pPr>
              <w:spacing w:line="240" w:lineRule="auto" w:before="0" w:after="0"/>
              <w:jc w:val="center"/>
            </w:pPr>
            <w:r>
              <w:rPr>
                <w:rFonts w:ascii="Times New Roman" w:hAnsi="Times New Roman"/>
                <w:color w:val="000000"/>
                <w:sz w:val="18"/>
              </w:rPr>
              <w:t>0.0567</w:t>
            </w:r>
          </w:p>
        </w:tc>
        <w:tc>
          <w:tcPr>
            <w:tcW w:type="dxa" w:w="1040"/>
          </w:tcPr>
          <w:p>
            <w:pPr>
              <w:spacing w:line="240" w:lineRule="auto" w:before="0" w:after="0"/>
              <w:jc w:val="center"/>
            </w:pPr>
            <w:r>
              <w:rPr>
                <w:rFonts w:ascii="Times New Roman" w:hAnsi="Times New Roman"/>
                <w:color w:val="000000"/>
                <w:sz w:val="18"/>
              </w:rPr>
              <w:t>40.4%</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-1.44</w:t>
            </w:r>
          </w:p>
        </w:tc>
        <w:tc>
          <w:tcPr>
            <w:tcW w:type="dxa" w:w="1040"/>
          </w:tcPr>
          <w:p>
            <w:pPr>
              <w:spacing w:line="240" w:lineRule="auto" w:before="0" w:after="0"/>
              <w:jc w:val="center"/>
            </w:pPr>
            <w:r>
              <w:rPr>
                <w:rFonts w:ascii="Times New Roman" w:hAnsi="Times New Roman"/>
                <w:color w:val="000000"/>
                <w:sz w:val="18"/>
              </w:rPr>
              <w:t>0.151</w:t>
            </w:r>
          </w:p>
        </w:tc>
      </w:tr>
      <w:tr>
        <w:trPr>
          <w:cantSplit/>
        </w:trPr>
        <w:tc>
          <w:tcPr>
            <w:tcW w:type="dxa" w:w="1040"/>
          </w:tcPr>
          <w:p>
            <w:pPr>
              <w:spacing w:line="240" w:lineRule="auto" w:before="0" w:after="0"/>
              <w:jc w:val="center"/>
            </w:pPr>
            <w:r>
              <w:rPr>
                <w:rFonts w:ascii="Times New Roman" w:hAnsi="Times New Roman"/>
                <w:color w:val="000000"/>
                <w:sz w:val="18"/>
              </w:rPr>
              <w:t>FIDELITYBK</w:t>
            </w:r>
          </w:p>
        </w:tc>
        <w:tc>
          <w:tcPr>
            <w:tcW w:type="dxa" w:w="1040"/>
          </w:tcPr>
          <w:p>
            <w:pPr>
              <w:spacing w:line="240" w:lineRule="auto" w:before="0" w:after="0"/>
              <w:jc w:val="center"/>
            </w:pPr>
            <w:r>
              <w:rPr>
                <w:rFonts w:ascii="Times New Roman" w:hAnsi="Times New Roman"/>
                <w:color w:val="000000"/>
                <w:sz w:val="18"/>
              </w:rPr>
              <w:t>0.0596</w:t>
            </w:r>
          </w:p>
        </w:tc>
        <w:tc>
          <w:tcPr>
            <w:tcW w:type="dxa" w:w="1040"/>
          </w:tcPr>
          <w:p>
            <w:pPr>
              <w:spacing w:line="240" w:lineRule="auto" w:before="0" w:after="0"/>
              <w:jc w:val="center"/>
            </w:pPr>
            <w:r>
              <w:rPr>
                <w:rFonts w:ascii="Times New Roman" w:hAnsi="Times New Roman"/>
                <w:color w:val="000000"/>
                <w:sz w:val="18"/>
              </w:rPr>
              <w:t>0.0682</w:t>
            </w:r>
          </w:p>
        </w:tc>
        <w:tc>
          <w:tcPr>
            <w:tcW w:type="dxa" w:w="1040"/>
          </w:tcPr>
          <w:p>
            <w:pPr>
              <w:spacing w:line="240" w:lineRule="auto" w:before="0" w:after="0"/>
              <w:jc w:val="center"/>
            </w:pPr>
            <w:r>
              <w:rPr>
                <w:rFonts w:ascii="Times New Roman" w:hAnsi="Times New Roman"/>
                <w:color w:val="000000"/>
                <w:sz w:val="18"/>
              </w:rPr>
              <w:t>0.0613</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46.5%</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-1.79</w:t>
            </w:r>
          </w:p>
        </w:tc>
        <w:tc>
          <w:tcPr>
            <w:tcW w:type="dxa" w:w="1040"/>
          </w:tcPr>
          <w:p>
            <w:pPr>
              <w:spacing w:line="240" w:lineRule="auto" w:before="0" w:after="0"/>
              <w:jc w:val="center"/>
            </w:pPr>
            <w:r>
              <w:rPr>
                <w:rFonts w:ascii="Times New Roman" w:hAnsi="Times New Roman"/>
                <w:color w:val="000000"/>
                <w:sz w:val="18"/>
              </w:rPr>
              <w:t>0.074</w:t>
            </w:r>
          </w:p>
        </w:tc>
      </w:tr>
      <w:tr>
        <w:trPr>
          <w:cantSplit/>
        </w:trPr>
        <w:tc>
          <w:tcPr>
            <w:tcW w:type="dxa" w:w="1040"/>
          </w:tcPr>
          <w:p>
            <w:pPr>
              <w:spacing w:line="240" w:lineRule="auto" w:before="0" w:after="0"/>
              <w:jc w:val="center"/>
            </w:pPr>
            <w:r>
              <w:rPr>
                <w:rFonts w:ascii="Times New Roman" w:hAnsi="Times New Roman"/>
                <w:color w:val="000000"/>
                <w:sz w:val="18"/>
              </w:rPr>
              <w:t>FIDSON</w:t>
            </w:r>
          </w:p>
        </w:tc>
        <w:tc>
          <w:tcPr>
            <w:tcW w:type="dxa" w:w="1040"/>
          </w:tcPr>
          <w:p>
            <w:pPr>
              <w:spacing w:line="240" w:lineRule="auto" w:before="0" w:after="0"/>
              <w:jc w:val="center"/>
            </w:pPr>
            <w:r>
              <w:rPr>
                <w:rFonts w:ascii="Times New Roman" w:hAnsi="Times New Roman"/>
                <w:color w:val="000000"/>
                <w:sz w:val="18"/>
              </w:rPr>
              <w:t>0.0590</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0.0617</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-2.92</w:t>
            </w:r>
          </w:p>
        </w:tc>
        <w:tc>
          <w:tcPr>
            <w:tcW w:type="dxa" w:w="1040"/>
          </w:tcPr>
          <w:p>
            <w:pPr>
              <w:spacing w:line="240" w:lineRule="auto" w:before="0" w:after="0"/>
              <w:jc w:val="center"/>
            </w:pPr>
            <w:r>
              <w:rPr>
                <w:rFonts w:ascii="Times New Roman" w:hAnsi="Times New Roman"/>
                <w:color w:val="000000"/>
                <w:sz w:val="18"/>
              </w:rPr>
              <w:t>0.004</w:t>
            </w:r>
          </w:p>
        </w:tc>
      </w:tr>
      <w:tr>
        <w:trPr>
          <w:cantSplit/>
        </w:trPr>
        <w:tc>
          <w:tcPr>
            <w:tcW w:type="dxa" w:w="1040"/>
          </w:tcPr>
          <w:p>
            <w:pPr>
              <w:spacing w:line="240" w:lineRule="auto" w:before="0" w:after="0"/>
              <w:jc w:val="center"/>
            </w:pPr>
            <w:r>
              <w:rPr>
                <w:rFonts w:ascii="Times New Roman" w:hAnsi="Times New Roman"/>
                <w:color w:val="000000"/>
                <w:sz w:val="18"/>
              </w:rPr>
              <w:t>FBNH</w:t>
            </w:r>
          </w:p>
        </w:tc>
        <w:tc>
          <w:tcPr>
            <w:tcW w:type="dxa" w:w="1040"/>
          </w:tcPr>
          <w:p>
            <w:pPr>
              <w:spacing w:line="240" w:lineRule="auto" w:before="0" w:after="0"/>
              <w:jc w:val="center"/>
            </w:pPr>
            <w:r>
              <w:rPr>
                <w:rFonts w:ascii="Times New Roman" w:hAnsi="Times New Roman"/>
                <w:color w:val="000000"/>
                <w:sz w:val="18"/>
              </w:rPr>
              <w:t>0.0700</w:t>
            </w:r>
          </w:p>
        </w:tc>
        <w:tc>
          <w:tcPr>
            <w:tcW w:type="dxa" w:w="1040"/>
          </w:tcPr>
          <w:p>
            <w:pPr>
              <w:spacing w:line="240" w:lineRule="auto" w:before="0" w:after="0"/>
              <w:jc w:val="center"/>
            </w:pPr>
            <w:r>
              <w:rPr>
                <w:rFonts w:ascii="Times New Roman" w:hAnsi="Times New Roman"/>
                <w:color w:val="000000"/>
                <w:sz w:val="18"/>
              </w:rPr>
              <w:t>0.0713</w:t>
            </w:r>
          </w:p>
        </w:tc>
        <w:tc>
          <w:tcPr>
            <w:tcW w:type="dxa" w:w="1040"/>
          </w:tcPr>
          <w:p>
            <w:pPr>
              <w:spacing w:line="240" w:lineRule="auto" w:before="0" w:after="0"/>
              <w:jc w:val="center"/>
            </w:pPr>
            <w:r>
              <w:rPr>
                <w:rFonts w:ascii="Times New Roman" w:hAnsi="Times New Roman"/>
                <w:color w:val="000000"/>
                <w:sz w:val="18"/>
              </w:rPr>
              <w:t>0.0708</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-1.04</w:t>
            </w:r>
          </w:p>
        </w:tc>
        <w:tc>
          <w:tcPr>
            <w:tcW w:type="dxa" w:w="1040"/>
          </w:tcPr>
          <w:p>
            <w:pPr>
              <w:spacing w:line="240" w:lineRule="auto" w:before="0" w:after="0"/>
              <w:jc w:val="center"/>
            </w:pPr>
            <w:r>
              <w:rPr>
                <w:rFonts w:ascii="Times New Roman" w:hAnsi="Times New Roman"/>
                <w:color w:val="000000"/>
                <w:sz w:val="18"/>
              </w:rPr>
              <w:t>0.299</w:t>
            </w:r>
          </w:p>
        </w:tc>
      </w:tr>
      <w:tr>
        <w:trPr>
          <w:cantSplit/>
        </w:trPr>
        <w:tc>
          <w:tcPr>
            <w:tcW w:type="dxa" w:w="1040"/>
          </w:tcPr>
          <w:p>
            <w:pPr>
              <w:spacing w:line="240" w:lineRule="auto" w:before="0" w:after="0"/>
              <w:jc w:val="center"/>
            </w:pPr>
            <w:r>
              <w:rPr>
                <w:rFonts w:ascii="Times New Roman" w:hAnsi="Times New Roman"/>
                <w:color w:val="000000"/>
                <w:sz w:val="18"/>
              </w:rPr>
              <w:t>GTCO</w:t>
            </w:r>
          </w:p>
        </w:tc>
        <w:tc>
          <w:tcPr>
            <w:tcW w:type="dxa" w:w="1040"/>
          </w:tcPr>
          <w:p>
            <w:pPr>
              <w:spacing w:line="240" w:lineRule="auto" w:before="0" w:after="0"/>
              <w:jc w:val="center"/>
            </w:pPr>
            <w:r>
              <w:rPr>
                <w:rFonts w:ascii="Times New Roman" w:hAnsi="Times New Roman"/>
                <w:color w:val="000000"/>
                <w:sz w:val="18"/>
              </w:rPr>
              <w:t>0.0474</w:t>
            </w:r>
          </w:p>
        </w:tc>
        <w:tc>
          <w:tcPr>
            <w:tcW w:type="dxa" w:w="1040"/>
          </w:tcPr>
          <w:p>
            <w:pPr>
              <w:spacing w:line="240" w:lineRule="auto" w:before="0" w:after="0"/>
              <w:jc w:val="center"/>
            </w:pPr>
            <w:r>
              <w:rPr>
                <w:rFonts w:ascii="Times New Roman" w:hAnsi="Times New Roman"/>
                <w:color w:val="000000"/>
                <w:sz w:val="18"/>
              </w:rPr>
              <w:t>0.0485</w:t>
            </w:r>
          </w:p>
        </w:tc>
        <w:tc>
          <w:tcPr>
            <w:tcW w:type="dxa" w:w="1040"/>
          </w:tcPr>
          <w:p>
            <w:pPr>
              <w:spacing w:line="240" w:lineRule="auto" w:before="0" w:after="0"/>
              <w:jc w:val="center"/>
            </w:pPr>
            <w:r>
              <w:rPr>
                <w:rFonts w:ascii="Times New Roman" w:hAnsi="Times New Roman"/>
                <w:color w:val="000000"/>
                <w:sz w:val="18"/>
              </w:rPr>
              <w:t>0.0487</w:t>
            </w:r>
          </w:p>
        </w:tc>
        <w:tc>
          <w:tcPr>
            <w:tcW w:type="dxa" w:w="1040"/>
          </w:tcPr>
          <w:p>
            <w:pPr>
              <w:spacing w:line="240" w:lineRule="auto" w:before="0" w:after="0"/>
              <w:jc w:val="center"/>
            </w:pPr>
            <w:r>
              <w:rPr>
                <w:rFonts w:ascii="Times New Roman" w:hAnsi="Times New Roman"/>
                <w:color w:val="000000"/>
                <w:sz w:val="18"/>
              </w:rPr>
              <w:t>48.5%</w:t>
            </w:r>
          </w:p>
        </w:tc>
        <w:tc>
          <w:tcPr>
            <w:tcW w:type="dxa" w:w="1040"/>
          </w:tcPr>
          <w:p>
            <w:pPr>
              <w:spacing w:line="240" w:lineRule="auto" w:before="0" w:after="0"/>
              <w:jc w:val="center"/>
            </w:pPr>
            <w:r>
              <w:rPr>
                <w:rFonts w:ascii="Times New Roman" w:hAnsi="Times New Roman"/>
                <w:color w:val="000000"/>
                <w:sz w:val="18"/>
              </w:rPr>
              <w:t>52.3%</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-1.63</w:t>
            </w:r>
          </w:p>
        </w:tc>
        <w:tc>
          <w:tcPr>
            <w:tcW w:type="dxa" w:w="1040"/>
          </w:tcPr>
          <w:p>
            <w:pPr>
              <w:spacing w:line="240" w:lineRule="auto" w:before="0" w:after="0"/>
              <w:jc w:val="center"/>
            </w:pPr>
            <w:r>
              <w:rPr>
                <w:rFonts w:ascii="Times New Roman" w:hAnsi="Times New Roman"/>
                <w:color w:val="000000"/>
                <w:sz w:val="18"/>
              </w:rPr>
              <w:t>0.102</w:t>
            </w:r>
          </w:p>
        </w:tc>
      </w:tr>
      <w:tr>
        <w:trPr>
          <w:cantSplit/>
        </w:trPr>
        <w:tc>
          <w:tcPr>
            <w:tcW w:type="dxa" w:w="1040"/>
          </w:tcPr>
          <w:p>
            <w:pPr>
              <w:spacing w:line="240" w:lineRule="auto" w:before="0" w:after="0"/>
              <w:jc w:val="center"/>
            </w:pPr>
            <w:r>
              <w:rPr>
                <w:rFonts w:ascii="Times New Roman" w:hAnsi="Times New Roman"/>
                <w:color w:val="000000"/>
                <w:sz w:val="18"/>
              </w:rPr>
              <w:t>GUINNESS</w:t>
            </w:r>
          </w:p>
        </w:tc>
        <w:tc>
          <w:tcPr>
            <w:tcW w:type="dxa" w:w="1040"/>
          </w:tcPr>
          <w:p>
            <w:pPr>
              <w:spacing w:line="240" w:lineRule="auto" w:before="0" w:after="0"/>
              <w:jc w:val="center"/>
            </w:pPr>
            <w:r>
              <w:rPr>
                <w:rFonts w:ascii="Times New Roman" w:hAnsi="Times New Roman"/>
                <w:color w:val="000000"/>
                <w:sz w:val="18"/>
              </w:rPr>
              <w:t>0.0673</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22.3%</w:t>
            </w:r>
          </w:p>
        </w:tc>
        <w:tc>
          <w:tcPr>
            <w:tcW w:type="dxa" w:w="1040"/>
          </w:tcPr>
          <w:p>
            <w:pPr>
              <w:spacing w:line="240" w:lineRule="auto" w:before="0" w:after="0"/>
              <w:jc w:val="center"/>
            </w:pPr>
            <w:r>
              <w:rPr>
                <w:rFonts w:ascii="Times New Roman" w:hAnsi="Times New Roman"/>
                <w:color w:val="000000"/>
                <w:sz w:val="18"/>
              </w:rPr>
              <w:t>32.3%</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-0.49</w:t>
            </w:r>
          </w:p>
        </w:tc>
        <w:tc>
          <w:tcPr>
            <w:tcW w:type="dxa" w:w="1040"/>
          </w:tcPr>
          <w:p>
            <w:pPr>
              <w:spacing w:line="240" w:lineRule="auto" w:before="0" w:after="0"/>
              <w:jc w:val="center"/>
            </w:pPr>
            <w:r>
              <w:rPr>
                <w:rFonts w:ascii="Times New Roman" w:hAnsi="Times New Roman"/>
                <w:color w:val="000000"/>
                <w:sz w:val="18"/>
              </w:rPr>
              <w:t>0.621</w:t>
            </w:r>
          </w:p>
        </w:tc>
      </w:tr>
      <w:tr>
        <w:trPr>
          <w:cantSplit/>
        </w:trPr>
        <w:tc>
          <w:tcPr>
            <w:tcW w:type="dxa" w:w="1040"/>
          </w:tcPr>
          <w:p>
            <w:pPr>
              <w:spacing w:line="240" w:lineRule="auto" w:before="0" w:after="0"/>
              <w:jc w:val="center"/>
            </w:pPr>
            <w:r>
              <w:rPr>
                <w:rFonts w:ascii="Times New Roman" w:hAnsi="Times New Roman"/>
                <w:color w:val="000000"/>
                <w:sz w:val="18"/>
              </w:rPr>
              <w:t>JBERGER</w:t>
            </w:r>
          </w:p>
        </w:tc>
        <w:tc>
          <w:tcPr>
            <w:tcW w:type="dxa" w:w="1040"/>
          </w:tcPr>
          <w:p>
            <w:pPr>
              <w:spacing w:line="240" w:lineRule="auto" w:before="0" w:after="0"/>
              <w:jc w:val="center"/>
            </w:pPr>
            <w:r>
              <w:rPr>
                <w:rFonts w:ascii="Times New Roman" w:hAnsi="Times New Roman"/>
                <w:color w:val="000000"/>
                <w:sz w:val="18"/>
              </w:rPr>
              <w:t>0.0636</w:t>
            </w:r>
          </w:p>
        </w:tc>
        <w:tc>
          <w:tcPr>
            <w:tcW w:type="dxa" w:w="1040"/>
          </w:tcPr>
          <w:p>
            <w:pPr>
              <w:spacing w:line="240" w:lineRule="auto" w:before="0" w:after="0"/>
              <w:jc w:val="center"/>
            </w:pPr>
            <w:r>
              <w:rPr>
                <w:rFonts w:ascii="Times New Roman" w:hAnsi="Times New Roman"/>
                <w:color w:val="000000"/>
                <w:sz w:val="18"/>
              </w:rPr>
              <w:t>0.0670</w:t>
            </w:r>
          </w:p>
        </w:tc>
        <w:tc>
          <w:tcPr>
            <w:tcW w:type="dxa" w:w="1040"/>
          </w:tcPr>
          <w:p>
            <w:pPr>
              <w:spacing w:line="240" w:lineRule="auto" w:before="0" w:after="0"/>
              <w:jc w:val="center"/>
            </w:pPr>
            <w:r>
              <w:rPr>
                <w:rFonts w:ascii="Times New Roman" w:hAnsi="Times New Roman"/>
                <w:color w:val="000000"/>
                <w:sz w:val="18"/>
              </w:rPr>
              <w:t>0.0653</w:t>
            </w:r>
          </w:p>
        </w:tc>
        <w:tc>
          <w:tcPr>
            <w:tcW w:type="dxa" w:w="1040"/>
          </w:tcPr>
          <w:p>
            <w:pPr>
              <w:spacing w:line="240" w:lineRule="auto" w:before="0" w:after="0"/>
              <w:jc w:val="center"/>
            </w:pPr>
            <w:r>
              <w:rPr>
                <w:rFonts w:ascii="Times New Roman" w:hAnsi="Times New Roman"/>
                <w:color w:val="000000"/>
                <w:sz w:val="18"/>
              </w:rPr>
              <w:t>25.4%</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25.0%</w:t>
            </w:r>
          </w:p>
        </w:tc>
        <w:tc>
          <w:tcPr>
            <w:tcW w:type="dxa" w:w="1040"/>
          </w:tcPr>
          <w:p>
            <w:pPr>
              <w:spacing w:line="240" w:lineRule="auto" w:before="0" w:after="0"/>
              <w:jc w:val="center"/>
            </w:pPr>
            <w:r>
              <w:rPr>
                <w:rFonts w:ascii="Times New Roman" w:hAnsi="Times New Roman"/>
                <w:color w:val="000000"/>
                <w:sz w:val="18"/>
              </w:rPr>
              <w:t>-2.44</w:t>
            </w:r>
          </w:p>
        </w:tc>
        <w:tc>
          <w:tcPr>
            <w:tcW w:type="dxa" w:w="1040"/>
          </w:tcPr>
          <w:p>
            <w:pPr>
              <w:spacing w:line="240" w:lineRule="auto" w:before="0" w:after="0"/>
              <w:jc w:val="center"/>
            </w:pPr>
            <w:r>
              <w:rPr>
                <w:rFonts w:ascii="Times New Roman" w:hAnsi="Times New Roman"/>
                <w:color w:val="000000"/>
                <w:sz w:val="18"/>
              </w:rPr>
              <w:t>0.015</w:t>
            </w:r>
          </w:p>
        </w:tc>
      </w:tr>
      <w:tr>
        <w:trPr>
          <w:cantSplit/>
        </w:trPr>
        <w:tc>
          <w:tcPr>
            <w:tcW w:type="dxa" w:w="1040"/>
          </w:tcPr>
          <w:p>
            <w:pPr>
              <w:spacing w:line="240" w:lineRule="auto" w:before="0" w:after="0"/>
              <w:jc w:val="center"/>
            </w:pPr>
            <w:r>
              <w:rPr>
                <w:rFonts w:ascii="Times New Roman" w:hAnsi="Times New Roman"/>
                <w:color w:val="000000"/>
                <w:sz w:val="18"/>
              </w:rPr>
              <w:t>WAPCO</w:t>
            </w:r>
          </w:p>
        </w:tc>
        <w:tc>
          <w:tcPr>
            <w:tcW w:type="dxa" w:w="1040"/>
          </w:tcPr>
          <w:p>
            <w:pPr>
              <w:spacing w:line="240" w:lineRule="auto" w:before="0" w:after="0"/>
              <w:jc w:val="center"/>
            </w:pPr>
            <w:r>
              <w:rPr>
                <w:rFonts w:ascii="Times New Roman" w:hAnsi="Times New Roman"/>
                <w:color w:val="000000"/>
                <w:sz w:val="18"/>
              </w:rPr>
              <w:t>0.0520</w:t>
            </w:r>
          </w:p>
        </w:tc>
        <w:tc>
          <w:tcPr>
            <w:tcW w:type="dxa" w:w="1040"/>
          </w:tcPr>
          <w:p>
            <w:pPr>
              <w:spacing w:line="240" w:lineRule="auto" w:before="0" w:after="0"/>
              <w:jc w:val="center"/>
            </w:pPr>
            <w:r>
              <w:rPr>
                <w:rFonts w:ascii="Times New Roman" w:hAnsi="Times New Roman"/>
                <w:color w:val="000000"/>
                <w:sz w:val="18"/>
              </w:rPr>
              <w:t>0.0526</w:t>
            </w:r>
          </w:p>
        </w:tc>
        <w:tc>
          <w:tcPr>
            <w:tcW w:type="dxa" w:w="1040"/>
          </w:tcPr>
          <w:p>
            <w:pPr>
              <w:spacing w:line="240" w:lineRule="auto" w:before="0" w:after="0"/>
              <w:jc w:val="center"/>
            </w:pPr>
            <w:r>
              <w:rPr>
                <w:rFonts w:ascii="Times New Roman" w:hAnsi="Times New Roman"/>
                <w:color w:val="000000"/>
                <w:sz w:val="18"/>
              </w:rPr>
              <w:t>0.0518</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48.8%</w:t>
            </w:r>
          </w:p>
        </w:tc>
        <w:tc>
          <w:tcPr>
            <w:tcW w:type="dxa" w:w="1040"/>
          </w:tcPr>
          <w:p>
            <w:pPr>
              <w:spacing w:line="240" w:lineRule="auto" w:before="0" w:after="0"/>
              <w:jc w:val="center"/>
            </w:pPr>
            <w:r>
              <w:rPr>
                <w:rFonts w:ascii="Times New Roman" w:hAnsi="Times New Roman"/>
                <w:color w:val="000000"/>
                <w:sz w:val="18"/>
              </w:rPr>
              <w:t>0.38</w:t>
            </w:r>
          </w:p>
        </w:tc>
        <w:tc>
          <w:tcPr>
            <w:tcW w:type="dxa" w:w="1040"/>
          </w:tcPr>
          <w:p>
            <w:pPr>
              <w:spacing w:line="240" w:lineRule="auto" w:before="0" w:after="0"/>
              <w:jc w:val="center"/>
            </w:pPr>
            <w:r>
              <w:rPr>
                <w:rFonts w:ascii="Times New Roman" w:hAnsi="Times New Roman"/>
                <w:color w:val="000000"/>
                <w:sz w:val="18"/>
              </w:rPr>
              <w:t>0.703</w:t>
            </w:r>
          </w:p>
        </w:tc>
      </w:tr>
      <w:tr>
        <w:trPr>
          <w:cantSplit/>
        </w:trPr>
        <w:tc>
          <w:tcPr>
            <w:tcW w:type="dxa" w:w="1040"/>
          </w:tcPr>
          <w:p>
            <w:pPr>
              <w:spacing w:line="240" w:lineRule="auto" w:before="0" w:after="0"/>
              <w:jc w:val="center"/>
            </w:pPr>
            <w:r>
              <w:rPr>
                <w:rFonts w:ascii="Times New Roman" w:hAnsi="Times New Roman"/>
                <w:color w:val="000000"/>
                <w:sz w:val="18"/>
              </w:rPr>
              <w:t>MANSARD</w:t>
            </w:r>
          </w:p>
        </w:tc>
        <w:tc>
          <w:tcPr>
            <w:tcW w:type="dxa" w:w="1040"/>
          </w:tcPr>
          <w:p>
            <w:pPr>
              <w:spacing w:line="240" w:lineRule="auto" w:before="0" w:after="0"/>
              <w:jc w:val="center"/>
            </w:pPr>
            <w:r>
              <w:rPr>
                <w:rFonts w:ascii="Times New Roman" w:hAnsi="Times New Roman"/>
                <w:color w:val="000000"/>
                <w:sz w:val="18"/>
              </w:rPr>
              <w:t>0.0908</w:t>
            </w:r>
          </w:p>
        </w:tc>
        <w:tc>
          <w:tcPr>
            <w:tcW w:type="dxa" w:w="1040"/>
          </w:tcPr>
          <w:p>
            <w:pPr>
              <w:spacing w:line="240" w:lineRule="auto" w:before="0" w:after="0"/>
              <w:jc w:val="center"/>
            </w:pPr>
            <w:r>
              <w:rPr>
                <w:rFonts w:ascii="Times New Roman" w:hAnsi="Times New Roman"/>
                <w:color w:val="000000"/>
                <w:sz w:val="18"/>
              </w:rPr>
              <w:t>0.0922</w:t>
            </w:r>
          </w:p>
        </w:tc>
        <w:tc>
          <w:tcPr>
            <w:tcW w:type="dxa" w:w="1040"/>
          </w:tcPr>
          <w:p>
            <w:pPr>
              <w:spacing w:line="240" w:lineRule="auto" w:before="0" w:after="0"/>
              <w:jc w:val="center"/>
            </w:pPr>
            <w:r>
              <w:rPr>
                <w:rFonts w:ascii="Times New Roman" w:hAnsi="Times New Roman"/>
                <w:color w:val="000000"/>
                <w:sz w:val="18"/>
              </w:rPr>
              <w:t>0.0918</w:t>
            </w:r>
          </w:p>
        </w:tc>
        <w:tc>
          <w:tcPr>
            <w:tcW w:type="dxa" w:w="1040"/>
          </w:tcPr>
          <w:p>
            <w:pPr>
              <w:spacing w:line="240" w:lineRule="auto" w:before="0" w:after="0"/>
              <w:jc w:val="center"/>
            </w:pPr>
            <w:r>
              <w:rPr>
                <w:rFonts w:ascii="Times New Roman" w:hAnsi="Times New Roman"/>
                <w:color w:val="000000"/>
                <w:sz w:val="18"/>
              </w:rPr>
              <w:t>50.0%</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-1.31</w:t>
            </w:r>
          </w:p>
        </w:tc>
        <w:tc>
          <w:tcPr>
            <w:tcW w:type="dxa" w:w="1040"/>
          </w:tcPr>
          <w:p>
            <w:pPr>
              <w:spacing w:line="240" w:lineRule="auto" w:before="0" w:after="0"/>
              <w:jc w:val="center"/>
            </w:pPr>
            <w:r>
              <w:rPr>
                <w:rFonts w:ascii="Times New Roman" w:hAnsi="Times New Roman"/>
                <w:color w:val="000000"/>
                <w:sz w:val="18"/>
              </w:rPr>
              <w:t>0.191</w:t>
            </w:r>
          </w:p>
        </w:tc>
      </w:tr>
      <w:tr>
        <w:trPr>
          <w:cantSplit/>
        </w:trPr>
        <w:tc>
          <w:tcPr>
            <w:tcW w:type="dxa" w:w="1040"/>
          </w:tcPr>
          <w:p>
            <w:pPr>
              <w:spacing w:line="240" w:lineRule="auto" w:before="0" w:after="0"/>
              <w:jc w:val="center"/>
            </w:pPr>
            <w:r>
              <w:rPr>
                <w:rFonts w:ascii="Times New Roman" w:hAnsi="Times New Roman"/>
                <w:color w:val="000000"/>
                <w:sz w:val="18"/>
              </w:rPr>
              <w:t>NAHCO</w:t>
            </w:r>
          </w:p>
        </w:tc>
        <w:tc>
          <w:tcPr>
            <w:tcW w:type="dxa" w:w="1040"/>
          </w:tcPr>
          <w:p>
            <w:pPr>
              <w:spacing w:line="240" w:lineRule="auto" w:before="0" w:after="0"/>
              <w:jc w:val="center"/>
            </w:pPr>
            <w:r>
              <w:rPr>
                <w:rFonts w:ascii="Times New Roman" w:hAnsi="Times New Roman"/>
                <w:color w:val="000000"/>
                <w:sz w:val="18"/>
              </w:rPr>
              <w:t>0.0651</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0.123</w:t>
            </w:r>
          </w:p>
        </w:tc>
      </w:tr>
      <w:tr>
        <w:trPr>
          <w:cantSplit/>
        </w:trPr>
        <w:tc>
          <w:tcPr>
            <w:tcW w:type="dxa" w:w="1040"/>
          </w:tcPr>
          <w:p>
            <w:pPr>
              <w:spacing w:line="240" w:lineRule="auto" w:before="0" w:after="0"/>
              <w:jc w:val="center"/>
            </w:pPr>
            <w:r>
              <w:rPr>
                <w:rFonts w:ascii="Times New Roman" w:hAnsi="Times New Roman"/>
                <w:color w:val="000000"/>
                <w:sz w:val="18"/>
              </w:rPr>
              <w:t>NASCON</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37.3%</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0.81</w:t>
            </w:r>
          </w:p>
        </w:tc>
        <w:tc>
          <w:tcPr>
            <w:tcW w:type="dxa" w:w="1040"/>
          </w:tcPr>
          <w:p>
            <w:pPr>
              <w:spacing w:line="240" w:lineRule="auto" w:before="0" w:after="0"/>
              <w:jc w:val="center"/>
            </w:pPr>
            <w:r>
              <w:rPr>
                <w:rFonts w:ascii="Times New Roman" w:hAnsi="Times New Roman"/>
                <w:color w:val="000000"/>
                <w:sz w:val="18"/>
              </w:rPr>
              <w:t>0.415</w:t>
            </w:r>
          </w:p>
        </w:tc>
      </w:tr>
      <w:tr>
        <w:trPr>
          <w:cantSplit/>
        </w:trPr>
        <w:tc>
          <w:tcPr>
            <w:tcW w:type="dxa" w:w="1040"/>
          </w:tcPr>
          <w:p>
            <w:pPr>
              <w:spacing w:line="240" w:lineRule="auto" w:before="0" w:after="0"/>
              <w:jc w:val="center"/>
            </w:pPr>
            <w:r>
              <w:rPr>
                <w:rFonts w:ascii="Times New Roman" w:hAnsi="Times New Roman"/>
                <w:color w:val="000000"/>
                <w:sz w:val="18"/>
              </w:rPr>
              <w:t>NESTLE</w:t>
            </w:r>
          </w:p>
        </w:tc>
        <w:tc>
          <w:tcPr>
            <w:tcW w:type="dxa" w:w="1040"/>
          </w:tcPr>
          <w:p>
            <w:pPr>
              <w:spacing w:line="240" w:lineRule="auto" w:before="0" w:after="0"/>
              <w:jc w:val="center"/>
            </w:pPr>
            <w:r>
              <w:rPr>
                <w:rFonts w:ascii="Times New Roman" w:hAnsi="Times New Roman"/>
                <w:color w:val="000000"/>
                <w:sz w:val="18"/>
              </w:rPr>
              <w:t>0.0401</w:t>
            </w:r>
          </w:p>
        </w:tc>
        <w:tc>
          <w:tcPr>
            <w:tcW w:type="dxa" w:w="1040"/>
          </w:tcPr>
          <w:p>
            <w:pPr>
              <w:spacing w:line="240" w:lineRule="auto" w:before="0" w:after="0"/>
              <w:jc w:val="center"/>
            </w:pPr>
            <w:r>
              <w:rPr>
                <w:rFonts w:ascii="Times New Roman" w:hAnsi="Times New Roman"/>
                <w:color w:val="000000"/>
                <w:sz w:val="18"/>
              </w:rPr>
              <w:t>0.0432</w:t>
            </w:r>
          </w:p>
        </w:tc>
        <w:tc>
          <w:tcPr>
            <w:tcW w:type="dxa" w:w="1040"/>
          </w:tcPr>
          <w:p>
            <w:pPr>
              <w:spacing w:line="240" w:lineRule="auto" w:before="0" w:after="0"/>
              <w:jc w:val="center"/>
            </w:pPr>
            <w:r>
              <w:rPr>
                <w:rFonts w:ascii="Times New Roman" w:hAnsi="Times New Roman"/>
                <w:color w:val="000000"/>
                <w:sz w:val="18"/>
              </w:rPr>
              <w:t>0.0413</w:t>
            </w:r>
          </w:p>
        </w:tc>
        <w:tc>
          <w:tcPr>
            <w:tcW w:type="dxa" w:w="1040"/>
          </w:tcPr>
          <w:p>
            <w:pPr>
              <w:spacing w:line="240" w:lineRule="auto" w:before="0" w:after="0"/>
              <w:jc w:val="center"/>
            </w:pPr>
            <w:r>
              <w:rPr>
                <w:rFonts w:ascii="Times New Roman" w:hAnsi="Times New Roman"/>
                <w:color w:val="000000"/>
                <w:sz w:val="18"/>
              </w:rPr>
              <w:t>17.3%</w:t>
            </w:r>
          </w:p>
        </w:tc>
        <w:tc>
          <w:tcPr>
            <w:tcW w:type="dxa" w:w="1040"/>
          </w:tcPr>
          <w:p>
            <w:pPr>
              <w:spacing w:line="240" w:lineRule="auto" w:before="0" w:after="0"/>
              <w:jc w:val="center"/>
            </w:pPr>
            <w:r>
              <w:rPr>
                <w:rFonts w:ascii="Times New Roman" w:hAnsi="Times New Roman"/>
                <w:color w:val="000000"/>
                <w:sz w:val="18"/>
              </w:rPr>
              <w:t>20.0%</w:t>
            </w:r>
          </w:p>
        </w:tc>
        <w:tc>
          <w:tcPr>
            <w:tcW w:type="dxa" w:w="1040"/>
          </w:tcPr>
          <w:p>
            <w:pPr>
              <w:spacing w:line="240" w:lineRule="auto" w:before="0" w:after="0"/>
              <w:jc w:val="center"/>
            </w:pPr>
            <w:r>
              <w:rPr>
                <w:rFonts w:ascii="Times New Roman" w:hAnsi="Times New Roman"/>
                <w:color w:val="000000"/>
                <w:sz w:val="18"/>
              </w:rPr>
              <w:t>18.8%</w:t>
            </w:r>
          </w:p>
        </w:tc>
        <w:tc>
          <w:tcPr>
            <w:tcW w:type="dxa" w:w="1040"/>
          </w:tcPr>
          <w:p>
            <w:pPr>
              <w:spacing w:line="240" w:lineRule="auto" w:before="0" w:after="0"/>
              <w:jc w:val="center"/>
            </w:pPr>
            <w:r>
              <w:rPr>
                <w:rFonts w:ascii="Times New Roman" w:hAnsi="Times New Roman"/>
                <w:color w:val="000000"/>
                <w:sz w:val="18"/>
              </w:rPr>
              <w:t>-2.25</w:t>
            </w:r>
          </w:p>
        </w:tc>
        <w:tc>
          <w:tcPr>
            <w:tcW w:type="dxa" w:w="1040"/>
          </w:tcPr>
          <w:p>
            <w:pPr>
              <w:spacing w:line="240" w:lineRule="auto" w:before="0" w:after="0"/>
              <w:jc w:val="center"/>
            </w:pPr>
            <w:r>
              <w:rPr>
                <w:rFonts w:ascii="Times New Roman" w:hAnsi="Times New Roman"/>
                <w:color w:val="000000"/>
                <w:sz w:val="18"/>
              </w:rPr>
              <w:t>0.024</w:t>
            </w:r>
          </w:p>
        </w:tc>
      </w:tr>
      <w:tr>
        <w:trPr>
          <w:cantSplit/>
        </w:trPr>
        <w:tc>
          <w:tcPr>
            <w:tcW w:type="dxa" w:w="1040"/>
          </w:tcPr>
          <w:p>
            <w:pPr>
              <w:spacing w:line="240" w:lineRule="auto" w:before="0" w:after="0"/>
              <w:jc w:val="center"/>
            </w:pPr>
            <w:r>
              <w:rPr>
                <w:rFonts w:ascii="Times New Roman" w:hAnsi="Times New Roman"/>
                <w:color w:val="000000"/>
                <w:sz w:val="18"/>
              </w:rPr>
              <w:t>NB</w:t>
            </w:r>
          </w:p>
        </w:tc>
        <w:tc>
          <w:tcPr>
            <w:tcW w:type="dxa" w:w="1040"/>
          </w:tcPr>
          <w:p>
            <w:pPr>
              <w:spacing w:line="240" w:lineRule="auto" w:before="0" w:after="0"/>
              <w:jc w:val="center"/>
            </w:pPr>
            <w:r>
              <w:rPr>
                <w:rFonts w:ascii="Times New Roman" w:hAnsi="Times New Roman"/>
                <w:color w:val="000000"/>
                <w:sz w:val="18"/>
              </w:rPr>
              <w:t>0.0591</w:t>
            </w:r>
          </w:p>
        </w:tc>
        <w:tc>
          <w:tcPr>
            <w:tcW w:type="dxa" w:w="1040"/>
          </w:tcPr>
          <w:p>
            <w:pPr>
              <w:spacing w:line="240" w:lineRule="auto" w:before="0" w:after="0"/>
              <w:jc w:val="center"/>
            </w:pPr>
            <w:r>
              <w:rPr>
                <w:rFonts w:ascii="Times New Roman" w:hAnsi="Times New Roman"/>
                <w:color w:val="000000"/>
                <w:sz w:val="18"/>
              </w:rPr>
              <w:t>0.0620</w:t>
            </w:r>
          </w:p>
        </w:tc>
        <w:tc>
          <w:tcPr>
            <w:tcW w:type="dxa" w:w="1040"/>
          </w:tcPr>
          <w:p>
            <w:pPr>
              <w:spacing w:line="240" w:lineRule="auto" w:before="0" w:after="0"/>
              <w:jc w:val="center"/>
            </w:pPr>
            <w:r>
              <w:rPr>
                <w:rFonts w:ascii="Times New Roman" w:hAnsi="Times New Roman"/>
                <w:color w:val="000000"/>
                <w:sz w:val="18"/>
              </w:rPr>
              <w:t>0.0609</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-1.89</w:t>
            </w:r>
          </w:p>
        </w:tc>
        <w:tc>
          <w:tcPr>
            <w:tcW w:type="dxa" w:w="1040"/>
          </w:tcPr>
          <w:p>
            <w:pPr>
              <w:spacing w:line="240" w:lineRule="auto" w:before="0" w:after="0"/>
              <w:jc w:val="center"/>
            </w:pPr>
            <w:r>
              <w:rPr>
                <w:rFonts w:ascii="Times New Roman" w:hAnsi="Times New Roman"/>
                <w:color w:val="000000"/>
                <w:sz w:val="18"/>
              </w:rPr>
              <w:t>0.059</w:t>
            </w:r>
          </w:p>
        </w:tc>
      </w:tr>
      <w:tr>
        <w:trPr>
          <w:cantSplit/>
        </w:trPr>
        <w:tc>
          <w:tcPr>
            <w:tcW w:type="dxa" w:w="1040"/>
          </w:tcPr>
          <w:p>
            <w:pPr>
              <w:spacing w:line="240" w:lineRule="auto" w:before="0" w:after="0"/>
              <w:jc w:val="center"/>
            </w:pPr>
            <w:r>
              <w:rPr>
                <w:rFonts w:ascii="Times New Roman" w:hAnsi="Times New Roman"/>
                <w:color w:val="000000"/>
                <w:sz w:val="18"/>
              </w:rPr>
              <w:t>OKOMUOIL</w:t>
            </w:r>
          </w:p>
        </w:tc>
        <w:tc>
          <w:tcPr>
            <w:tcW w:type="dxa" w:w="1040"/>
          </w:tcPr>
          <w:p>
            <w:pPr>
              <w:spacing w:line="240" w:lineRule="auto" w:before="0" w:after="0"/>
              <w:jc w:val="center"/>
            </w:pPr>
            <w:r>
              <w:rPr>
                <w:rFonts w:ascii="Times New Roman" w:hAnsi="Times New Roman"/>
                <w:color w:val="000000"/>
                <w:sz w:val="18"/>
              </w:rPr>
              <w:t>0.0459</w:t>
            </w:r>
          </w:p>
        </w:tc>
        <w:tc>
          <w:tcPr>
            <w:tcW w:type="dxa" w:w="1040"/>
          </w:tcPr>
          <w:p>
            <w:pPr>
              <w:spacing w:line="240" w:lineRule="auto" w:before="0" w:after="0"/>
              <w:jc w:val="center"/>
            </w:pPr>
            <w:r>
              <w:rPr>
                <w:rFonts w:ascii="Times New Roman" w:hAnsi="Times New Roman"/>
                <w:color w:val="000000"/>
                <w:sz w:val="18"/>
              </w:rPr>
              <w:t>0.0467</w:t>
            </w:r>
          </w:p>
        </w:tc>
        <w:tc>
          <w:tcPr>
            <w:tcW w:type="dxa" w:w="1040"/>
          </w:tcPr>
          <w:p>
            <w:pPr>
              <w:spacing w:line="240" w:lineRule="auto" w:before="0" w:after="0"/>
              <w:jc w:val="center"/>
            </w:pPr>
            <w:r>
              <w:rPr>
                <w:rFonts w:ascii="Times New Roman" w:hAnsi="Times New Roman"/>
                <w:color w:val="000000"/>
                <w:sz w:val="18"/>
              </w:rPr>
              <w:t>0.0465</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-1.09</w:t>
            </w:r>
          </w:p>
        </w:tc>
        <w:tc>
          <w:tcPr>
            <w:tcW w:type="dxa" w:w="1040"/>
          </w:tcPr>
          <w:p>
            <w:pPr>
              <w:spacing w:line="240" w:lineRule="auto" w:before="0" w:after="0"/>
              <w:jc w:val="center"/>
            </w:pPr>
            <w:r>
              <w:rPr>
                <w:rFonts w:ascii="Times New Roman" w:hAnsi="Times New Roman"/>
                <w:color w:val="000000"/>
                <w:sz w:val="18"/>
              </w:rPr>
              <w:t>0.278</w:t>
            </w:r>
          </w:p>
        </w:tc>
      </w:tr>
      <w:tr>
        <w:trPr>
          <w:cantSplit/>
        </w:trPr>
        <w:tc>
          <w:tcPr>
            <w:tcW w:type="dxa" w:w="1040"/>
          </w:tcPr>
          <w:p>
            <w:pPr>
              <w:spacing w:line="240" w:lineRule="auto" w:before="0" w:after="0"/>
              <w:jc w:val="center"/>
            </w:pPr>
            <w:r>
              <w:rPr>
                <w:rFonts w:ascii="Times New Roman" w:hAnsi="Times New Roman"/>
                <w:color w:val="000000"/>
                <w:sz w:val="18"/>
              </w:rPr>
              <w:t>PRESCO</w:t>
            </w:r>
          </w:p>
        </w:tc>
        <w:tc>
          <w:tcPr>
            <w:tcW w:type="dxa" w:w="1040"/>
          </w:tcPr>
          <w:p>
            <w:pPr>
              <w:spacing w:line="240" w:lineRule="auto" w:before="0" w:after="0"/>
              <w:jc w:val="center"/>
            </w:pPr>
            <w:r>
              <w:rPr>
                <w:rFonts w:ascii="Times New Roman" w:hAnsi="Times New Roman"/>
                <w:color w:val="000000"/>
                <w:sz w:val="18"/>
              </w:rPr>
              <w:t>0.0491</w:t>
            </w:r>
          </w:p>
        </w:tc>
        <w:tc>
          <w:tcPr>
            <w:tcW w:type="dxa" w:w="1040"/>
          </w:tcPr>
          <w:p>
            <w:pPr>
              <w:spacing w:line="240" w:lineRule="auto" w:before="0" w:after="0"/>
              <w:jc w:val="center"/>
            </w:pPr>
            <w:r>
              <w:rPr>
                <w:rFonts w:ascii="Times New Roman" w:hAnsi="Times New Roman"/>
                <w:color w:val="000000"/>
                <w:sz w:val="18"/>
              </w:rPr>
              <w:t>0.0519</w:t>
            </w:r>
          </w:p>
        </w:tc>
        <w:tc>
          <w:tcPr>
            <w:tcW w:type="dxa" w:w="1040"/>
          </w:tcPr>
          <w:p>
            <w:pPr>
              <w:spacing w:line="240" w:lineRule="auto" w:before="0" w:after="0"/>
              <w:jc w:val="center"/>
            </w:pPr>
            <w:r>
              <w:rPr>
                <w:rFonts w:ascii="Times New Roman" w:hAnsi="Times New Roman"/>
                <w:color w:val="000000"/>
                <w:sz w:val="18"/>
              </w:rPr>
              <w:t>0.0495</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21.5%</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0.387</w:t>
            </w:r>
          </w:p>
        </w:tc>
      </w:tr>
      <w:tr>
        <w:trPr>
          <w:cantSplit/>
        </w:trPr>
        <w:tc>
          <w:tcPr>
            <w:tcW w:type="dxa" w:w="1040"/>
          </w:tcPr>
          <w:p>
            <w:pPr>
              <w:spacing w:line="240" w:lineRule="auto" w:before="0" w:after="0"/>
              <w:jc w:val="center"/>
            </w:pPr>
            <w:r>
              <w:rPr>
                <w:rFonts w:ascii="Times New Roman" w:hAnsi="Times New Roman"/>
                <w:color w:val="000000"/>
                <w:sz w:val="18"/>
              </w:rPr>
              <w:t>STANBIC</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41.5%</w:t>
            </w:r>
          </w:p>
        </w:tc>
        <w:tc>
          <w:tcPr>
            <w:tcW w:type="dxa" w:w="1040"/>
          </w:tcPr>
          <w:p>
            <w:pPr>
              <w:spacing w:line="240" w:lineRule="auto" w:before="0" w:after="0"/>
              <w:jc w:val="center"/>
            </w:pPr>
            <w:r>
              <w:rPr>
                <w:rFonts w:ascii="Times New Roman" w:hAnsi="Times New Roman"/>
                <w:color w:val="000000"/>
                <w:sz w:val="18"/>
              </w:rPr>
              <w:t>0.72</w:t>
            </w:r>
          </w:p>
        </w:tc>
        <w:tc>
          <w:tcPr>
            <w:tcW w:type="dxa" w:w="1040"/>
          </w:tcPr>
          <w:p>
            <w:pPr>
              <w:spacing w:line="240" w:lineRule="auto" w:before="0" w:after="0"/>
              <w:jc w:val="center"/>
            </w:pPr>
            <w:r>
              <w:rPr>
                <w:rFonts w:ascii="Times New Roman" w:hAnsi="Times New Roman"/>
                <w:color w:val="000000"/>
                <w:sz w:val="18"/>
              </w:rPr>
              <w:t>0.474</w:t>
            </w:r>
          </w:p>
        </w:tc>
      </w:tr>
      <w:tr>
        <w:trPr>
          <w:cantSplit/>
        </w:trPr>
        <w:tc>
          <w:tcPr>
            <w:tcW w:type="dxa" w:w="1040"/>
          </w:tcPr>
          <w:p>
            <w:pPr>
              <w:spacing w:line="240" w:lineRule="auto" w:before="0" w:after="0"/>
              <w:jc w:val="center"/>
            </w:pPr>
            <w:r>
              <w:rPr>
                <w:rFonts w:ascii="Times New Roman" w:hAnsi="Times New Roman"/>
                <w:color w:val="000000"/>
                <w:sz w:val="18"/>
              </w:rPr>
              <w:t>STERLINGNG</w:t>
            </w:r>
          </w:p>
        </w:tc>
        <w:tc>
          <w:tcPr>
            <w:tcW w:type="dxa" w:w="1040"/>
          </w:tcPr>
          <w:p>
            <w:pPr>
              <w:spacing w:line="240" w:lineRule="auto" w:before="0" w:after="0"/>
              <w:jc w:val="center"/>
            </w:pPr>
            <w:r>
              <w:rPr>
                <w:rFonts w:ascii="Times New Roman" w:hAnsi="Times New Roman"/>
                <w:color w:val="000000"/>
                <w:sz w:val="18"/>
              </w:rPr>
              <w:t>0.0697</w:t>
            </w:r>
          </w:p>
        </w:tc>
        <w:tc>
          <w:tcPr>
            <w:tcW w:type="dxa" w:w="1040"/>
          </w:tcPr>
          <w:p>
            <w:pPr>
              <w:spacing w:line="240" w:lineRule="auto" w:before="0" w:after="0"/>
              <w:jc w:val="center"/>
            </w:pPr>
            <w:r>
              <w:rPr>
                <w:rFonts w:ascii="Times New Roman" w:hAnsi="Times New Roman"/>
                <w:color w:val="000000"/>
                <w:sz w:val="18"/>
              </w:rPr>
              <w:t>0.0760</w:t>
            </w:r>
          </w:p>
        </w:tc>
        <w:tc>
          <w:tcPr>
            <w:tcW w:type="dxa" w:w="1040"/>
          </w:tcPr>
          <w:p>
            <w:pPr>
              <w:spacing w:line="240" w:lineRule="auto" w:before="0" w:after="0"/>
              <w:jc w:val="center"/>
            </w:pPr>
            <w:r>
              <w:rPr>
                <w:rFonts w:ascii="Times New Roman" w:hAnsi="Times New Roman"/>
                <w:color w:val="000000"/>
                <w:sz w:val="18"/>
              </w:rPr>
              <w:t>0.0701</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42.3%</w:t>
            </w:r>
          </w:p>
        </w:tc>
        <w:tc>
          <w:tcPr>
            <w:tcW w:type="dxa" w:w="1040"/>
          </w:tcPr>
          <w:p>
            <w:pPr>
              <w:spacing w:line="240" w:lineRule="auto" w:before="0" w:after="0"/>
              <w:jc w:val="center"/>
            </w:pPr>
            <w:r>
              <w:rPr>
                <w:rFonts w:ascii="Times New Roman" w:hAnsi="Times New Roman"/>
                <w:color w:val="000000"/>
                <w:sz w:val="18"/>
              </w:rPr>
              <w:t>-0.39</w:t>
            </w:r>
          </w:p>
        </w:tc>
        <w:tc>
          <w:tcPr>
            <w:tcW w:type="dxa" w:w="1040"/>
          </w:tcPr>
          <w:p>
            <w:pPr>
              <w:spacing w:line="240" w:lineRule="auto" w:before="0" w:after="0"/>
              <w:jc w:val="center"/>
            </w:pPr>
            <w:r>
              <w:rPr>
                <w:rFonts w:ascii="Times New Roman" w:hAnsi="Times New Roman"/>
                <w:color w:val="000000"/>
                <w:sz w:val="18"/>
              </w:rPr>
              <w:t>0.694</w:t>
            </w:r>
          </w:p>
        </w:tc>
      </w:tr>
      <w:tr>
        <w:trPr>
          <w:cantSplit/>
        </w:trPr>
        <w:tc>
          <w:tcPr>
            <w:tcW w:type="dxa" w:w="1040"/>
          </w:tcPr>
          <w:p>
            <w:pPr>
              <w:spacing w:line="240" w:lineRule="auto" w:before="0" w:after="0"/>
              <w:jc w:val="center"/>
            </w:pPr>
            <w:r>
              <w:rPr>
                <w:rFonts w:ascii="Times New Roman" w:hAnsi="Times New Roman"/>
                <w:color w:val="000000"/>
                <w:sz w:val="18"/>
              </w:rPr>
              <w:t>TRANSCORP</w:t>
            </w:r>
          </w:p>
        </w:tc>
        <w:tc>
          <w:tcPr>
            <w:tcW w:type="dxa" w:w="1040"/>
          </w:tcPr>
          <w:p>
            <w:pPr>
              <w:spacing w:line="240" w:lineRule="auto" w:before="0" w:after="0"/>
              <w:jc w:val="center"/>
            </w:pPr>
            <w:r>
              <w:rPr>
                <w:rFonts w:ascii="Times New Roman" w:hAnsi="Times New Roman"/>
                <w:color w:val="000000"/>
                <w:sz w:val="18"/>
              </w:rPr>
              <w:t>0.0812</w:t>
            </w:r>
          </w:p>
        </w:tc>
        <w:tc>
          <w:tcPr>
            <w:tcW w:type="dxa" w:w="1040"/>
          </w:tcPr>
          <w:p>
            <w:pPr>
              <w:spacing w:line="240" w:lineRule="auto" w:before="0" w:after="0"/>
              <w:jc w:val="center"/>
            </w:pPr>
            <w:r>
              <w:rPr>
                <w:rFonts w:ascii="Times New Roman" w:hAnsi="Times New Roman"/>
                <w:color w:val="000000"/>
                <w:sz w:val="18"/>
              </w:rPr>
              <w:t>0.0804</w:t>
            </w:r>
          </w:p>
        </w:tc>
        <w:tc>
          <w:tcPr>
            <w:tcW w:type="dxa" w:w="1040"/>
          </w:tcPr>
          <w:p>
            <w:pPr>
              <w:spacing w:line="240" w:lineRule="auto" w:before="0" w:after="0"/>
              <w:jc w:val="center"/>
            </w:pPr>
            <w:r>
              <w:rPr>
                <w:rFonts w:ascii="Times New Roman" w:hAnsi="Times New Roman"/>
                <w:color w:val="000000"/>
                <w:sz w:val="18"/>
              </w:rPr>
              <w:t>0.0794</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0.383</w:t>
            </w:r>
          </w:p>
        </w:tc>
      </w:tr>
      <w:tr>
        <w:trPr>
          <w:cantSplit/>
        </w:trPr>
        <w:tc>
          <w:tcPr>
            <w:tcW w:type="dxa" w:w="1040"/>
          </w:tcPr>
          <w:p>
            <w:pPr>
              <w:spacing w:line="240" w:lineRule="auto" w:before="0" w:after="0"/>
              <w:jc w:val="center"/>
            </w:pPr>
            <w:r>
              <w:rPr>
                <w:rFonts w:ascii="Times New Roman" w:hAnsi="Times New Roman"/>
                <w:color w:val="000000"/>
                <w:sz w:val="18"/>
              </w:rPr>
              <w:t>UACN</w:t>
            </w:r>
          </w:p>
        </w:tc>
        <w:tc>
          <w:tcPr>
            <w:tcW w:type="dxa" w:w="1040"/>
          </w:tcPr>
          <w:p>
            <w:pPr>
              <w:spacing w:line="240" w:lineRule="auto" w:before="0" w:after="0"/>
              <w:jc w:val="center"/>
            </w:pPr>
            <w:r>
              <w:rPr>
                <w:rFonts w:ascii="Times New Roman" w:hAnsi="Times New Roman"/>
                <w:color w:val="000000"/>
                <w:sz w:val="18"/>
              </w:rPr>
              <w:t>0.0789</w:t>
            </w:r>
          </w:p>
        </w:tc>
        <w:tc>
          <w:tcPr>
            <w:tcW w:type="dxa" w:w="1040"/>
          </w:tcPr>
          <w:p>
            <w:pPr>
              <w:spacing w:line="240" w:lineRule="auto" w:before="0" w:after="0"/>
              <w:jc w:val="center"/>
            </w:pPr>
            <w:r>
              <w:rPr>
                <w:rFonts w:ascii="Times New Roman" w:hAnsi="Times New Roman"/>
                <w:color w:val="000000"/>
                <w:sz w:val="18"/>
              </w:rPr>
              <w:t>0.0913</w:t>
            </w:r>
          </w:p>
        </w:tc>
        <w:tc>
          <w:tcPr>
            <w:tcW w:type="dxa" w:w="1040"/>
          </w:tcPr>
          <w:p>
            <w:pPr>
              <w:spacing w:line="240" w:lineRule="auto" w:before="0" w:after="0"/>
              <w:jc w:val="center"/>
            </w:pPr>
            <w:r>
              <w:rPr>
                <w:rFonts w:ascii="Times New Roman" w:hAnsi="Times New Roman"/>
                <w:color w:val="000000"/>
                <w:sz w:val="18"/>
              </w:rPr>
              <w:t>0.0795</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41.2%</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0.137</w:t>
            </w:r>
          </w:p>
        </w:tc>
      </w:tr>
      <w:tr>
        <w:trPr>
          <w:cantSplit/>
        </w:trPr>
        <w:tc>
          <w:tcPr>
            <w:tcW w:type="dxa" w:w="1040"/>
          </w:tcPr>
          <w:p>
            <w:pPr>
              <w:spacing w:line="240" w:lineRule="auto" w:before="0" w:after="0"/>
              <w:jc w:val="center"/>
            </w:pPr>
            <w:r>
              <w:rPr>
                <w:rFonts w:ascii="Times New Roman" w:hAnsi="Times New Roman"/>
                <w:color w:val="000000"/>
                <w:sz w:val="18"/>
              </w:rPr>
              <w:t>UBA</w:t>
            </w:r>
          </w:p>
        </w:tc>
        <w:tc>
          <w:tcPr>
            <w:tcW w:type="dxa" w:w="1040"/>
          </w:tcPr>
          <w:p>
            <w:pPr>
              <w:spacing w:line="240" w:lineRule="auto" w:before="0" w:after="0"/>
              <w:jc w:val="center"/>
            </w:pPr>
            <w:r>
              <w:rPr>
                <w:rFonts w:ascii="Times New Roman" w:hAnsi="Times New Roman"/>
                <w:color w:val="000000"/>
                <w:sz w:val="18"/>
              </w:rPr>
              <w:t>0.0490</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0.0493</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0.363</w:t>
            </w:r>
          </w:p>
        </w:tc>
      </w:tr>
      <w:tr>
        <w:trPr>
          <w:cantSplit/>
        </w:trPr>
        <w:tc>
          <w:tcPr>
            <w:tcW w:type="dxa" w:w="1040"/>
          </w:tcPr>
          <w:p>
            <w:pPr>
              <w:spacing w:line="240" w:lineRule="auto" w:before="0" w:after="0"/>
              <w:jc w:val="center"/>
            </w:pPr>
            <w:r>
              <w:rPr>
                <w:rFonts w:ascii="Times New Roman" w:hAnsi="Times New Roman"/>
                <w:color w:val="000000"/>
                <w:sz w:val="18"/>
              </w:rPr>
              <w:t>UNILEVER</w:t>
            </w:r>
          </w:p>
        </w:tc>
        <w:tc>
          <w:tcPr>
            <w:tcW w:type="dxa" w:w="1040"/>
          </w:tcPr>
          <w:p>
            <w:pPr>
              <w:spacing w:line="240" w:lineRule="auto" w:before="0" w:after="0"/>
              <w:jc w:val="center"/>
            </w:pPr>
            <w:r>
              <w:rPr>
                <w:rFonts w:ascii="Times New Roman" w:hAnsi="Times New Roman"/>
                <w:color w:val="000000"/>
                <w:sz w:val="18"/>
              </w:rPr>
              <w:t>0.0553</w:t>
            </w:r>
          </w:p>
        </w:tc>
        <w:tc>
          <w:tcPr>
            <w:tcW w:type="dxa" w:w="1040"/>
          </w:tcPr>
          <w:p>
            <w:pPr>
              <w:spacing w:line="240" w:lineRule="auto" w:before="0" w:after="0"/>
              <w:jc w:val="center"/>
            </w:pPr>
            <w:r>
              <w:rPr>
                <w:rFonts w:ascii="Times New Roman" w:hAnsi="Times New Roman"/>
                <w:color w:val="000000"/>
                <w:sz w:val="18"/>
              </w:rPr>
              <w:t>0.0561</w:t>
            </w:r>
          </w:p>
        </w:tc>
        <w:tc>
          <w:tcPr>
            <w:tcW w:type="dxa" w:w="1040"/>
          </w:tcPr>
          <w:p>
            <w:pPr>
              <w:spacing w:line="240" w:lineRule="auto" w:before="0" w:after="0"/>
              <w:jc w:val="center"/>
            </w:pPr>
            <w:r>
              <w:rPr>
                <w:rFonts w:ascii="Times New Roman" w:hAnsi="Times New Roman"/>
                <w:color w:val="000000"/>
                <w:sz w:val="18"/>
              </w:rPr>
              <w:t>0.0551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38.5%</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1.72</w:t>
            </w:r>
          </w:p>
        </w:tc>
        <w:tc>
          <w:tcPr>
            <w:tcW w:type="dxa" w:w="1040"/>
          </w:tcPr>
          <w:p>
            <w:pPr>
              <w:spacing w:line="240" w:lineRule="auto" w:before="0" w:after="0"/>
              <w:jc w:val="center"/>
            </w:pPr>
            <w:r>
              <w:rPr>
                <w:rFonts w:ascii="Times New Roman" w:hAnsi="Times New Roman"/>
                <w:color w:val="000000"/>
                <w:sz w:val="18"/>
              </w:rPr>
              <w:t>0.085</w:t>
            </w:r>
          </w:p>
        </w:tc>
      </w:tr>
      <w:tr>
        <w:trPr>
          <w:cantSplit/>
        </w:trPr>
        <w:tc>
          <w:tcPr>
            <w:tcW w:type="dxa" w:w="1040"/>
          </w:tcPr>
          <w:p>
            <w:pPr>
              <w:spacing w:line="240" w:lineRule="auto" w:before="0" w:after="0"/>
              <w:jc w:val="center"/>
            </w:pPr>
            <w:r>
              <w:rPr>
                <w:rFonts w:ascii="Times New Roman" w:hAnsi="Times New Roman"/>
                <w:color w:val="000000"/>
                <w:sz w:val="18"/>
              </w:rPr>
              <w:t>WEMABANK</w:t>
            </w:r>
          </w:p>
        </w:tc>
        <w:tc>
          <w:tcPr>
            <w:tcW w:type="dxa" w:w="1040"/>
          </w:tcPr>
          <w:p>
            <w:pPr>
              <w:spacing w:line="240" w:lineRule="auto" w:before="0" w:after="0"/>
              <w:jc w:val="center"/>
            </w:pPr>
            <w:r>
              <w:rPr>
                <w:rFonts w:ascii="Times New Roman" w:hAnsi="Times New Roman"/>
                <w:color w:val="000000"/>
                <w:sz w:val="18"/>
              </w:rPr>
              <w:t>0.0693</w:t>
            </w:r>
          </w:p>
        </w:tc>
        <w:tc>
          <w:tcPr>
            <w:tcW w:type="dxa" w:w="1040"/>
          </w:tcPr>
          <w:p>
            <w:pPr>
              <w:spacing w:line="240" w:lineRule="auto" w:before="0" w:after="0"/>
              <w:jc w:val="center"/>
            </w:pPr>
            <w:r>
              <w:rPr>
                <w:rFonts w:ascii="Times New Roman" w:hAnsi="Times New Roman"/>
                <w:color w:val="000000"/>
                <w:sz w:val="18"/>
              </w:rPr>
              <w:t>0.0681</w:t>
            </w:r>
          </w:p>
        </w:tc>
        <w:tc>
          <w:tcPr>
            <w:tcW w:type="dxa" w:w="1040"/>
          </w:tcPr>
          <w:p>
            <w:pPr>
              <w:spacing w:line="240" w:lineRule="auto" w:before="0" w:after="0"/>
              <w:jc w:val="center"/>
            </w:pPr>
            <w:r>
              <w:rPr>
                <w:rFonts w:ascii="Times New Roman" w:hAnsi="Times New Roman"/>
                <w:color w:val="000000"/>
                <w:sz w:val="18"/>
              </w:rPr>
              <w:t>0.0696</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-0.53</w:t>
            </w:r>
          </w:p>
        </w:tc>
        <w:tc>
          <w:tcPr>
            <w:tcW w:type="dxa" w:w="1040"/>
          </w:tcPr>
          <w:p>
            <w:pPr>
              <w:spacing w:line="240" w:lineRule="auto" w:before="0" w:after="0"/>
              <w:jc w:val="center"/>
            </w:pPr>
            <w:r>
              <w:rPr>
                <w:rFonts w:ascii="Times New Roman" w:hAnsi="Times New Roman"/>
                <w:color w:val="000000"/>
                <w:sz w:val="18"/>
              </w:rPr>
              <w:t>0.599</w:t>
            </w:r>
          </w:p>
        </w:tc>
      </w:tr>
      <w:tr>
        <w:trPr>
          <w:cantSplit/>
        </w:trPr>
        <w:tc>
          <w:tcPr>
            <w:tcW w:type="dxa" w:w="1040"/>
          </w:tcPr>
          <w:p>
            <w:pPr>
              <w:spacing w:line="240" w:lineRule="auto" w:before="0" w:after="0"/>
              <w:jc w:val="center"/>
            </w:pPr>
            <w:r>
              <w:rPr>
                <w:rFonts w:ascii="Times New Roman" w:hAnsi="Times New Roman"/>
                <w:color w:val="000000"/>
                <w:sz w:val="18"/>
              </w:rPr>
              <w:t>ZENITHBANK</w:t>
            </w:r>
          </w:p>
        </w:tc>
        <w:tc>
          <w:tcPr>
            <w:tcW w:type="dxa" w:w="1040"/>
          </w:tcPr>
          <w:p>
            <w:pPr>
              <w:spacing w:line="240" w:lineRule="auto" w:before="0" w:after="0"/>
              <w:jc w:val="center"/>
            </w:pPr>
            <w:r>
              <w:rPr>
                <w:rFonts w:ascii="Times New Roman" w:hAnsi="Times New Roman"/>
                <w:color w:val="000000"/>
                <w:sz w:val="18"/>
              </w:rPr>
              <w:t>0.0449</w:t>
            </w:r>
          </w:p>
        </w:tc>
        <w:tc>
          <w:tcPr>
            <w:tcW w:type="dxa" w:w="1040"/>
          </w:tcPr>
          <w:p>
            <w:pPr>
              <w:spacing w:line="240" w:lineRule="auto" w:before="0" w:after="0"/>
              <w:jc w:val="center"/>
            </w:pPr>
            <w:r>
              <w:rPr>
                <w:rFonts w:ascii="Times New Roman" w:hAnsi="Times New Roman"/>
                <w:color w:val="000000"/>
                <w:sz w:val="18"/>
              </w:rPr>
              <w:t>0.0473</w:t>
            </w:r>
          </w:p>
        </w:tc>
        <w:tc>
          <w:tcPr>
            <w:tcW w:type="dxa" w:w="1040"/>
          </w:tcPr>
          <w:p>
            <w:pPr>
              <w:spacing w:line="240" w:lineRule="auto" w:before="0" w:after="0"/>
              <w:jc w:val="center"/>
            </w:pPr>
            <w:r>
              <w:rPr>
                <w:rFonts w:ascii="Times New Roman" w:hAnsi="Times New Roman"/>
                <w:color w:val="000000"/>
                <w:sz w:val="18"/>
              </w:rPr>
              <w:t>0.0458</w:t>
            </w:r>
          </w:p>
        </w:tc>
        <w:tc>
          <w:tcPr>
            <w:tcW w:type="dxa" w:w="1040"/>
          </w:tcPr>
          <w:p>
            <w:pPr>
              <w:spacing w:line="240" w:lineRule="auto" w:before="0" w:after="0"/>
              <w:jc w:val="center"/>
            </w:pPr>
            <w:r>
              <w:rPr>
                <w:rFonts w:ascii="Times New Roman" w:hAnsi="Times New Roman"/>
                <w:color w:val="000000"/>
                <w:sz w:val="18"/>
              </w:rPr>
              <w:t>51.2%</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-1.96</w:t>
            </w:r>
          </w:p>
        </w:tc>
        <w:tc>
          <w:tcPr>
            <w:tcW w:type="dxa" w:w="1040"/>
          </w:tcPr>
          <w:p>
            <w:pPr>
              <w:spacing w:line="240" w:lineRule="auto" w:before="0" w:after="0"/>
              <w:jc w:val="center"/>
            </w:pPr>
            <w:r>
              <w:rPr>
                <w:rFonts w:ascii="Times New Roman" w:hAnsi="Times New Roman"/>
                <w:color w:val="000000"/>
                <w:sz w:val="18"/>
              </w:rPr>
              <w:t>0.050</w:t>
            </w:r>
          </w:p>
        </w:tc>
      </w:tr>
      <w:tr>
        <w:trPr>
          <w:cantSplit/>
        </w:trPr>
        <w:tc>
          <w:tcPr>
            <w:tcW w:type="dxa" w:w="1040"/>
          </w:tcPr>
          <w:p>
            <w:pPr>
              <w:spacing w:line="240" w:lineRule="auto" w:before="0" w:after="0"/>
              <w:jc w:val="center"/>
            </w:pPr>
            <w:r>
              <w:rPr>
                <w:rFonts w:ascii="Times New Roman" w:hAnsi="Times New Roman"/>
                <w:color w:val="000000"/>
                <w:sz w:val="18"/>
              </w:rPr>
              <w:t>AVERAGE</w:t>
            </w:r>
          </w:p>
        </w:tc>
        <w:tc>
          <w:tcPr>
            <w:tcW w:type="dxa" w:w="1040"/>
          </w:tcPr>
          <w:p>
            <w:pPr>
              <w:spacing w:line="240" w:lineRule="auto" w:before="0" w:after="0"/>
              <w:jc w:val="center"/>
            </w:pPr>
            <w:r>
              <w:rPr>
                <w:rFonts w:ascii="Times New Roman" w:hAnsi="Times New Roman"/>
                <w:color w:val="000000"/>
                <w:sz w:val="18"/>
              </w:rPr>
              <w:t>0.0602</w:t>
            </w:r>
          </w:p>
        </w:tc>
        <w:tc>
          <w:tcPr>
            <w:tcW w:type="dxa" w:w="1040"/>
          </w:tcPr>
          <w:p>
            <w:pPr>
              <w:spacing w:line="240" w:lineRule="auto" w:before="0" w:after="0"/>
              <w:jc w:val="center"/>
            </w:pPr>
            <w:r>
              <w:rPr>
                <w:rFonts w:ascii="Times New Roman" w:hAnsi="Times New Roman"/>
                <w:color w:val="000000"/>
                <w:sz w:val="18"/>
              </w:rPr>
              <w:t>0.0627</w:t>
            </w:r>
          </w:p>
        </w:tc>
        <w:tc>
          <w:tcPr>
            <w:tcW w:type="dxa" w:w="1040"/>
          </w:tcPr>
          <w:p>
            <w:pPr>
              <w:spacing w:line="240" w:lineRule="auto" w:before="0" w:after="0"/>
              <w:jc w:val="center"/>
            </w:pPr>
            <w:r>
              <w:rPr>
                <w:rFonts w:ascii="Times New Roman" w:hAnsi="Times New Roman"/>
                <w:color w:val="000000"/>
                <w:sz w:val="18"/>
              </w:rPr>
              <w:t>0.0608</w:t>
            </w:r>
          </w:p>
        </w:tc>
        <w:tc>
          <w:tcPr>
            <w:tcW w:type="dxa" w:w="1040"/>
          </w:tcPr>
          <w:p>
            <w:pPr>
              <w:spacing w:line="240" w:lineRule="auto" w:before="0" w:after="0"/>
              <w:jc w:val="center"/>
            </w:pPr>
            <w:r>
              <w:rPr>
                <w:rFonts w:ascii="Times New Roman" w:hAnsi="Times New Roman"/>
                <w:color w:val="000000"/>
                <w:sz w:val="18"/>
              </w:rPr>
              <w:t>37.9%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0.315</w:t>
            </w:r>
          </w:p>
        </w:tc>
      </w:tr>
    </w:tbl>
    <w:p>
      <w:pPr>
        <w:keepNext/>
        <w:spacing w:line="276" w:lineRule="auto" w:before="40" w:after="160"/>
        <w:jc w:val="left"/>
      </w:pPr>
      <w:r>
        <w:rPr>
          <w:rFonts w:ascii="Times New Roman" w:hAnsi="Times New Roman"/>
          <w:i/>
          <w:color w:val="000000"/>
          <w:sz w:val="20"/>
        </w:rPr>
        <w:t>Source: Author's computation (2026). Note: Base = Historical sample mean return baseline; RF = Random Forest regressor; XGB = eXtreme Gradient Boosting regressor; RMSE = Root Mean Squared Error; DA (%) = Binary Directional Accuracy. Diebold-Mariano Stat and Diebold-Mariano p-val evaluate the null hypothesis of equal forecast accuracy between XGBoost and the Historical Mean baseline under quadratic loss with Newey–West HAC standard errors (Diebold &amp; Mariano, 1995).</w:t>
      </w:r>
    </w:p>
    <w:p>
      <w:pPr>
        <w:keepNext/>
        <w:spacing w:line="480" w:lineRule="auto" w:before="0" w:after="0"/>
        <w:jc w:val="left"/>
      </w:pPr>
      <w:r>
        <w:rPr>
          <w:rFonts w:ascii="Times New Roman" w:hAnsi="Times New Roman"/>
          <w:b/>
          <w:color w:val="000000"/>
          <w:sz w:val="24"/>
        </w:rPr>
        <w:t>4.5.1 Econometric Evaluation: Forecast Accuracy and Portfolio Value</w:t>
      </w:r>
    </w:p>
    <w:p>
      <w:pPr>
        <w:spacing w:line="480" w:lineRule="auto" w:before="0" w:after="0"/>
        <w:ind w:firstLine="72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Crucially, the formal Diebold–Mariano (1995) test reveals that for 25 out of the 28 equities (89.3%), the forecast accuracy differential between XGBoost and the Historical Mean baseline is statistically indistinguishable from zero (p &gt; 0.05). In the three assets where equal accuracy is formally rejected (FIDSON, JBERGER, and NESTLE), the negative DM test statistic indicates that XGBoost exhibited significantly larger squared forecast errors (inferior accuracy) than the historical baseline. Furthermore, Random Forest was not evaluated under the Diebold–Mariano test despite exhibiting a higher overall RMSE (0.0627). Similarly, binary directional accuracy (DA) averages 38.1% for Random Forest and 37.8% for XGBoost vs 37.9% for the flat Historical Mean baseline across all 28 assets (peaking at 50.8% on liquid large-caps). For illiquid equities such as CONOIL (DA = 13.8%) and NESTLE (17.3%), this below-50% accuracy reflects weeks with zero or near-zero returns: when the actual return is exactly zero, any non-zero forecast is counted as a directional miss, depressing the measured accuracy below the 50% random-walk threshold. Evaluating the relationship between statistical point prediction accuracy and downstream portfolio performance requires a rigorous econometric examination across the following four points:</w:t>
      </w:r>
    </w:p>
    <w:p>
      <w:pPr>
        <w:spacing w:line="480" w:lineRule="auto" w:before="0" w:after="0"/>
        <w:ind w:firstLine="720"/>
        <w:jc w:val="both"/>
      </w:pPr>
      <w:r>
        <w:rPr>
          <w:rFonts w:ascii="Times New Roman" w:hAnsi="Times New Roman"/>
          <w:color w:val="000000"/>
          <w:sz w:val="24"/>
        </w:rPr>
        <w:t>1. Quadratic Loss Penalization and Noise Dominance: The apparent superiority of the flat Historical Mean in raw RMSE stems from the statistical properties of financial return noise under an L2 quadratic loss function. The Root Mean Squared Error penalizes prediction errors quadratically according to Equation 4.1:</w:t>
      </w:r>
    </w:p>
    <w:p>
      <w:pPr>
        <w:spacing w:before="120" w:after="120" w:line="480" w:lineRule="auto"/>
        <w:jc w:val="center"/>
        <w:rPr>
          <w:rFonts w:ascii="Times New Roman" w:eastAsia="Times New Roman" w:hAnsi="Times New Roman" w:cs="Times New Roman"/>
          <w:color w:val="000000"/>
        </w:rPr>
      </w:pPr>
      <m:oMathPara>
        <m:oMath>
          <m:r>
            <w:rPr>
              <w:rFonts w:ascii="Cambria Math" w:hAnsi="Cambria Math"/>
              <w:color w:val="000000"/>
            </w:rPr>
            <m:t>RMSE=</m:t>
          </m:r>
          <m:rad>
            <m:radPr>
              <m:degHide m:val="1"/>
              <m:ctrlPr>
                <w:rPr>
                  <w:rFonts w:ascii="Cambria Math" w:hAnsi="Cambria Math"/>
                  <w:color w:val="000000"/>
                </w:rPr>
              </m:ctrlPr>
            </m:radPr>
            <m:deg/>
            <m:e>
              <m:f>
                <m:fPr>
                  <m:ctrlPr>
                    <w:rPr>
                      <w:rFonts w:ascii="Cambria Math" w:hAnsi="Cambria Math"/>
                      <w:color w:val="000000"/>
                    </w:rPr>
                  </m:ctrlPr>
                </m:fPr>
                <m:num>
                  <m:r>
                    <w:rPr>
                      <w:rFonts w:ascii="Cambria Math" w:hAnsi="Cambria Math"/>
                      <w:color w:val="000000"/>
                    </w:rPr>
                    <m:t>1</m:t>
                  </m:r>
                </m:num>
                <m:den>
                  <m:r>
                    <w:rPr>
                      <w:rFonts w:ascii="Cambria Math" w:hAnsi="Cambria Math"/>
                      <w:color w:val="000000"/>
                    </w:rPr>
                    <m:t>n</m:t>
                  </m:r>
                </m:den>
              </m:f>
              <m:nary>
                <m:naryPr>
                  <m:chr m:val="∑"/>
                  <m:ctrlPr>
                    <w:rPr>
                      <w:rFonts w:ascii="Cambria Math" w:hAnsi="Cambria Math"/>
                      <w:color w:val="000000"/>
                    </w:rPr>
                  </m:ctrlPr>
                </m:naryPr>
                <m:sub>
                  <m:r>
                    <w:rPr>
                      <w:rFonts w:ascii="Cambria Math" w:hAnsi="Cambria Math"/>
                      <w:color w:val="000000"/>
                    </w:rPr>
                    <m:t>t=1</m:t>
                  </m:r>
                </m:sub>
                <m:sup>
                  <m:r>
                    <w:rPr>
                      <w:rFonts w:ascii="Cambria Math" w:hAnsi="Cambria Math"/>
                      <w:color w:val="000000"/>
                    </w:rPr>
                    <m:t>n</m:t>
                  </m:r>
                </m:sup>
                <m:e>
                  <m:sSup>
                    <m:sSupPr>
                      <m:ctrlPr>
                        <w:rPr>
                          <w:rFonts w:ascii="Cambria Math" w:hAnsi="Cambria Math"/>
                          <w:color w:val="000000"/>
                        </w:rPr>
                      </m:ctrlPr>
                    </m:sSupPr>
                    <m:e>
                      <m:d>
                        <m:dPr>
                          <m:ctrlPr>
                            <w:rPr>
                              <w:rFonts w:ascii="Cambria Math" w:hAnsi="Cambria Math"/>
                              <w:color w:val="000000"/>
                            </w:rPr>
                          </m:ctrlPr>
                        </m:dPr>
                        <m:e>
                          <m:acc>
                            <m:accPr>
                              <m:ctrlPr>
                                <w:rPr>
                                  <w:rFonts w:ascii="Cambria Math" w:hAnsi="Cambria Math"/>
                                  <w:color w:val="000000"/>
                                </w:rPr>
                              </m:ctrlPr>
                            </m:accPr>
                            <m:e>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acc>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d>
                    </m:e>
                    <m:sup>
                      <m:r>
                        <w:rPr>
                          <w:rFonts w:ascii="Cambria Math" w:hAnsi="Cambria Math"/>
                          <w:color w:val="000000"/>
                        </w:rPr>
                        <m:t>2</m:t>
                      </m:r>
                    </m:sup>
                  </m:sSup>
                </m:e>
              </m:nary>
            </m:e>
          </m:rad>
        </m:oMath>
      </m:oMathPara>
    </w:p>
    <w:p>
      <w:pPr>
        <w:spacing w:line="480" w:lineRule="auto" w:before="0" w:after="0"/>
        <w:ind w:firstLine="720"/>
        <w:jc w:val="both"/>
      </w:pPr>
      <w:r>
        <w:rPr>
          <w:rFonts w:ascii="Times New Roman" w:hAnsi="Times New Roman"/>
          <w:color w:val="000000"/>
          <w:sz w:val="24"/>
        </w:rPr>
        <w:t>where the forecast error is evaluated over out-of-sample weekly test steps. At weekly sampling horizons, equity return series are dominated by high-frequency, zero-mean unobserved news noise. During quiet, low-volatility market regimes where asset returns fluctuate randomly around zero (+0.4%, -0.2%, +0.1%), a static forecast equal to the historical sample mean (with a constant forecasted weekly return of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ind w:firstLine="720"/>
        <w:jc w:val="both"/>
      </w:pPr>
      <w:r>
        <w:rPr>
          <w:rFonts w:ascii="Times New Roman" w:hAnsi="Times New Roman"/>
          <w:color w:val="000000"/>
          <w:sz w:val="24"/>
        </w:rPr>
        <w:t>2. Cross-Sectional Ranking vs. Point Prediction: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ind w:firstLine="720"/>
        <w:jc w:val="both"/>
      </w:pPr>
      <w:r>
        <w:rPr>
          <w:rFonts w:ascii="Times New Roman" w:hAnsi="Times New Roman"/>
          <w:color w:val="000000"/>
          <w:sz w:val="24"/>
        </w:rPr>
        <w:t>3. Technical Indicator Dynamics and Parity with Historical Means: Tree-based machine learning ensembles (Random Forest and XGBoost) extract non-linear cross-sectional signals from technical indicators. Feature importance analysis (Section 4.6) demonstrates that short-term momentum indicators, specifically the Percentage Price Oscillator (PPO), Relative Strength Index (RSI), and On-Balance Volume (OBV), serve as primary predictive drivers. However, contrary to the hypothesis that dynamic return rankings would generate a superior portfolio edge, downstream optimization reveals that this technical signal does not significantly improve portfolio outcomes over static historical means: XGB-CVaR and Historical-CVaR achieve statistically indistinguishable gross Sharpe ratios (difference +0.02, q = 0.591).</w:t>
      </w:r>
    </w:p>
    <w:p>
      <w:pPr>
        <w:spacing w:line="480" w:lineRule="auto" w:before="0" w:after="0"/>
        <w:ind w:firstLine="720"/>
        <w:jc w:val="both"/>
      </w:pPr>
      <w:r>
        <w:rPr>
          <w:rFonts w:ascii="Times New Roman" w:hAnsi="Times New Roman"/>
          <w:color w:val="000000"/>
          <w:sz w:val="24"/>
        </w:rPr>
        <w:t>4. Tail-Risk Mitigation and Convex Optimization: When these dynamic expected return vectors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Sharpe outperformance over passive indexing that is statistically significant at the unadjusted level (Ledoit-Wolf circular block bootstrap p = 0.015) but marginal after Benjamini–Hochberg False Discovery Rate correction for 18 simultaneous comparisons (q = 0.056), with positive welfare gains (+819 bps Certainty Equivalent Return gain). Crucially, when transaction costs are introduced, the CVaR optimization structure itself delivers the robustly significant result: under institutional fees, active XGB-CVaR is significantly outperformed by low-turnover Historical-CVaR (Sharpe diff -0.25, FDR q = 0.000), confirming that downside tail-risk architecture matters more than forecasting model complexity.</w:t>
      </w:r>
    </w:p>
    <w:p>
      <w:pPr>
        <w:spacing w:line="480" w:lineRule="auto" w:before="0" w:after="0"/>
        <w:ind w:firstLine="720"/>
        <w:jc w:val="both"/>
      </w:pPr>
      <w:r>
        <w:rPr>
          <w:rFonts w:ascii="Times New Roman" w:hAnsi="Times New Roman"/>
          <w:color w:val="000000"/>
          <w:sz w:val="24"/>
        </w:rPr>
        <w:t>Consistent with the Diebold–Mariano results, the machine learning forecasts do not add statistically significant value at the portfolio level: XGB-CVaR and Historical-CVaR, which share the same optimizer and differ only in their return inputs, have statistically indistinguishable gross Sharpe ratios (difference +0.02, q = 0.591). The portfolios' outperformance over the index therefore stems from the CVaR risk architecture rather than forecast accuracy.</w:t>
      </w:r>
    </w:p>
    <w:p>
      <w:pPr>
        <w:keepNext/>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ind w:firstLine="72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keepNext/>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4.2: Feature Importance Breakdown across Technical Indicators</w:t>
      </w:r>
    </w:p>
    <w:p>
      <w:pPr>
        <w:keepNext/>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ind w:firstLine="72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portfolio performance. All strategies incorporated the weekly CBN 91-day T-Bill risk-free rate (0.319% / 18.00% annualized).</w:t>
      </w:r>
    </w:p>
    <w:p>
      <w:pPr>
        <w:keepNext/>
        <w:spacing w:line="276" w:lineRule="auto" w:before="160" w:after="40"/>
        <w:jc w:val="left"/>
      </w:pPr>
      <w:r>
        <w:rPr>
          <w:rFonts w:ascii="Times New Roman" w:hAnsi="Times New Roman"/>
          <w:b/>
          <w:color w:val="000000"/>
          <w:sz w:val="22"/>
        </w:rPr>
        <w:t>Table 4.4: Out-of-Sample Portfolio Performance with 1.50% Retail Transaction Fees &amp; Market Slippage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35.37%</w:t>
            </w:r>
          </w:p>
        </w:tc>
        <w:tc>
          <w:tcPr>
            <w:tcW w:type="dxa" w:w="1170"/>
          </w:tcPr>
          <w:p>
            <w:pPr>
              <w:spacing w:line="240" w:lineRule="auto" w:before="0" w:after="0"/>
              <w:jc w:val="center"/>
            </w:pPr>
            <w:r>
              <w:rPr>
                <w:rFonts w:ascii="Times New Roman" w:hAnsi="Times New Roman"/>
                <w:color w:val="000000"/>
                <w:sz w:val="18"/>
              </w:rPr>
              <w:t>16.17%</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1.99</w:t>
            </w:r>
          </w:p>
        </w:tc>
        <w:tc>
          <w:tcPr>
            <w:tcW w:type="dxa" w:w="1170"/>
          </w:tcPr>
          <w:p>
            <w:pPr>
              <w:spacing w:line="240" w:lineRule="auto" w:before="0" w:after="0"/>
              <w:jc w:val="center"/>
            </w:pPr>
            <w:r>
              <w:rPr>
                <w:rFonts w:ascii="Times New Roman" w:hAnsi="Times New Roman"/>
                <w:color w:val="000000"/>
                <w:sz w:val="18"/>
              </w:rPr>
              <w:t>-2.25%</w:t>
            </w:r>
          </w:p>
        </w:tc>
        <w:tc>
          <w:tcPr>
            <w:tcW w:type="dxa" w:w="1170"/>
          </w:tcPr>
          <w:p>
            <w:pPr>
              <w:spacing w:line="240" w:lineRule="auto" w:before="0" w:after="0"/>
              <w:jc w:val="center"/>
            </w:pPr>
            <w:r>
              <w:rPr>
                <w:rFonts w:ascii="Times New Roman" w:hAnsi="Times New Roman"/>
                <w:color w:val="000000"/>
                <w:sz w:val="18"/>
              </w:rPr>
              <w:t>-3.05%</w:t>
            </w:r>
          </w:p>
        </w:tc>
        <w:tc>
          <w:tcPr>
            <w:tcW w:type="dxa" w:w="1170"/>
          </w:tcPr>
          <w:p>
            <w:pPr>
              <w:spacing w:line="240" w:lineRule="auto" w:before="0" w:after="0"/>
              <w:jc w:val="center"/>
            </w:pPr>
            <w:r>
              <w:rPr>
                <w:rFonts w:ascii="Times New Roman" w:hAnsi="Times New Roman"/>
                <w:color w:val="000000"/>
                <w:sz w:val="18"/>
              </w:rPr>
              <w:t>-23.01%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33.42%</w:t>
            </w:r>
          </w:p>
        </w:tc>
        <w:tc>
          <w:tcPr>
            <w:tcW w:type="dxa" w:w="1170"/>
          </w:tcPr>
          <w:p>
            <w:pPr>
              <w:spacing w:line="240" w:lineRule="auto" w:before="0" w:after="0"/>
              <w:jc w:val="center"/>
            </w:pPr>
            <w:r>
              <w:rPr>
                <w:rFonts w:ascii="Times New Roman" w:hAnsi="Times New Roman"/>
                <w:color w:val="000000"/>
                <w:sz w:val="18"/>
              </w:rPr>
              <w:t>15.98%</w:t>
            </w:r>
          </w:p>
        </w:tc>
        <w:tc>
          <w:tcPr>
            <w:tcW w:type="dxa" w:w="1170"/>
          </w:tcPr>
          <w:p>
            <w:pPr>
              <w:spacing w:line="240" w:lineRule="auto" w:before="0" w:after="0"/>
              <w:jc w:val="center"/>
            </w:pPr>
            <w:r>
              <w:rPr>
                <w:rFonts w:ascii="Times New Roman" w:hAnsi="Times New Roman"/>
                <w:color w:val="000000"/>
                <w:sz w:val="18"/>
              </w:rPr>
              <w:t>0.96</w:t>
            </w:r>
          </w:p>
        </w:tc>
        <w:tc>
          <w:tcPr>
            <w:tcW w:type="dxa" w:w="1170"/>
          </w:tcPr>
          <w:p>
            <w:pPr>
              <w:spacing w:line="240" w:lineRule="auto" w:before="0" w:after="0"/>
              <w:jc w:val="center"/>
            </w:pPr>
            <w:r>
              <w:rPr>
                <w:rFonts w:ascii="Times New Roman" w:hAnsi="Times New Roman"/>
                <w:color w:val="000000"/>
                <w:sz w:val="18"/>
              </w:rPr>
              <w:t>1.75</w:t>
            </w:r>
          </w:p>
        </w:tc>
        <w:tc>
          <w:tcPr>
            <w:tcW w:type="dxa" w:w="1170"/>
          </w:tcPr>
          <w:p>
            <w:pPr>
              <w:spacing w:line="240" w:lineRule="auto" w:before="0" w:after="0"/>
              <w:jc w:val="center"/>
            </w:pPr>
            <w:r>
              <w:rPr>
                <w:rFonts w:ascii="Times New Roman" w:hAnsi="Times New Roman"/>
                <w:color w:val="000000"/>
                <w:sz w:val="18"/>
              </w:rPr>
              <w:t>-2.47%</w:t>
            </w:r>
          </w:p>
        </w:tc>
        <w:tc>
          <w:tcPr>
            <w:tcW w:type="dxa" w:w="1170"/>
          </w:tcPr>
          <w:p>
            <w:pPr>
              <w:spacing w:line="240" w:lineRule="auto" w:before="0" w:after="0"/>
              <w:jc w:val="center"/>
            </w:pPr>
            <w:r>
              <w:rPr>
                <w:rFonts w:ascii="Times New Roman" w:hAnsi="Times New Roman"/>
                <w:color w:val="000000"/>
                <w:sz w:val="18"/>
              </w:rPr>
              <w:t>-3.10%</w:t>
            </w:r>
          </w:p>
        </w:tc>
        <w:tc>
          <w:tcPr>
            <w:tcW w:type="dxa" w:w="1170"/>
          </w:tcPr>
          <w:p>
            <w:pPr>
              <w:spacing w:line="240" w:lineRule="auto" w:before="0" w:after="0"/>
              <w:jc w:val="center"/>
            </w:pPr>
            <w:r>
              <w:rPr>
                <w:rFonts w:ascii="Times New Roman" w:hAnsi="Times New Roman"/>
                <w:color w:val="000000"/>
                <w:sz w:val="18"/>
              </w:rPr>
              <w:t>-25.12%</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41.97%</w:t>
            </w:r>
          </w:p>
        </w:tc>
        <w:tc>
          <w:tcPr>
            <w:tcW w:type="dxa" w:w="1170"/>
          </w:tcPr>
          <w:p>
            <w:pPr>
              <w:spacing w:line="240" w:lineRule="auto" w:before="0" w:after="0"/>
              <w:jc w:val="center"/>
            </w:pPr>
            <w:r>
              <w:rPr>
                <w:rFonts w:ascii="Times New Roman" w:hAnsi="Times New Roman"/>
                <w:color w:val="000000"/>
                <w:sz w:val="18"/>
              </w:rPr>
              <w:t>16.15%</w:t>
            </w:r>
          </w:p>
        </w:tc>
        <w:tc>
          <w:tcPr>
            <w:tcW w:type="dxa" w:w="1170"/>
          </w:tcPr>
          <w:p>
            <w:pPr>
              <w:spacing w:line="240" w:lineRule="auto" w:before="0" w:after="0"/>
              <w:jc w:val="center"/>
            </w:pPr>
            <w:r>
              <w:rPr>
                <w:rFonts w:ascii="Times New Roman" w:hAnsi="Times New Roman"/>
                <w:color w:val="000000"/>
                <w:sz w:val="18"/>
              </w:rPr>
              <w:t>1.48</w:t>
            </w:r>
          </w:p>
        </w:tc>
        <w:tc>
          <w:tcPr>
            <w:tcW w:type="dxa" w:w="1170"/>
          </w:tcPr>
          <w:p>
            <w:pPr>
              <w:spacing w:line="240" w:lineRule="auto" w:before="0" w:after="0"/>
              <w:jc w:val="center"/>
            </w:pPr>
            <w:r>
              <w:rPr>
                <w:rFonts w:ascii="Times New Roman" w:hAnsi="Times New Roman"/>
                <w:color w:val="000000"/>
                <w:sz w:val="18"/>
              </w:rPr>
              <w:t>3.00</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-20.48%</w:t>
            </w:r>
          </w:p>
        </w:tc>
        <w:tc>
          <w:tcPr>
            <w:tcW w:type="dxa" w:w="1170"/>
          </w:tcPr>
          <w:p>
            <w:pPr>
              <w:spacing w:line="240" w:lineRule="auto" w:before="0" w:after="0"/>
              <w:jc w:val="center"/>
            </w:pPr>
            <w:r>
              <w:rPr>
                <w:rFonts w:ascii="Times New Roman" w:hAnsi="Times New Roman"/>
                <w:color w:val="000000"/>
                <w:sz w:val="18"/>
              </w:rPr>
              <w:t>53.92%</w:t>
            </w:r>
          </w:p>
        </w:tc>
        <w:tc>
          <w:tcPr>
            <w:tcW w:type="dxa" w:w="1170"/>
          </w:tcPr>
          <w:p>
            <w:pPr>
              <w:spacing w:line="240" w:lineRule="auto" w:before="0" w:after="0"/>
              <w:jc w:val="center"/>
            </w:pPr>
            <w:r>
              <w:rPr>
                <w:rFonts w:ascii="Times New Roman" w:hAnsi="Times New Roman"/>
                <w:color w:val="000000"/>
                <w:sz w:val="18"/>
              </w:rPr>
              <w:t>-0.71</w:t>
            </w:r>
          </w:p>
        </w:tc>
        <w:tc>
          <w:tcPr>
            <w:tcW w:type="dxa" w:w="1170"/>
          </w:tcPr>
          <w:p>
            <w:pPr>
              <w:spacing w:line="240" w:lineRule="auto" w:before="0" w:after="0"/>
              <w:jc w:val="center"/>
            </w:pPr>
            <w:r>
              <w:rPr>
                <w:rFonts w:ascii="Times New Roman" w:hAnsi="Times New Roman"/>
                <w:color w:val="000000"/>
                <w:sz w:val="18"/>
              </w:rPr>
              <w:t>-1.02</w:t>
            </w:r>
          </w:p>
        </w:tc>
        <w:tc>
          <w:tcPr>
            <w:tcW w:type="dxa" w:w="1170"/>
          </w:tcPr>
          <w:p>
            <w:pPr>
              <w:spacing w:line="240" w:lineRule="auto" w:before="0" w:after="0"/>
              <w:jc w:val="center"/>
            </w:pPr>
            <w:r>
              <w:rPr>
                <w:rFonts w:ascii="Times New Roman" w:hAnsi="Times New Roman"/>
                <w:color w:val="000000"/>
                <w:sz w:val="18"/>
              </w:rPr>
              <w:t>-10.85%</w:t>
            </w:r>
          </w:p>
        </w:tc>
        <w:tc>
          <w:tcPr>
            <w:tcW w:type="dxa" w:w="1170"/>
          </w:tcPr>
          <w:p>
            <w:pPr>
              <w:spacing w:line="240" w:lineRule="auto" w:before="0" w:after="0"/>
              <w:jc w:val="center"/>
            </w:pPr>
            <w:r>
              <w:rPr>
                <w:rFonts w:ascii="Times New Roman" w:hAnsi="Times New Roman"/>
                <w:color w:val="000000"/>
                <w:sz w:val="18"/>
              </w:rPr>
              <w:t>-17.16%</w:t>
            </w:r>
          </w:p>
        </w:tc>
        <w:tc>
          <w:tcPr>
            <w:tcW w:type="dxa" w:w="1170"/>
          </w:tcPr>
          <w:p>
            <w:pPr>
              <w:spacing w:line="240" w:lineRule="auto" w:before="0" w:after="0"/>
              <w:jc w:val="center"/>
            </w:pPr>
            <w:r>
              <w:rPr>
                <w:rFonts w:ascii="Times New Roman" w:hAnsi="Times New Roman"/>
                <w:color w:val="000000"/>
                <w:sz w:val="18"/>
              </w:rPr>
              <w:t>-86.38%</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37.27%</w:t>
            </w:r>
          </w:p>
        </w:tc>
        <w:tc>
          <w:tcPr>
            <w:tcW w:type="dxa" w:w="1170"/>
          </w:tcPr>
          <w:p>
            <w:pPr>
              <w:spacing w:line="240" w:lineRule="auto" w:before="0" w:after="0"/>
              <w:jc w:val="center"/>
            </w:pPr>
            <w:r>
              <w:rPr>
                <w:rFonts w:ascii="Times New Roman" w:hAnsi="Times New Roman"/>
                <w:color w:val="000000"/>
                <w:sz w:val="18"/>
              </w:rPr>
              <w:t>18.27%</w:t>
            </w:r>
          </w:p>
        </w:tc>
        <w:tc>
          <w:tcPr>
            <w:tcW w:type="dxa" w:w="1170"/>
          </w:tcPr>
          <w:p>
            <w:pPr>
              <w:spacing w:line="240" w:lineRule="auto" w:before="0" w:after="0"/>
              <w:jc w:val="center"/>
            </w:pPr>
            <w:r>
              <w:rPr>
                <w:rFonts w:ascii="Times New Roman" w:hAnsi="Times New Roman"/>
                <w:color w:val="000000"/>
                <w:sz w:val="18"/>
              </w:rPr>
              <w:t>1.05</w:t>
            </w:r>
          </w:p>
        </w:tc>
        <w:tc>
          <w:tcPr>
            <w:tcW w:type="dxa" w:w="1170"/>
          </w:tcPr>
          <w:p>
            <w:pPr>
              <w:spacing w:line="240" w:lineRule="auto" w:before="0" w:after="0"/>
              <w:jc w:val="center"/>
            </w:pPr>
            <w:r>
              <w:rPr>
                <w:rFonts w:ascii="Times New Roman" w:hAnsi="Times New Roman"/>
                <w:color w:val="000000"/>
                <w:sz w:val="18"/>
              </w:rPr>
              <w:t>1.81</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35.73%</w:t>
            </w:r>
          </w:p>
        </w:tc>
        <w:tc>
          <w:tcPr>
            <w:tcW w:type="dxa" w:w="1170"/>
          </w:tcPr>
          <w:p>
            <w:pPr>
              <w:spacing w:line="240" w:lineRule="auto" w:before="0" w:after="0"/>
              <w:jc w:val="center"/>
            </w:pPr>
            <w:r>
              <w:rPr>
                <w:rFonts w:ascii="Times New Roman" w:hAnsi="Times New Roman"/>
                <w:color w:val="000000"/>
                <w:sz w:val="18"/>
              </w:rPr>
              <w:t>19.75%</w:t>
            </w:r>
          </w:p>
        </w:tc>
        <w:tc>
          <w:tcPr>
            <w:tcW w:type="dxa" w:w="1170"/>
          </w:tcPr>
          <w:p>
            <w:pPr>
              <w:spacing w:line="240" w:lineRule="auto" w:before="0" w:after="0"/>
              <w:jc w:val="center"/>
            </w:pPr>
            <w:r>
              <w:rPr>
                <w:rFonts w:ascii="Times New Roman" w:hAnsi="Times New Roman"/>
                <w:color w:val="000000"/>
                <w:sz w:val="18"/>
              </w:rPr>
              <w:t>0.90</w:t>
            </w:r>
          </w:p>
        </w:tc>
        <w:tc>
          <w:tcPr>
            <w:tcW w:type="dxa" w:w="1170"/>
          </w:tcPr>
          <w:p>
            <w:pPr>
              <w:spacing w:line="240" w:lineRule="auto" w:before="0" w:after="0"/>
              <w:jc w:val="center"/>
            </w:pPr>
            <w:r>
              <w:rPr>
                <w:rFonts w:ascii="Times New Roman" w:hAnsi="Times New Roman"/>
                <w:color w:val="000000"/>
                <w:sz w:val="18"/>
              </w:rPr>
              <w:t>1.53</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using 18.00% annual (0.319% weekly) CBN 91-day T-bill risk-free rate; Sortino = Sortino Ratio (Sortino &amp; Price, 1994); VaR 95% = 95% Value-at-Risk; CVaR 95% = 95% Conditional Value-at-Risk; Max DD (%) = Maximum Peak-to-Trough Drawdown. Evaluated under 1.50% (150 bps) retail transaction fee and execution slippage.</w:t>
      </w:r>
    </w:p>
    <w:p>
      <w:pPr>
        <w:keepNext/>
        <w:spacing w:line="276" w:lineRule="auto" w:before="160" w:after="40"/>
        <w:jc w:val="left"/>
      </w:pPr>
      <w:r>
        <w:rPr>
          <w:rFonts w:ascii="Times New Roman" w:hAnsi="Times New Roman"/>
          <w:b/>
          <w:color w:val="000000"/>
          <w:sz w:val="22"/>
        </w:rPr>
        <w:t>Table 4.5: Out-of-Sample Portfolio Performance under Zero Transaction Fees (Gross Performance - 0.00%)</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41.29%</w:t>
            </w:r>
          </w:p>
        </w:tc>
        <w:tc>
          <w:tcPr>
            <w:tcW w:type="dxa" w:w="1170"/>
          </w:tcPr>
          <w:p>
            <w:pPr>
              <w:spacing w:line="240" w:lineRule="auto" w:before="0" w:after="0"/>
              <w:jc w:val="center"/>
            </w:pPr>
            <w:r>
              <w:rPr>
                <w:rFonts w:ascii="Times New Roman" w:hAnsi="Times New Roman"/>
                <w:color w:val="000000"/>
                <w:sz w:val="18"/>
              </w:rPr>
              <w:t>16.05%</w:t>
            </w:r>
          </w:p>
        </w:tc>
        <w:tc>
          <w:tcPr>
            <w:tcW w:type="dxa" w:w="1170"/>
          </w:tcPr>
          <w:p>
            <w:pPr>
              <w:spacing w:line="240" w:lineRule="auto" w:before="0" w:after="0"/>
              <w:jc w:val="center"/>
            </w:pPr>
            <w:r>
              <w:rPr>
                <w:rFonts w:ascii="Times New Roman" w:hAnsi="Times New Roman"/>
                <w:color w:val="000000"/>
                <w:sz w:val="18"/>
              </w:rPr>
              <w:t>1.45</w:t>
            </w:r>
          </w:p>
        </w:tc>
        <w:tc>
          <w:tcPr>
            <w:tcW w:type="dxa" w:w="1170"/>
          </w:tcPr>
          <w:p>
            <w:pPr>
              <w:spacing w:line="240" w:lineRule="auto" w:before="0" w:after="0"/>
              <w:jc w:val="center"/>
            </w:pPr>
            <w:r>
              <w:rPr>
                <w:rFonts w:ascii="Times New Roman" w:hAnsi="Times New Roman"/>
                <w:color w:val="000000"/>
                <w:sz w:val="18"/>
              </w:rPr>
              <w:t>2.87</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-2.78%</w:t>
            </w:r>
          </w:p>
        </w:tc>
        <w:tc>
          <w:tcPr>
            <w:tcW w:type="dxa" w:w="1170"/>
          </w:tcPr>
          <w:p>
            <w:pPr>
              <w:spacing w:line="240" w:lineRule="auto" w:before="0" w:after="0"/>
              <w:jc w:val="center"/>
            </w:pPr>
            <w:r>
              <w:rPr>
                <w:rFonts w:ascii="Times New Roman" w:hAnsi="Times New Roman"/>
                <w:color w:val="000000"/>
                <w:sz w:val="18"/>
              </w:rPr>
              <w:t>-22.01%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42.00%</w:t>
            </w:r>
          </w:p>
        </w:tc>
        <w:tc>
          <w:tcPr>
            <w:tcW w:type="dxa" w:w="1170"/>
          </w:tcPr>
          <w:p>
            <w:pPr>
              <w:spacing w:line="240" w:lineRule="auto" w:before="0" w:after="0"/>
              <w:jc w:val="center"/>
            </w:pPr>
            <w:r>
              <w:rPr>
                <w:rFonts w:ascii="Times New Roman" w:hAnsi="Times New Roman"/>
                <w:color w:val="000000"/>
                <w:sz w:val="18"/>
              </w:rPr>
              <w:t>15.75%</w:t>
            </w:r>
          </w:p>
        </w:tc>
        <w:tc>
          <w:tcPr>
            <w:tcW w:type="dxa" w:w="1170"/>
          </w:tcPr>
          <w:p>
            <w:pPr>
              <w:spacing w:line="240" w:lineRule="auto" w:before="0" w:after="0"/>
              <w:jc w:val="center"/>
            </w:pPr>
            <w:r>
              <w:rPr>
                <w:rFonts w:ascii="Times New Roman" w:hAnsi="Times New Roman"/>
                <w:color w:val="000000"/>
                <w:sz w:val="18"/>
              </w:rPr>
              <w:t>1.52</w:t>
            </w:r>
          </w:p>
        </w:tc>
        <w:tc>
          <w:tcPr>
            <w:tcW w:type="dxa" w:w="1170"/>
          </w:tcPr>
          <w:p>
            <w:pPr>
              <w:spacing w:line="240" w:lineRule="auto" w:before="0" w:after="0"/>
              <w:jc w:val="center"/>
            </w:pPr>
            <w:r>
              <w:rPr>
                <w:rFonts w:ascii="Times New Roman" w:hAnsi="Times New Roman"/>
                <w:color w:val="000000"/>
                <w:sz w:val="18"/>
              </w:rPr>
              <w:t>3.06</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-2.58%</w:t>
            </w:r>
          </w:p>
        </w:tc>
        <w:tc>
          <w:tcPr>
            <w:tcW w:type="dxa" w:w="1170"/>
          </w:tcPr>
          <w:p>
            <w:pPr>
              <w:spacing w:line="240" w:lineRule="auto" w:before="0" w:after="0"/>
              <w:jc w:val="center"/>
            </w:pPr>
            <w:r>
              <w:rPr>
                <w:rFonts w:ascii="Times New Roman" w:hAnsi="Times New Roman"/>
                <w:color w:val="000000"/>
                <w:sz w:val="18"/>
              </w:rPr>
              <w:t>-22.09%</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42.27%</w:t>
            </w:r>
          </w:p>
        </w:tc>
        <w:tc>
          <w:tcPr>
            <w:tcW w:type="dxa" w:w="1170"/>
          </w:tcPr>
          <w:p>
            <w:pPr>
              <w:spacing w:line="240" w:lineRule="auto" w:before="0" w:after="0"/>
              <w:jc w:val="center"/>
            </w:pPr>
            <w:r>
              <w:rPr>
                <w:rFonts w:ascii="Times New Roman" w:hAnsi="Times New Roman"/>
                <w:color w:val="000000"/>
                <w:sz w:val="18"/>
              </w:rPr>
              <w:t>16.16%</w:t>
            </w:r>
          </w:p>
        </w:tc>
        <w:tc>
          <w:tcPr>
            <w:tcW w:type="dxa" w:w="1170"/>
          </w:tcPr>
          <w:p>
            <w:pPr>
              <w:spacing w:line="240" w:lineRule="auto" w:before="0" w:after="0"/>
              <w:jc w:val="center"/>
            </w:pPr>
            <w:r>
              <w:rPr>
                <w:rFonts w:ascii="Times New Roman" w:hAnsi="Times New Roman"/>
                <w:color w:val="000000"/>
                <w:sz w:val="18"/>
              </w:rPr>
              <w:t>1.50</w:t>
            </w:r>
          </w:p>
        </w:tc>
        <w:tc>
          <w:tcPr>
            <w:tcW w:type="dxa" w:w="1170"/>
          </w:tcPr>
          <w:p>
            <w:pPr>
              <w:spacing w:line="240" w:lineRule="auto" w:before="0" w:after="0"/>
              <w:jc w:val="center"/>
            </w:pPr>
            <w:r>
              <w:rPr>
                <w:rFonts w:ascii="Times New Roman" w:hAnsi="Times New Roman"/>
                <w:color w:val="000000"/>
                <w:sz w:val="18"/>
              </w:rPr>
              <w:t>3.04</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56.97%</w:t>
            </w:r>
          </w:p>
        </w:tc>
        <w:tc>
          <w:tcPr>
            <w:tcW w:type="dxa" w:w="1170"/>
          </w:tcPr>
          <w:p>
            <w:pPr>
              <w:spacing w:line="240" w:lineRule="auto" w:before="0" w:after="0"/>
              <w:jc w:val="center"/>
            </w:pPr>
            <w:r>
              <w:rPr>
                <w:rFonts w:ascii="Times New Roman" w:hAnsi="Times New Roman"/>
                <w:color w:val="000000"/>
                <w:sz w:val="18"/>
              </w:rPr>
              <w:t>54.18%</w:t>
            </w:r>
          </w:p>
        </w:tc>
        <w:tc>
          <w:tcPr>
            <w:tcW w:type="dxa" w:w="1170"/>
          </w:tcPr>
          <w:p>
            <w:pPr>
              <w:spacing w:line="240" w:lineRule="auto" w:before="0" w:after="0"/>
              <w:jc w:val="center"/>
            </w:pPr>
            <w:r>
              <w:rPr>
                <w:rFonts w:ascii="Times New Roman" w:hAnsi="Times New Roman"/>
                <w:color w:val="000000"/>
                <w:sz w:val="18"/>
              </w:rPr>
              <w:t>0.72</w:t>
            </w:r>
          </w:p>
        </w:tc>
        <w:tc>
          <w:tcPr>
            <w:tcW w:type="dxa" w:w="1170"/>
          </w:tcPr>
          <w:p>
            <w:pPr>
              <w:spacing w:line="240" w:lineRule="auto" w:before="0" w:after="0"/>
              <w:jc w:val="center"/>
            </w:pPr>
            <w:r>
              <w:rPr>
                <w:rFonts w:ascii="Times New Roman" w:hAnsi="Times New Roman"/>
                <w:color w:val="000000"/>
                <w:sz w:val="18"/>
              </w:rPr>
              <w:t>1.25</w:t>
            </w:r>
          </w:p>
        </w:tc>
        <w:tc>
          <w:tcPr>
            <w:tcW w:type="dxa" w:w="1170"/>
          </w:tcPr>
          <w:p>
            <w:pPr>
              <w:spacing w:line="240" w:lineRule="auto" w:before="0" w:after="0"/>
              <w:jc w:val="center"/>
            </w:pPr>
            <w:r>
              <w:rPr>
                <w:rFonts w:ascii="Times New Roman" w:hAnsi="Times New Roman"/>
                <w:color w:val="000000"/>
                <w:sz w:val="18"/>
              </w:rPr>
              <w:t>-8.83%</w:t>
            </w:r>
          </w:p>
        </w:tc>
        <w:tc>
          <w:tcPr>
            <w:tcW w:type="dxa" w:w="1170"/>
          </w:tcPr>
          <w:p>
            <w:pPr>
              <w:spacing w:line="240" w:lineRule="auto" w:before="0" w:after="0"/>
              <w:jc w:val="center"/>
            </w:pPr>
            <w:r>
              <w:rPr>
                <w:rFonts w:ascii="Times New Roman" w:hAnsi="Times New Roman"/>
                <w:color w:val="000000"/>
                <w:sz w:val="18"/>
              </w:rPr>
              <w:t>-15.38%</w:t>
            </w:r>
          </w:p>
        </w:tc>
        <w:tc>
          <w:tcPr>
            <w:tcW w:type="dxa" w:w="1170"/>
          </w:tcPr>
          <w:p>
            <w:pPr>
              <w:spacing w:line="240" w:lineRule="auto" w:before="0" w:after="0"/>
              <w:jc w:val="center"/>
            </w:pPr>
            <w:r>
              <w:rPr>
                <w:rFonts w:ascii="Times New Roman" w:hAnsi="Times New Roman"/>
                <w:color w:val="000000"/>
                <w:sz w:val="18"/>
              </w:rPr>
              <w:t>-53.51%</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37.57%</w:t>
            </w:r>
          </w:p>
        </w:tc>
        <w:tc>
          <w:tcPr>
            <w:tcW w:type="dxa" w:w="1170"/>
          </w:tcPr>
          <w:p>
            <w:pPr>
              <w:spacing w:line="240" w:lineRule="auto" w:before="0" w:after="0"/>
              <w:jc w:val="center"/>
            </w:pPr>
            <w:r>
              <w:rPr>
                <w:rFonts w:ascii="Times New Roman" w:hAnsi="Times New Roman"/>
                <w:color w:val="000000"/>
                <w:sz w:val="18"/>
              </w:rPr>
              <w:t>18.31%</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1.84</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36.03%</w:t>
            </w:r>
          </w:p>
        </w:tc>
        <w:tc>
          <w:tcPr>
            <w:tcW w:type="dxa" w:w="1170"/>
          </w:tcPr>
          <w:p>
            <w:pPr>
              <w:spacing w:line="240" w:lineRule="auto" w:before="0" w:after="0"/>
              <w:jc w:val="center"/>
            </w:pPr>
            <w:r>
              <w:rPr>
                <w:rFonts w:ascii="Times New Roman" w:hAnsi="Times New Roman"/>
                <w:color w:val="000000"/>
                <w:sz w:val="18"/>
              </w:rPr>
              <w:t>19.79%</w:t>
            </w:r>
          </w:p>
        </w:tc>
        <w:tc>
          <w:tcPr>
            <w:tcW w:type="dxa" w:w="1170"/>
          </w:tcPr>
          <w:p>
            <w:pPr>
              <w:spacing w:line="240" w:lineRule="auto" w:before="0" w:after="0"/>
              <w:jc w:val="center"/>
            </w:pPr>
            <w:r>
              <w:rPr>
                <w:rFonts w:ascii="Times New Roman" w:hAnsi="Times New Roman"/>
                <w:color w:val="000000"/>
                <w:sz w:val="18"/>
              </w:rPr>
              <w:t>0.91</w:t>
            </w:r>
          </w:p>
        </w:tc>
        <w:tc>
          <w:tcPr>
            <w:tcW w:type="dxa" w:w="1170"/>
          </w:tcPr>
          <w:p>
            <w:pPr>
              <w:spacing w:line="240" w:lineRule="auto" w:before="0" w:after="0"/>
              <w:jc w:val="center"/>
            </w:pPr>
            <w:r>
              <w:rPr>
                <w:rFonts w:ascii="Times New Roman" w:hAnsi="Times New Roman"/>
                <w:color w:val="000000"/>
                <w:sz w:val="18"/>
              </w:rPr>
              <w:t>1.55</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Sortino = Sortino Ratio (Sortino &amp; Price, 1994); VaR 95% = 95% Value-at-Risk; CVaR 95% = 95% Conditional Value-at-Risk; Max DD (%) = Maximum Peak-to-Trough Drawdown. Gross performance evaluated under 0.00% transaction fee friction.</w:t>
      </w:r>
    </w:p>
    <w:p>
      <w:pPr>
        <w:keepNext/>
        <w:spacing w:line="276" w:lineRule="auto" w:before="160" w:after="40"/>
        <w:jc w:val="left"/>
      </w:pPr>
      <w:r>
        <w:rPr>
          <w:rFonts w:ascii="Times New Roman" w:hAnsi="Times New Roman"/>
          <w:b/>
          <w:color w:val="000000"/>
          <w:sz w:val="22"/>
        </w:rPr>
        <w:t>Table 4.5b: Out-of-Sample Portfolio Performance under 0.75% Institutional PFA Transaction Fees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Strategy</w:t>
            </w:r>
          </w:p>
        </w:tc>
        <w:tc>
          <w:tcPr>
            <w:tcW w:type="dxa" w:w="1040"/>
          </w:tcPr>
          <w:p>
            <w:pPr>
              <w:spacing w:line="240" w:lineRule="auto" w:before="0" w:after="0"/>
              <w:jc w:val="center"/>
            </w:pPr>
            <w:r>
              <w:rPr>
                <w:rFonts w:ascii="Times New Roman" w:hAnsi="Times New Roman"/>
                <w:b/>
                <w:color w:val="000000"/>
                <w:sz w:val="19"/>
              </w:rPr>
              <w:t>Ann. Return (%)</w:t>
            </w:r>
          </w:p>
        </w:tc>
        <w:tc>
          <w:tcPr>
            <w:tcW w:type="dxa" w:w="1040"/>
          </w:tcPr>
          <w:p>
            <w:pPr>
              <w:spacing w:line="240" w:lineRule="auto" w:before="0" w:after="0"/>
              <w:jc w:val="center"/>
            </w:pPr>
            <w:r>
              <w:rPr>
                <w:rFonts w:ascii="Times New Roman" w:hAnsi="Times New Roman"/>
                <w:b/>
                <w:color w:val="000000"/>
                <w:sz w:val="19"/>
              </w:rPr>
              <w:t>Ann. Vol (%)</w:t>
            </w:r>
          </w:p>
        </w:tc>
        <w:tc>
          <w:tcPr>
            <w:tcW w:type="dxa" w:w="1040"/>
          </w:tcPr>
          <w:p>
            <w:pPr>
              <w:spacing w:line="240" w:lineRule="auto" w:before="0" w:after="0"/>
              <w:jc w:val="center"/>
            </w:pPr>
            <w:r>
              <w:rPr>
                <w:rFonts w:ascii="Times New Roman" w:hAnsi="Times New Roman"/>
                <w:b/>
                <w:color w:val="000000"/>
                <w:sz w:val="19"/>
              </w:rPr>
              <w:t>Sharpe</w:t>
            </w:r>
          </w:p>
        </w:tc>
        <w:tc>
          <w:tcPr>
            <w:tcW w:type="dxa" w:w="1040"/>
          </w:tcPr>
          <w:p>
            <w:pPr>
              <w:spacing w:line="240" w:lineRule="auto" w:before="0" w:after="0"/>
              <w:jc w:val="center"/>
            </w:pPr>
            <w:r>
              <w:rPr>
                <w:rFonts w:ascii="Times New Roman" w:hAnsi="Times New Roman"/>
                <w:b/>
                <w:color w:val="000000"/>
                <w:sz w:val="19"/>
              </w:rPr>
              <w:t>Sortino</w:t>
            </w:r>
          </w:p>
        </w:tc>
        <w:tc>
          <w:tcPr>
            <w:tcW w:type="dxa" w:w="1040"/>
          </w:tcPr>
          <w:p>
            <w:pPr>
              <w:spacing w:line="240" w:lineRule="auto" w:before="0" w:after="0"/>
              <w:jc w:val="center"/>
            </w:pPr>
            <w:r>
              <w:rPr>
                <w:rFonts w:ascii="Times New Roman" w:hAnsi="Times New Roman"/>
                <w:b/>
                <w:color w:val="000000"/>
                <w:sz w:val="19"/>
              </w:rPr>
              <w:t>VaR 95%</w:t>
            </w:r>
          </w:p>
        </w:tc>
        <w:tc>
          <w:tcPr>
            <w:tcW w:type="dxa" w:w="1040"/>
          </w:tcPr>
          <w:p>
            <w:pPr>
              <w:spacing w:line="240" w:lineRule="auto" w:before="0" w:after="0"/>
              <w:jc w:val="center"/>
            </w:pPr>
            <w:r>
              <w:rPr>
                <w:rFonts w:ascii="Times New Roman" w:hAnsi="Times New Roman"/>
                <w:b/>
                <w:color w:val="000000"/>
                <w:sz w:val="19"/>
              </w:rPr>
              <w:t>CVaR 95%</w:t>
            </w:r>
          </w:p>
        </w:tc>
        <w:tc>
          <w:tcPr>
            <w:tcW w:type="dxa" w:w="1040"/>
          </w:tcPr>
          <w:p>
            <w:pPr>
              <w:spacing w:line="240" w:lineRule="auto" w:before="0" w:after="0"/>
              <w:jc w:val="center"/>
            </w:pPr>
            <w:r>
              <w:rPr>
                <w:rFonts w:ascii="Times New Roman" w:hAnsi="Times New Roman"/>
                <w:b/>
                <w:color w:val="000000"/>
                <w:sz w:val="19"/>
              </w:rPr>
              <w:t>Max DD (%)</w:t>
            </w:r>
          </w:p>
        </w:tc>
        <w:tc>
          <w:tcPr>
            <w:tcW w:type="dxa" w:w="1040"/>
          </w:tcPr>
          <w:p>
            <w:pPr>
              <w:spacing w:line="240" w:lineRule="auto" w:before="0" w:after="0"/>
              <w:jc w:val="center"/>
            </w:pPr>
            <w:r>
              <w:rPr>
                <w:rFonts w:ascii="Times New Roman" w:hAnsi="Times New Roman"/>
                <w:b/>
                <w:color w:val="000000"/>
                <w:sz w:val="19"/>
              </w:rPr>
              <w:t>Wk Turnover (%)</w:t>
            </w:r>
          </w:p>
        </w:tc>
      </w:tr>
      <w:tr>
        <w:trPr>
          <w:cantSplit/>
        </w:trPr>
        <w:tc>
          <w:tcPr>
            <w:tcW w:type="dxa" w:w="1040"/>
          </w:tcPr>
          <w:p>
            <w:pPr>
              <w:spacing w:line="240" w:lineRule="auto" w:before="0" w:after="0"/>
              <w:jc w:val="center"/>
            </w:pPr>
            <w:r>
              <w:rPr>
                <w:rFonts w:ascii="Times New Roman" w:hAnsi="Times New Roman"/>
                <w:color w:val="000000"/>
                <w:sz w:val="18"/>
              </w:rPr>
              <w:t>RF-CVaR</w:t>
            </w:r>
          </w:p>
        </w:tc>
        <w:tc>
          <w:tcPr>
            <w:tcW w:type="dxa" w:w="1040"/>
          </w:tcPr>
          <w:p>
            <w:pPr>
              <w:spacing w:line="240" w:lineRule="auto" w:before="0" w:after="0"/>
              <w:jc w:val="center"/>
            </w:pPr>
            <w:r>
              <w:rPr>
                <w:rFonts w:ascii="Times New Roman" w:hAnsi="Times New Roman"/>
                <w:color w:val="000000"/>
                <w:sz w:val="18"/>
              </w:rPr>
              <w:t>38.33%</w:t>
            </w:r>
          </w:p>
        </w:tc>
        <w:tc>
          <w:tcPr>
            <w:tcW w:type="dxa" w:w="1040"/>
          </w:tcPr>
          <w:p>
            <w:pPr>
              <w:spacing w:line="240" w:lineRule="auto" w:before="0" w:after="0"/>
              <w:jc w:val="center"/>
            </w:pPr>
            <w:r>
              <w:rPr>
                <w:rFonts w:ascii="Times New Roman" w:hAnsi="Times New Roman"/>
                <w:color w:val="000000"/>
                <w:sz w:val="18"/>
              </w:rPr>
              <w:t>16.09%</w:t>
            </w:r>
          </w:p>
        </w:tc>
        <w:tc>
          <w:tcPr>
            <w:tcW w:type="dxa" w:w="1040"/>
          </w:tcPr>
          <w:p>
            <w:pPr>
              <w:spacing w:line="240" w:lineRule="auto" w:before="0" w:after="0"/>
              <w:jc w:val="center"/>
            </w:pPr>
            <w:r>
              <w:rPr>
                <w:rFonts w:ascii="Times New Roman" w:hAnsi="Times New Roman"/>
                <w:color w:val="000000"/>
                <w:sz w:val="18"/>
              </w:rPr>
              <w:t>1.26</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-2.20%</w:t>
            </w:r>
          </w:p>
        </w:tc>
        <w:tc>
          <w:tcPr>
            <w:tcW w:type="dxa" w:w="1040"/>
          </w:tcPr>
          <w:p>
            <w:pPr>
              <w:spacing w:line="240" w:lineRule="auto" w:before="0" w:after="0"/>
              <w:jc w:val="center"/>
            </w:pPr>
            <w:r>
              <w:rPr>
                <w:rFonts w:ascii="Times New Roman" w:hAnsi="Times New Roman"/>
                <w:color w:val="000000"/>
                <w:sz w:val="18"/>
              </w:rPr>
              <w:t>-2.93%</w:t>
            </w:r>
          </w:p>
        </w:tc>
        <w:tc>
          <w:tcPr>
            <w:tcW w:type="dxa" w:w="1040"/>
          </w:tcPr>
          <w:p>
            <w:pPr>
              <w:spacing w:line="240" w:lineRule="auto" w:before="0" w:after="0"/>
              <w:jc w:val="center"/>
            </w:pPr>
            <w:r>
              <w:rPr>
                <w:rFonts w:ascii="Times New Roman" w:hAnsi="Times New Roman"/>
                <w:color w:val="000000"/>
                <w:sz w:val="18"/>
              </w:rPr>
              <w:t>-22.38%</w:t>
            </w:r>
          </w:p>
        </w:tc>
        <w:tc>
          <w:tcPr>
            <w:tcW w:type="dxa" w:w="1040"/>
          </w:tcPr>
          <w:p>
            <w:pPr>
              <w:spacing w:line="240" w:lineRule="auto" w:before="0" w:after="0"/>
              <w:jc w:val="center"/>
            </w:pPr>
            <w:r>
              <w:rPr>
                <w:rFonts w:ascii="Times New Roman" w:hAnsi="Times New Roman"/>
                <w:color w:val="000000"/>
                <w:sz w:val="18"/>
              </w:rPr>
              <w:t>7.59%</w:t>
            </w:r>
          </w:p>
        </w:tc>
      </w:tr>
      <w:tr>
        <w:trPr>
          <w:cantSplit/>
        </w:trPr>
        <w:tc>
          <w:tcPr>
            <w:tcW w:type="dxa" w:w="1040"/>
          </w:tcPr>
          <w:p>
            <w:pPr>
              <w:spacing w:line="240" w:lineRule="auto" w:before="0" w:after="0"/>
              <w:jc w:val="center"/>
            </w:pPr>
            <w:r>
              <w:rPr>
                <w:rFonts w:ascii="Times New Roman" w:hAnsi="Times New Roman"/>
                <w:color w:val="000000"/>
                <w:sz w:val="18"/>
              </w:rPr>
              <w:t>XGB-CVaR</w:t>
            </w:r>
          </w:p>
        </w:tc>
        <w:tc>
          <w:tcPr>
            <w:tcW w:type="dxa" w:w="1040"/>
          </w:tcPr>
          <w:p>
            <w:pPr>
              <w:spacing w:line="240" w:lineRule="auto" w:before="0" w:after="0"/>
              <w:jc w:val="center"/>
            </w:pPr>
            <w:r>
              <w:rPr>
                <w:rFonts w:ascii="Times New Roman" w:hAnsi="Times New Roman"/>
                <w:color w:val="000000"/>
                <w:sz w:val="18"/>
              </w:rPr>
              <w:t>37.71%</w:t>
            </w:r>
          </w:p>
        </w:tc>
        <w:tc>
          <w:tcPr>
            <w:tcW w:type="dxa" w:w="1040"/>
          </w:tcPr>
          <w:p>
            <w:pPr>
              <w:spacing w:line="240" w:lineRule="auto" w:before="0" w:after="0"/>
              <w:jc w:val="center"/>
            </w:pPr>
            <w:r>
              <w:rPr>
                <w:rFonts w:ascii="Times New Roman" w:hAnsi="Times New Roman"/>
                <w:color w:val="000000"/>
                <w:sz w:val="18"/>
              </w:rPr>
              <w:t>15.85%</w:t>
            </w:r>
          </w:p>
        </w:tc>
        <w:tc>
          <w:tcPr>
            <w:tcW w:type="dxa" w:w="1040"/>
          </w:tcPr>
          <w:p>
            <w:pPr>
              <w:spacing w:line="240" w:lineRule="auto" w:before="0" w:after="0"/>
              <w:jc w:val="center"/>
            </w:pPr>
            <w:r>
              <w:rPr>
                <w:rFonts w:ascii="Times New Roman" w:hAnsi="Times New Roman"/>
                <w:color w:val="000000"/>
                <w:sz w:val="18"/>
              </w:rPr>
              <w:t>1.24</w:t>
            </w:r>
          </w:p>
        </w:tc>
        <w:tc>
          <w:tcPr>
            <w:tcW w:type="dxa" w:w="1040"/>
          </w:tcPr>
          <w:p>
            <w:pPr>
              <w:spacing w:line="240" w:lineRule="auto" w:before="0" w:after="0"/>
              <w:jc w:val="center"/>
            </w:pPr>
            <w:r>
              <w:rPr>
                <w:rFonts w:ascii="Times New Roman" w:hAnsi="Times New Roman"/>
                <w:color w:val="000000"/>
                <w:sz w:val="18"/>
              </w:rPr>
              <w:t>2.37</w:t>
            </w:r>
          </w:p>
        </w:tc>
        <w:tc>
          <w:tcPr>
            <w:tcW w:type="dxa" w:w="1040"/>
          </w:tcPr>
          <w:p>
            <w:pPr>
              <w:spacing w:line="240" w:lineRule="auto" w:before="0" w:after="0"/>
              <w:jc w:val="center"/>
            </w:pPr>
            <w:r>
              <w:rPr>
                <w:rFonts w:ascii="Times New Roman" w:hAnsi="Times New Roman"/>
                <w:color w:val="000000"/>
                <w:sz w:val="18"/>
              </w:rPr>
              <w:t>-2.32%</w:t>
            </w:r>
          </w:p>
        </w:tc>
        <w:tc>
          <w:tcPr>
            <w:tcW w:type="dxa" w:w="1040"/>
          </w:tcPr>
          <w:p>
            <w:pPr>
              <w:spacing w:line="240" w:lineRule="auto" w:before="0" w:after="0"/>
              <w:jc w:val="center"/>
            </w:pPr>
            <w:r>
              <w:rPr>
                <w:rFonts w:ascii="Times New Roman" w:hAnsi="Times New Roman"/>
                <w:color w:val="000000"/>
                <w:sz w:val="18"/>
              </w:rPr>
              <w:t>-2.85%</w:t>
            </w:r>
          </w:p>
        </w:tc>
        <w:tc>
          <w:tcPr>
            <w:tcW w:type="dxa" w:w="1040"/>
          </w:tcPr>
          <w:p>
            <w:pPr>
              <w:spacing w:line="240" w:lineRule="auto" w:before="0" w:after="0"/>
              <w:jc w:val="center"/>
            </w:pPr>
            <w:r>
              <w:rPr>
                <w:rFonts w:ascii="Times New Roman" w:hAnsi="Times New Roman"/>
                <w:color w:val="000000"/>
                <w:sz w:val="18"/>
              </w:rPr>
              <w:t>-23.62%</w:t>
            </w:r>
          </w:p>
        </w:tc>
        <w:tc>
          <w:tcPr>
            <w:tcW w:type="dxa" w:w="1040"/>
          </w:tcPr>
          <w:p>
            <w:pPr>
              <w:spacing w:line="240" w:lineRule="auto" w:before="0" w:after="0"/>
              <w:jc w:val="center"/>
            </w:pPr>
            <w:r>
              <w:rPr>
                <w:rFonts w:ascii="Times New Roman" w:hAnsi="Times New Roman"/>
                <w:color w:val="000000"/>
                <w:sz w:val="18"/>
              </w:rPr>
              <w:t>11.00%</w:t>
            </w:r>
          </w:p>
        </w:tc>
      </w:tr>
      <w:tr>
        <w:trPr>
          <w:cantSplit/>
        </w:trPr>
        <w:tc>
          <w:tcPr>
            <w:tcW w:type="dxa" w:w="1040"/>
          </w:tcPr>
          <w:p>
            <w:pPr>
              <w:spacing w:line="240" w:lineRule="auto" w:before="0" w:after="0"/>
              <w:jc w:val="center"/>
            </w:pPr>
            <w:r>
              <w:rPr>
                <w:rFonts w:ascii="Times New Roman" w:hAnsi="Times New Roman"/>
                <w:color w:val="000000"/>
                <w:sz w:val="18"/>
              </w:rPr>
              <w:t>Historical-CVaR</w:t>
            </w:r>
          </w:p>
        </w:tc>
        <w:tc>
          <w:tcPr>
            <w:tcW w:type="dxa" w:w="1040"/>
          </w:tcPr>
          <w:p>
            <w:pPr>
              <w:spacing w:line="240" w:lineRule="auto" w:before="0" w:after="0"/>
              <w:jc w:val="center"/>
            </w:pPr>
            <w:r>
              <w:rPr>
                <w:rFonts w:ascii="Times New Roman" w:hAnsi="Times New Roman"/>
                <w:color w:val="000000"/>
                <w:sz w:val="18"/>
              </w:rPr>
              <w:t>42.12%</w:t>
            </w:r>
          </w:p>
        </w:tc>
        <w:tc>
          <w:tcPr>
            <w:tcW w:type="dxa" w:w="1040"/>
          </w:tcPr>
          <w:p>
            <w:pPr>
              <w:spacing w:line="240" w:lineRule="auto" w:before="0" w:after="0"/>
              <w:jc w:val="center"/>
            </w:pPr>
            <w:r>
              <w:rPr>
                <w:rFonts w:ascii="Times New Roman" w:hAnsi="Times New Roman"/>
                <w:color w:val="000000"/>
                <w:sz w:val="18"/>
              </w:rPr>
              <w:t>16.15%</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3.02</w:t>
            </w:r>
          </w:p>
        </w:tc>
        <w:tc>
          <w:tcPr>
            <w:tcW w:type="dxa" w:w="1040"/>
          </w:tcPr>
          <w:p>
            <w:pPr>
              <w:spacing w:line="240" w:lineRule="auto" w:before="0" w:after="0"/>
              <w:jc w:val="center"/>
            </w:pPr>
            <w:r>
              <w:rPr>
                <w:rFonts w:ascii="Times New Roman" w:hAnsi="Times New Roman"/>
                <w:color w:val="000000"/>
                <w:sz w:val="18"/>
              </w:rPr>
              <w:t>-2.18%</w:t>
            </w:r>
          </w:p>
        </w:tc>
        <w:tc>
          <w:tcPr>
            <w:tcW w:type="dxa" w:w="1040"/>
          </w:tcPr>
          <w:p>
            <w:pPr>
              <w:spacing w:line="240" w:lineRule="auto" w:before="0" w:after="0"/>
              <w:jc w:val="center"/>
            </w:pPr>
            <w:r>
              <w:rPr>
                <w:rFonts w:ascii="Times New Roman" w:hAnsi="Times New Roman"/>
                <w:color w:val="000000"/>
                <w:sz w:val="18"/>
              </w:rPr>
              <w:t>-2.61%</w:t>
            </w:r>
          </w:p>
        </w:tc>
        <w:tc>
          <w:tcPr>
            <w:tcW w:type="dxa" w:w="1040"/>
          </w:tcPr>
          <w:p>
            <w:pPr>
              <w:spacing w:line="240" w:lineRule="auto" w:before="0" w:after="0"/>
              <w:jc w:val="center"/>
            </w:pPr>
            <w:r>
              <w:rPr>
                <w:rFonts w:ascii="Times New Roman" w:hAnsi="Times New Roman"/>
                <w:color w:val="000000"/>
                <w:sz w:val="18"/>
              </w:rPr>
              <w:t>-21.96%</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Mean-Variance (MVO)</w:t>
            </w:r>
          </w:p>
        </w:tc>
        <w:tc>
          <w:tcPr>
            <w:tcW w:type="dxa" w:w="1040"/>
          </w:tcPr>
          <w:p>
            <w:pPr>
              <w:spacing w:line="240" w:lineRule="auto" w:before="0" w:after="0"/>
              <w:jc w:val="center"/>
            </w:pPr>
            <w:r>
              <w:rPr>
                <w:rFonts w:ascii="Times New Roman" w:hAnsi="Times New Roman"/>
                <w:color w:val="000000"/>
                <w:sz w:val="18"/>
              </w:rPr>
              <w:t>18.24%</w:t>
            </w:r>
          </w:p>
        </w:tc>
        <w:tc>
          <w:tcPr>
            <w:tcW w:type="dxa" w:w="1040"/>
          </w:tcPr>
          <w:p>
            <w:pPr>
              <w:spacing w:line="240" w:lineRule="auto" w:before="0" w:after="0"/>
              <w:jc w:val="center"/>
            </w:pPr>
            <w:r>
              <w:rPr>
                <w:rFonts w:ascii="Times New Roman" w:hAnsi="Times New Roman"/>
                <w:color w:val="000000"/>
                <w:sz w:val="18"/>
              </w:rPr>
              <w:t>53.87%</w:t>
            </w:r>
          </w:p>
        </w:tc>
        <w:tc>
          <w:tcPr>
            <w:tcW w:type="dxa" w:w="1040"/>
          </w:tcPr>
          <w:p>
            <w:pPr>
              <w:spacing w:line="240" w:lineRule="auto" w:before="0" w:after="0"/>
              <w:jc w:val="center"/>
            </w:pPr>
            <w:r>
              <w:rPr>
                <w:rFonts w:ascii="Times New Roman" w:hAnsi="Times New Roman"/>
                <w:color w:val="000000"/>
                <w:sz w:val="18"/>
              </w:rPr>
              <w:t>0.00</w:t>
            </w:r>
          </w:p>
        </w:tc>
        <w:tc>
          <w:tcPr>
            <w:tcW w:type="dxa" w:w="1040"/>
          </w:tcPr>
          <w:p>
            <w:pPr>
              <w:spacing w:line="240" w:lineRule="auto" w:before="0" w:after="0"/>
              <w:jc w:val="center"/>
            </w:pPr>
            <w:r>
              <w:rPr>
                <w:rFonts w:ascii="Times New Roman" w:hAnsi="Times New Roman"/>
                <w:color w:val="000000"/>
                <w:sz w:val="18"/>
              </w:rPr>
              <w:t>0.01</w:t>
            </w:r>
          </w:p>
        </w:tc>
        <w:tc>
          <w:tcPr>
            <w:tcW w:type="dxa" w:w="1040"/>
          </w:tcPr>
          <w:p>
            <w:pPr>
              <w:spacing w:line="240" w:lineRule="auto" w:before="0" w:after="0"/>
              <w:jc w:val="center"/>
            </w:pPr>
            <w:r>
              <w:rPr>
                <w:rFonts w:ascii="Times New Roman" w:hAnsi="Times New Roman"/>
                <w:color w:val="000000"/>
                <w:sz w:val="18"/>
              </w:rPr>
              <w:t>-9.58%</w:t>
            </w:r>
          </w:p>
        </w:tc>
        <w:tc>
          <w:tcPr>
            <w:tcW w:type="dxa" w:w="1040"/>
          </w:tcPr>
          <w:p>
            <w:pPr>
              <w:spacing w:line="240" w:lineRule="auto" w:before="0" w:after="0"/>
              <w:jc w:val="center"/>
            </w:pPr>
            <w:r>
              <w:rPr>
                <w:rFonts w:ascii="Times New Roman" w:hAnsi="Times New Roman"/>
                <w:color w:val="000000"/>
                <w:sz w:val="18"/>
              </w:rPr>
              <w:t>-16.24%</w:t>
            </w:r>
          </w:p>
        </w:tc>
        <w:tc>
          <w:tcPr>
            <w:tcW w:type="dxa" w:w="1040"/>
          </w:tcPr>
          <w:p>
            <w:pPr>
              <w:spacing w:line="240" w:lineRule="auto" w:before="0" w:after="0"/>
              <w:jc w:val="center"/>
            </w:pPr>
            <w:r>
              <w:rPr>
                <w:rFonts w:ascii="Times New Roman" w:hAnsi="Times New Roman"/>
                <w:color w:val="000000"/>
                <w:sz w:val="18"/>
              </w:rPr>
              <w:t>-71.07%</w:t>
            </w:r>
          </w:p>
        </w:tc>
        <w:tc>
          <w:tcPr>
            <w:tcW w:type="dxa" w:w="1040"/>
          </w:tcPr>
          <w:p>
            <w:pPr>
              <w:spacing w:line="240" w:lineRule="auto" w:before="0" w:after="0"/>
              <w:jc w:val="center"/>
            </w:pPr>
            <w:r>
              <w:rPr>
                <w:rFonts w:ascii="Times New Roman" w:hAnsi="Times New Roman"/>
                <w:color w:val="000000"/>
                <w:sz w:val="18"/>
              </w:rPr>
              <w:t>99.28%</w:t>
            </w:r>
          </w:p>
        </w:tc>
      </w:tr>
      <w:tr>
        <w:trPr>
          <w:cantSplit/>
        </w:trPr>
        <w:tc>
          <w:tcPr>
            <w:tcW w:type="dxa" w:w="1040"/>
          </w:tcPr>
          <w:p>
            <w:pPr>
              <w:spacing w:line="240" w:lineRule="auto" w:before="0" w:after="0"/>
              <w:jc w:val="center"/>
            </w:pPr>
            <w:r>
              <w:rPr>
                <w:rFonts w:ascii="Times New Roman" w:hAnsi="Times New Roman"/>
                <w:color w:val="000000"/>
                <w:sz w:val="18"/>
              </w:rPr>
              <w:t>1/N Equal Weight</w:t>
            </w:r>
          </w:p>
        </w:tc>
        <w:tc>
          <w:tcPr>
            <w:tcW w:type="dxa" w:w="1040"/>
          </w:tcPr>
          <w:p>
            <w:pPr>
              <w:spacing w:line="240" w:lineRule="auto" w:before="0" w:after="0"/>
              <w:jc w:val="center"/>
            </w:pPr>
            <w:r>
              <w:rPr>
                <w:rFonts w:ascii="Times New Roman" w:hAnsi="Times New Roman"/>
                <w:color w:val="000000"/>
                <w:sz w:val="18"/>
              </w:rPr>
              <w:t>37.42%</w:t>
            </w:r>
          </w:p>
        </w:tc>
        <w:tc>
          <w:tcPr>
            <w:tcW w:type="dxa" w:w="1040"/>
          </w:tcPr>
          <w:p>
            <w:pPr>
              <w:spacing w:line="240" w:lineRule="auto" w:before="0" w:after="0"/>
              <w:jc w:val="center"/>
            </w:pPr>
            <w:r>
              <w:rPr>
                <w:rFonts w:ascii="Times New Roman" w:hAnsi="Times New Roman"/>
                <w:color w:val="000000"/>
                <w:sz w:val="18"/>
              </w:rPr>
              <w:t>18.29%</w:t>
            </w:r>
          </w:p>
        </w:tc>
        <w:tc>
          <w:tcPr>
            <w:tcW w:type="dxa" w:w="1040"/>
          </w:tcPr>
          <w:p>
            <w:pPr>
              <w:spacing w:line="240" w:lineRule="auto" w:before="0" w:after="0"/>
              <w:jc w:val="center"/>
            </w:pPr>
            <w:r>
              <w:rPr>
                <w:rFonts w:ascii="Times New Roman" w:hAnsi="Times New Roman"/>
                <w:color w:val="000000"/>
                <w:sz w:val="18"/>
              </w:rPr>
              <w:t>1.06</w:t>
            </w:r>
          </w:p>
        </w:tc>
        <w:tc>
          <w:tcPr>
            <w:tcW w:type="dxa" w:w="1040"/>
          </w:tcPr>
          <w:p>
            <w:pPr>
              <w:spacing w:line="240" w:lineRule="auto" w:before="0" w:after="0"/>
              <w:jc w:val="center"/>
            </w:pPr>
            <w:r>
              <w:rPr>
                <w:rFonts w:ascii="Times New Roman" w:hAnsi="Times New Roman"/>
                <w:color w:val="000000"/>
                <w:sz w:val="18"/>
              </w:rPr>
              <w:t>1.83</w:t>
            </w:r>
          </w:p>
        </w:tc>
        <w:tc>
          <w:tcPr>
            <w:tcW w:type="dxa" w:w="1040"/>
          </w:tcPr>
          <w:p>
            <w:pPr>
              <w:spacing w:line="240" w:lineRule="auto" w:before="0" w:after="0"/>
              <w:jc w:val="center"/>
            </w:pPr>
            <w:r>
              <w:rPr>
                <w:rFonts w:ascii="Times New Roman" w:hAnsi="Times New Roman"/>
                <w:color w:val="000000"/>
                <w:sz w:val="18"/>
              </w:rPr>
              <w:t>-2.82%</w:t>
            </w:r>
          </w:p>
        </w:tc>
        <w:tc>
          <w:tcPr>
            <w:tcW w:type="dxa" w:w="1040"/>
          </w:tcPr>
          <w:p>
            <w:pPr>
              <w:spacing w:line="240" w:lineRule="auto" w:before="0" w:after="0"/>
              <w:jc w:val="center"/>
            </w:pPr>
            <w:r>
              <w:rPr>
                <w:rFonts w:ascii="Times New Roman" w:hAnsi="Times New Roman"/>
                <w:color w:val="000000"/>
                <w:sz w:val="18"/>
              </w:rPr>
              <w:t>-4.44%</w:t>
            </w:r>
          </w:p>
        </w:tc>
        <w:tc>
          <w:tcPr>
            <w:tcW w:type="dxa" w:w="1040"/>
          </w:tcPr>
          <w:p>
            <w:pPr>
              <w:spacing w:line="240" w:lineRule="auto" w:before="0" w:after="0"/>
              <w:jc w:val="center"/>
            </w:pPr>
            <w:r>
              <w:rPr>
                <w:rFonts w:ascii="Times New Roman" w:hAnsi="Times New Roman"/>
                <w:color w:val="000000"/>
                <w:sz w:val="18"/>
              </w:rPr>
              <w:t>-23.95%</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NGX Index Buy-Hold</w:t>
            </w:r>
          </w:p>
        </w:tc>
        <w:tc>
          <w:tcPr>
            <w:tcW w:type="dxa" w:w="1040"/>
          </w:tcPr>
          <w:p>
            <w:pPr>
              <w:spacing w:line="240" w:lineRule="auto" w:before="0" w:after="0"/>
              <w:jc w:val="center"/>
            </w:pPr>
            <w:r>
              <w:rPr>
                <w:rFonts w:ascii="Times New Roman" w:hAnsi="Times New Roman"/>
                <w:color w:val="000000"/>
                <w:sz w:val="18"/>
              </w:rPr>
              <w:t>35.88%</w:t>
            </w:r>
          </w:p>
        </w:tc>
        <w:tc>
          <w:tcPr>
            <w:tcW w:type="dxa" w:w="1040"/>
          </w:tcPr>
          <w:p>
            <w:pPr>
              <w:spacing w:line="240" w:lineRule="auto" w:before="0" w:after="0"/>
              <w:jc w:val="center"/>
            </w:pPr>
            <w:r>
              <w:rPr>
                <w:rFonts w:ascii="Times New Roman" w:hAnsi="Times New Roman"/>
                <w:color w:val="000000"/>
                <w:sz w:val="18"/>
              </w:rPr>
              <w:t>19.77%</w:t>
            </w:r>
          </w:p>
        </w:tc>
        <w:tc>
          <w:tcPr>
            <w:tcW w:type="dxa" w:w="1040"/>
          </w:tcPr>
          <w:p>
            <w:pPr>
              <w:spacing w:line="240" w:lineRule="auto" w:before="0" w:after="0"/>
              <w:jc w:val="center"/>
            </w:pPr>
            <w:r>
              <w:rPr>
                <w:rFonts w:ascii="Times New Roman" w:hAnsi="Times New Roman"/>
                <w:color w:val="000000"/>
                <w:sz w:val="18"/>
              </w:rPr>
              <w:t>0.90</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-3.32%</w:t>
            </w:r>
          </w:p>
        </w:tc>
        <w:tc>
          <w:tcPr>
            <w:tcW w:type="dxa" w:w="1040"/>
          </w:tcPr>
          <w:p>
            <w:pPr>
              <w:spacing w:line="240" w:lineRule="auto" w:before="0" w:after="0"/>
              <w:jc w:val="center"/>
            </w:pPr>
            <w:r>
              <w:rPr>
                <w:rFonts w:ascii="Times New Roman" w:hAnsi="Times New Roman"/>
                <w:color w:val="000000"/>
                <w:sz w:val="18"/>
              </w:rPr>
              <w:t>-4.95%</w:t>
            </w:r>
          </w:p>
        </w:tc>
        <w:tc>
          <w:tcPr>
            <w:tcW w:type="dxa" w:w="1040"/>
          </w:tcPr>
          <w:p>
            <w:pPr>
              <w:spacing w:line="240" w:lineRule="auto" w:before="0" w:after="0"/>
              <w:jc w:val="center"/>
            </w:pPr>
            <w:r>
              <w:rPr>
                <w:rFonts w:ascii="Times New Roman" w:hAnsi="Times New Roman"/>
                <w:color w:val="000000"/>
                <w:sz w:val="18"/>
              </w:rPr>
              <w:t>-26.66%</w:t>
            </w:r>
          </w:p>
        </w:tc>
        <w:tc>
          <w:tcPr>
            <w:tcW w:type="dxa" w:w="1040"/>
          </w:tcPr>
          <w:p>
            <w:pPr>
              <w:spacing w:line="240" w:lineRule="auto" w:before="0" w:after="0"/>
              <w:jc w:val="center"/>
            </w:pPr>
            <w:r>
              <w:rPr>
                <w:rFonts w:ascii="Times New Roman" w:hAnsi="Times New Roman"/>
                <w:color w:val="000000"/>
                <w:sz w:val="18"/>
              </w:rPr>
              <w:t>0.00%</w:t>
            </w:r>
          </w:p>
        </w:tc>
      </w:tr>
    </w:tbl>
    <w:p>
      <w:pPr>
        <w:keepNext/>
        <w:spacing w:line="276" w:lineRule="auto" w:before="40" w:after="160"/>
        <w:jc w:val="left"/>
      </w:pPr>
      <w:r>
        <w:rPr>
          <w:rFonts w:ascii="Times New Roman" w:hAnsi="Times New Roman"/>
          <w:i/>
          <w:color w:val="000000"/>
          <w:sz w:val="20"/>
        </w:rPr>
        <w:t>Source: Author's computation (2026). Note: Ann. Return = Annualized Return; Ann. Vol = Annualized Volatility; Sharpe = Sharpe Ratio (Sharpe, 1966); Sortino = Sortino Ratio (Sortino &amp; Price, 1994); VaR 95% = 95% Value-at-Risk; CVaR 95% = 95% Conditional Value-at-Risk; Max DD (%) = Maximum Peak-to-Trough Drawdown; Wk Turnover (%) = Average Weekly Portfolio Turnover. Evaluated under 0.75% (75 bps) institutional PFA brokerage execution fees.</w:t>
      </w:r>
    </w:p>
    <w:p>
      <w:pPr>
        <w:keepNext/>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4.3: Out-of-Sample Cumulative Wealth Growth Curves (2021-2025)</w:t>
      </w:r>
    </w:p>
    <w:p>
      <w:pPr>
        <w:keepNext/>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ind w:firstLine="72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The pairwise Sharpe ratio equality was evaluated using the asymptotic Jobson and Korkie (1981) test with Memmel (2003) correction, the Ledoit and Wolf (2008) circular block bootstrap, and the non-parametric Wilcoxon (1945) signed-rank test. To rigorously control for multiple testing error inflation across all 18 pairwise comparisons, the Benjamini–Hochberg (1995) False Discovery Rate (FDR) procedure was applied. After FDR correction, Historical-CVaR significantly outperforms XGB-CVaR under both institutional and retail fees (q = 0.000), and MVO significantly underperforms 1/N under retail fees (q = 0.009; institutional q = 0.056). Economically, both CVaR specifications outperform unconstrained MVO across all fee tiers (Tables 4.4–4.5b), while Table 4.6 benchmarks MVO directly against naive 1/N equal weighting to formally test whether classical mean-variance optimization can even surpass naive diversification under fat-tailed emerging market dynamics.</w:t>
      </w:r>
    </w:p>
    <w:p>
      <w:pPr>
        <w:keepNext/>
        <w:spacing w:line="276" w:lineRule="auto" w:before="160" w:after="40"/>
        <w:jc w:val="left"/>
      </w:pPr>
      <w:r>
        <w:rPr>
          <w:rFonts w:ascii="Times New Roman" w:hAnsi="Times New Roman"/>
          <w:b/>
          <w:color w:val="000000"/>
          <w:sz w:val="22"/>
        </w:rPr>
        <w:t>Table 4.6: Multi-Tier Pairwise Hypothesis Testing of Sharpe Ratio Equality across Fee Regimes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Fee Regime</w:t>
            </w:r>
          </w:p>
        </w:tc>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Benchmark</w:t>
            </w:r>
          </w:p>
        </w:tc>
        <w:tc>
          <w:tcPr>
            <w:tcW w:type="dxa" w:w="1170"/>
          </w:tcPr>
          <w:p>
            <w:pPr>
              <w:spacing w:line="240" w:lineRule="auto" w:before="0" w:after="0"/>
              <w:jc w:val="center"/>
            </w:pPr>
            <w:r>
              <w:rPr>
                <w:rFonts w:ascii="Times New Roman" w:hAnsi="Times New Roman"/>
                <w:b/>
                <w:color w:val="000000"/>
                <w:sz w:val="19"/>
              </w:rPr>
              <w:t>Sharpe Diff</w:t>
            </w:r>
          </w:p>
        </w:tc>
        <w:tc>
          <w:tcPr>
            <w:tcW w:type="dxa" w:w="1170"/>
          </w:tcPr>
          <w:p>
            <w:pPr>
              <w:spacing w:line="240" w:lineRule="auto" w:before="0" w:after="0"/>
              <w:jc w:val="center"/>
            </w:pPr>
            <w:r>
              <w:rPr>
                <w:rFonts w:ascii="Times New Roman" w:hAnsi="Times New Roman"/>
                <w:b/>
                <w:color w:val="000000"/>
                <w:sz w:val="19"/>
              </w:rPr>
              <w:t>Jobson-Korkie p-val</w:t>
            </w:r>
          </w:p>
        </w:tc>
        <w:tc>
          <w:tcPr>
            <w:tcW w:type="dxa" w:w="1170"/>
          </w:tcPr>
          <w:p>
            <w:pPr>
              <w:spacing w:line="240" w:lineRule="auto" w:before="0" w:after="0"/>
              <w:jc w:val="center"/>
            </w:pPr>
            <w:r>
              <w:rPr>
                <w:rFonts w:ascii="Times New Roman" w:hAnsi="Times New Roman"/>
                <w:b/>
                <w:color w:val="000000"/>
                <w:sz w:val="19"/>
              </w:rPr>
              <w:t>Ledoit-Wolf Sharpe p-val</w:t>
            </w:r>
          </w:p>
        </w:tc>
        <w:tc>
          <w:tcPr>
            <w:tcW w:type="dxa" w:w="1170"/>
          </w:tcPr>
          <w:p>
            <w:pPr>
              <w:spacing w:line="240" w:lineRule="auto" w:before="0" w:after="0"/>
              <w:jc w:val="center"/>
            </w:pPr>
            <w:r>
              <w:rPr>
                <w:rFonts w:ascii="Times New Roman" w:hAnsi="Times New Roman"/>
                <w:b/>
                <w:color w:val="000000"/>
                <w:sz w:val="19"/>
              </w:rPr>
              <w:t>Benjamini-Hochberg (FDR q-val)</w:t>
            </w:r>
          </w:p>
        </w:tc>
        <w:tc>
          <w:tcPr>
            <w:tcW w:type="dxa" w:w="1170"/>
          </w:tcPr>
          <w:p>
            <w:pPr>
              <w:spacing w:line="240" w:lineRule="auto" w:before="0" w:after="0"/>
              <w:jc w:val="center"/>
            </w:pPr>
            <w:r>
              <w:rPr>
                <w:rFonts w:ascii="Times New Roman" w:hAnsi="Times New Roman"/>
                <w:b/>
                <w:color w:val="000000"/>
                <w:sz w:val="19"/>
              </w:rPr>
              <w:t>Wilcoxon p-val</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+0.61</w:t>
            </w:r>
          </w:p>
        </w:tc>
        <w:tc>
          <w:tcPr>
            <w:tcW w:type="dxa" w:w="1170"/>
          </w:tcPr>
          <w:p>
            <w:pPr>
              <w:spacing w:line="240" w:lineRule="auto" w:before="0" w:after="0"/>
              <w:jc w:val="center"/>
            </w:pPr>
            <w:r>
              <w:rPr>
                <w:rFonts w:ascii="Times New Roman" w:hAnsi="Times New Roman"/>
                <w:color w:val="000000"/>
                <w:sz w:val="18"/>
              </w:rPr>
              <w:t>0.203</w:t>
            </w:r>
          </w:p>
        </w:tc>
        <w:tc>
          <w:tcPr>
            <w:tcW w:type="dxa" w:w="1170"/>
          </w:tcPr>
          <w:p>
            <w:pPr>
              <w:spacing w:line="240" w:lineRule="auto" w:before="0" w:after="0"/>
              <w:jc w:val="center"/>
            </w:pPr>
            <w:r>
              <w:rPr>
                <w:rFonts w:ascii="Times New Roman" w:hAnsi="Times New Roman"/>
                <w:color w:val="000000"/>
                <w:sz w:val="18"/>
              </w:rPr>
              <w:t>0.015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0.519</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+0.54</w:t>
            </w:r>
          </w:p>
        </w:tc>
        <w:tc>
          <w:tcPr>
            <w:tcW w:type="dxa" w:w="1170"/>
          </w:tcPr>
          <w:p>
            <w:pPr>
              <w:spacing w:line="240" w:lineRule="auto" w:before="0" w:after="0"/>
              <w:jc w:val="center"/>
            </w:pPr>
            <w:r>
              <w:rPr>
                <w:rFonts w:ascii="Times New Roman" w:hAnsi="Times New Roman"/>
                <w:color w:val="000000"/>
                <w:sz w:val="18"/>
              </w:rPr>
              <w:t>0.245</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0.632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0.355</w:t>
            </w:r>
          </w:p>
        </w:tc>
        <w:tc>
          <w:tcPr>
            <w:tcW w:type="dxa" w:w="1170"/>
          </w:tcPr>
          <w:p>
            <w:pPr>
              <w:spacing w:line="240" w:lineRule="auto" w:before="0" w:after="0"/>
              <w:jc w:val="center"/>
            </w:pPr>
            <w:r>
              <w:rPr>
                <w:rFonts w:ascii="Times New Roman" w:hAnsi="Times New Roman"/>
                <w:color w:val="000000"/>
                <w:sz w:val="18"/>
              </w:rPr>
              <w:t>0.084</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+0.02</w:t>
            </w:r>
          </w:p>
        </w:tc>
        <w:tc>
          <w:tcPr>
            <w:tcW w:type="dxa" w:w="1170"/>
          </w:tcPr>
          <w:p>
            <w:pPr>
              <w:spacing w:line="240" w:lineRule="auto" w:before="0" w:after="0"/>
              <w:jc w:val="center"/>
            </w:pPr>
            <w:r>
              <w:rPr>
                <w:rFonts w:ascii="Times New Roman" w:hAnsi="Times New Roman"/>
                <w:color w:val="000000"/>
                <w:sz w:val="18"/>
              </w:rPr>
              <w:t>0.795</w:t>
            </w:r>
          </w:p>
        </w:tc>
        <w:tc>
          <w:tcPr>
            <w:tcW w:type="dxa" w:w="1170"/>
          </w:tcPr>
          <w:p>
            <w:pPr>
              <w:spacing w:line="240" w:lineRule="auto" w:before="0" w:after="0"/>
              <w:jc w:val="center"/>
            </w:pPr>
            <w:r>
              <w:rPr>
                <w:rFonts w:ascii="Times New Roman" w:hAnsi="Times New Roman"/>
                <w:color w:val="000000"/>
                <w:sz w:val="18"/>
              </w:rPr>
              <w:t>0.558</w:t>
            </w:r>
          </w:p>
        </w:tc>
        <w:tc>
          <w:tcPr>
            <w:tcW w:type="dxa" w:w="1170"/>
          </w:tcPr>
          <w:p>
            <w:pPr>
              <w:spacing w:line="240" w:lineRule="auto" w:before="0" w:after="0"/>
              <w:jc w:val="center"/>
            </w:pPr>
            <w:r>
              <w:rPr>
                <w:rFonts w:ascii="Times New Roman" w:hAnsi="Times New Roman"/>
                <w:color w:val="000000"/>
                <w:sz w:val="18"/>
              </w:rPr>
              <w:t>0.591</w:t>
            </w:r>
          </w:p>
        </w:tc>
        <w:tc>
          <w:tcPr>
            <w:tcW w:type="dxa" w:w="1170"/>
          </w:tcPr>
          <w:p>
            <w:pPr>
              <w:spacing w:line="240" w:lineRule="auto" w:before="0" w:after="0"/>
              <w:jc w:val="center"/>
            </w:pPr>
            <w:r>
              <w:rPr>
                <w:rFonts w:ascii="Times New Roman" w:hAnsi="Times New Roman"/>
                <w:color w:val="000000"/>
                <w:sz w:val="18"/>
              </w:rPr>
              <w:t>0.482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-0.35</w:t>
            </w:r>
          </w:p>
        </w:tc>
        <w:tc>
          <w:tcPr>
            <w:tcW w:type="dxa" w:w="1170"/>
          </w:tcPr>
          <w:p>
            <w:pPr>
              <w:spacing w:line="240" w:lineRule="auto" w:before="0" w:after="0"/>
              <w:jc w:val="center"/>
            </w:pPr>
            <w:r>
              <w:rPr>
                <w:rFonts w:ascii="Times New Roman" w:hAnsi="Times New Roman"/>
                <w:color w:val="000000"/>
                <w:sz w:val="18"/>
              </w:rPr>
              <w:t>0.481</w:t>
            </w:r>
          </w:p>
        </w:tc>
        <w:tc>
          <w:tcPr>
            <w:tcW w:type="dxa" w:w="1170"/>
          </w:tcPr>
          <w:p>
            <w:pPr>
              <w:spacing w:line="240" w:lineRule="auto" w:before="0" w:after="0"/>
              <w:jc w:val="center"/>
            </w:pPr>
            <w:r>
              <w:rPr>
                <w:rFonts w:ascii="Times New Roman" w:hAnsi="Times New Roman"/>
                <w:color w:val="000000"/>
                <w:sz w:val="18"/>
              </w:rPr>
              <w:t>0.385</w:t>
            </w:r>
          </w:p>
        </w:tc>
        <w:tc>
          <w:tcPr>
            <w:tcW w:type="dxa" w:w="1170"/>
          </w:tcPr>
          <w:p>
            <w:pPr>
              <w:spacing w:line="240" w:lineRule="auto" w:before="0" w:after="0"/>
              <w:jc w:val="center"/>
            </w:pPr>
            <w:r>
              <w:rPr>
                <w:rFonts w:ascii="Times New Roman" w:hAnsi="Times New Roman"/>
                <w:color w:val="000000"/>
                <w:sz w:val="18"/>
              </w:rPr>
              <w:t>0.462</w:t>
            </w:r>
          </w:p>
        </w:tc>
        <w:tc>
          <w:tcPr>
            <w:tcW w:type="dxa" w:w="1170"/>
          </w:tcPr>
          <w:p>
            <w:pPr>
              <w:spacing w:line="240" w:lineRule="auto" w:before="0" w:after="0"/>
              <w:jc w:val="center"/>
            </w:pPr>
            <w:r>
              <w:rPr>
                <w:rFonts w:ascii="Times New Roman" w:hAnsi="Times New Roman"/>
                <w:color w:val="000000"/>
                <w:sz w:val="18"/>
              </w:rPr>
              <w:t>0.548</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+0.34</w:t>
            </w:r>
          </w:p>
        </w:tc>
        <w:tc>
          <w:tcPr>
            <w:tcW w:type="dxa" w:w="1170"/>
          </w:tcPr>
          <w:p>
            <w:pPr>
              <w:spacing w:line="240" w:lineRule="auto" w:before="0" w:after="0"/>
              <w:jc w:val="center"/>
            </w:pPr>
            <w:r>
              <w:rPr>
                <w:rFonts w:ascii="Times New Roman" w:hAnsi="Times New Roman"/>
                <w:color w:val="000000"/>
                <w:sz w:val="18"/>
              </w:rPr>
              <w:t>0.423</w:t>
            </w:r>
          </w:p>
        </w:tc>
        <w:tc>
          <w:tcPr>
            <w:tcW w:type="dxa" w:w="1170"/>
          </w:tcPr>
          <w:p>
            <w:pPr>
              <w:spacing w:line="240" w:lineRule="auto" w:before="0" w:after="0"/>
              <w:jc w:val="center"/>
            </w:pPr>
            <w:r>
              <w:rPr>
                <w:rFonts w:ascii="Times New Roman" w:hAnsi="Times New Roman"/>
                <w:color w:val="000000"/>
                <w:sz w:val="18"/>
              </w:rPr>
              <w:t>0.181</w:t>
            </w:r>
          </w:p>
        </w:tc>
        <w:tc>
          <w:tcPr>
            <w:tcW w:type="dxa" w:w="1170"/>
          </w:tcPr>
          <w:p>
            <w:pPr>
              <w:spacing w:line="240" w:lineRule="auto" w:before="0" w:after="0"/>
              <w:jc w:val="center"/>
            </w:pPr>
            <w:r>
              <w:rPr>
                <w:rFonts w:ascii="Times New Roman" w:hAnsi="Times New Roman"/>
                <w:color w:val="000000"/>
                <w:sz w:val="18"/>
              </w:rPr>
              <w:t>0.233</w:t>
            </w:r>
          </w:p>
        </w:tc>
        <w:tc>
          <w:tcPr>
            <w:tcW w:type="dxa" w:w="1170"/>
          </w:tcPr>
          <w:p>
            <w:pPr>
              <w:spacing w:line="240" w:lineRule="auto" w:before="0" w:after="0"/>
              <w:jc w:val="center"/>
            </w:pPr>
            <w:r>
              <w:rPr>
                <w:rFonts w:ascii="Times New Roman" w:hAnsi="Times New Roman"/>
                <w:color w:val="000000"/>
                <w:sz w:val="18"/>
              </w:rPr>
              <w:t>0.852</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+0.36</w:t>
            </w:r>
          </w:p>
        </w:tc>
        <w:tc>
          <w:tcPr>
            <w:tcW w:type="dxa" w:w="1170"/>
          </w:tcPr>
          <w:p>
            <w:pPr>
              <w:spacing w:line="240" w:lineRule="auto" w:before="0" w:after="0"/>
              <w:jc w:val="center"/>
            </w:pPr>
            <w:r>
              <w:rPr>
                <w:rFonts w:ascii="Times New Roman" w:hAnsi="Times New Roman"/>
                <w:color w:val="000000"/>
                <w:sz w:val="18"/>
              </w:rPr>
              <w:t>0.399</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0.228</w:t>
            </w:r>
          </w:p>
        </w:tc>
        <w:tc>
          <w:tcPr>
            <w:tcW w:type="dxa" w:w="1170"/>
          </w:tcPr>
          <w:p>
            <w:pPr>
              <w:spacing w:line="240" w:lineRule="auto" w:before="0" w:after="0"/>
              <w:jc w:val="center"/>
            </w:pPr>
            <w:r>
              <w:rPr>
                <w:rFonts w:ascii="Times New Roman" w:hAnsi="Times New Roman"/>
                <w:color w:val="000000"/>
                <w:sz w:val="18"/>
              </w:rPr>
              <w:t>0.949</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0.085</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-0.25</w:t>
            </w:r>
          </w:p>
        </w:tc>
        <w:tc>
          <w:tcPr>
            <w:tcW w:type="dxa" w:w="1170"/>
          </w:tcPr>
          <w:p>
            <w:pPr>
              <w:spacing w:line="240" w:lineRule="auto" w:before="0" w:after="0"/>
              <w:jc w:val="center"/>
            </w:pPr>
            <w:r>
              <w:rPr>
                <w:rFonts w:ascii="Times New Roman" w:hAnsi="Times New Roman"/>
                <w:color w:val="000000"/>
                <w:sz w:val="18"/>
              </w:rPr>
              <w:t>0.047</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-1.06</w:t>
            </w:r>
          </w:p>
        </w:tc>
        <w:tc>
          <w:tcPr>
            <w:tcW w:type="dxa" w:w="1170"/>
          </w:tcPr>
          <w:p>
            <w:pPr>
              <w:spacing w:line="240" w:lineRule="auto" w:before="0" w:after="0"/>
              <w:jc w:val="center"/>
            </w:pPr>
            <w:r>
              <w:rPr>
                <w:rFonts w:ascii="Times New Roman" w:hAnsi="Times New Roman"/>
                <w:color w:val="000000"/>
                <w:sz w:val="18"/>
              </w:rPr>
              <w:t>0.048</w:t>
            </w:r>
          </w:p>
        </w:tc>
        <w:tc>
          <w:tcPr>
            <w:tcW w:type="dxa" w:w="1170"/>
          </w:tcPr>
          <w:p>
            <w:pPr>
              <w:spacing w:line="240" w:lineRule="auto" w:before="0" w:after="0"/>
              <w:jc w:val="center"/>
            </w:pPr>
            <w:r>
              <w:rPr>
                <w:rFonts w:ascii="Times New Roman" w:hAnsi="Times New Roman"/>
                <w:color w:val="000000"/>
                <w:sz w:val="18"/>
              </w:rPr>
              <w:t>0.025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0.008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+0.07</w:t>
            </w:r>
          </w:p>
        </w:tc>
        <w:tc>
          <w:tcPr>
            <w:tcW w:type="dxa" w:w="1170"/>
          </w:tcPr>
          <w:p>
            <w:pPr>
              <w:spacing w:line="240" w:lineRule="auto" w:before="0" w:after="0"/>
              <w:jc w:val="center"/>
            </w:pPr>
            <w:r>
              <w:rPr>
                <w:rFonts w:ascii="Times New Roman" w:hAnsi="Times New Roman"/>
                <w:color w:val="000000"/>
                <w:sz w:val="18"/>
              </w:rPr>
              <w:t>0.838</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0.318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+0.18</w:t>
            </w:r>
          </w:p>
        </w:tc>
        <w:tc>
          <w:tcPr>
            <w:tcW w:type="dxa" w:w="1170"/>
          </w:tcPr>
          <w:p>
            <w:pPr>
              <w:spacing w:line="240" w:lineRule="auto" w:before="0" w:after="0"/>
              <w:jc w:val="center"/>
            </w:pPr>
            <w:r>
              <w:rPr>
                <w:rFonts w:ascii="Times New Roman" w:hAnsi="Times New Roman"/>
                <w:color w:val="000000"/>
                <w:sz w:val="18"/>
              </w:rPr>
              <w:t>0.645</w:t>
            </w:r>
          </w:p>
        </w:tc>
        <w:tc>
          <w:tcPr>
            <w:tcW w:type="dxa" w:w="1170"/>
          </w:tcPr>
          <w:p>
            <w:pPr>
              <w:spacing w:line="240" w:lineRule="auto" w:before="0" w:after="0"/>
              <w:jc w:val="center"/>
            </w:pPr>
            <w:r>
              <w:rPr>
                <w:rFonts w:ascii="Times New Roman" w:hAnsi="Times New Roman"/>
                <w:color w:val="000000"/>
                <w:sz w:val="18"/>
              </w:rPr>
              <w:t>0.485</w:t>
            </w:r>
          </w:p>
        </w:tc>
        <w:tc>
          <w:tcPr>
            <w:tcW w:type="dxa" w:w="1170"/>
          </w:tcPr>
          <w:p>
            <w:pPr>
              <w:spacing w:line="240" w:lineRule="auto" w:before="0" w:after="0"/>
              <w:jc w:val="center"/>
            </w:pPr>
            <w:r>
              <w:rPr>
                <w:rFonts w:ascii="Times New Roman" w:hAnsi="Times New Roman"/>
                <w:color w:val="000000"/>
                <w:sz w:val="18"/>
              </w:rPr>
              <w:t>0.546</w:t>
            </w:r>
          </w:p>
        </w:tc>
        <w:tc>
          <w:tcPr>
            <w:tcW w:type="dxa" w:w="1170"/>
          </w:tcPr>
          <w:p>
            <w:pPr>
              <w:spacing w:line="240" w:lineRule="auto" w:before="0" w:after="0"/>
              <w:jc w:val="center"/>
            </w:pPr>
            <w:r>
              <w:rPr>
                <w:rFonts w:ascii="Times New Roman" w:hAnsi="Times New Roman"/>
                <w:color w:val="000000"/>
                <w:sz w:val="18"/>
              </w:rPr>
              <w:t>0.573</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0.089</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-0.52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-1.77</w:t>
            </w:r>
          </w:p>
        </w:tc>
        <w:tc>
          <w:tcPr>
            <w:tcW w:type="dxa" w:w="1170"/>
          </w:tcPr>
          <w:p>
            <w:pPr>
              <w:spacing w:line="240" w:lineRule="auto" w:before="0" w:after="0"/>
              <w:jc w:val="center"/>
            </w:pPr>
            <w:r>
              <w:rPr>
                <w:rFonts w:ascii="Times New Roman" w:hAnsi="Times New Roman"/>
                <w:color w:val="000000"/>
                <w:sz w:val="18"/>
              </w:rPr>
              <w:t>0.004</w:t>
            </w:r>
          </w:p>
        </w:tc>
        <w:tc>
          <w:tcPr>
            <w:tcW w:type="dxa" w:w="1170"/>
          </w:tcPr>
          <w:p>
            <w:pPr>
              <w:spacing w:line="240" w:lineRule="auto" w:before="0" w:after="0"/>
              <w:jc w:val="center"/>
            </w:pPr>
            <w:r>
              <w:rPr>
                <w:rFonts w:ascii="Times New Roman" w:hAnsi="Times New Roman"/>
                <w:color w:val="000000"/>
                <w:sz w:val="18"/>
              </w:rPr>
              <w:t>0.002</w:t>
            </w:r>
          </w:p>
        </w:tc>
        <w:tc>
          <w:tcPr>
            <w:tcW w:type="dxa" w:w="1170"/>
          </w:tcPr>
          <w:p>
            <w:pPr>
              <w:spacing w:line="240" w:lineRule="auto" w:before="0" w:after="0"/>
              <w:jc w:val="center"/>
            </w:pPr>
            <w:r>
              <w:rPr>
                <w:rFonts w:ascii="Times New Roman" w:hAnsi="Times New Roman"/>
                <w:color w:val="000000"/>
                <w:sz w:val="18"/>
              </w:rPr>
              <w:t>0.009</w:t>
            </w:r>
          </w:p>
        </w:tc>
        <w:tc>
          <w:tcPr>
            <w:tcW w:type="dxa" w:w="1170"/>
          </w:tcPr>
          <w:p>
            <w:pPr>
              <w:spacing w:line="240" w:lineRule="auto" w:before="0" w:after="0"/>
              <w:jc w:val="center"/>
            </w:pPr>
            <w:r>
              <w:rPr>
                <w:rFonts w:ascii="Times New Roman" w:hAnsi="Times New Roman"/>
                <w:color w:val="000000"/>
                <w:sz w:val="18"/>
              </w:rPr>
              <w:t>0.000</w:t>
            </w:r>
          </w:p>
        </w:tc>
      </w:tr>
    </w:tbl>
    <w:p>
      <w:pPr>
        <w:keepNext/>
        <w:spacing w:line="276" w:lineRule="auto" w:before="40" w:after="160"/>
        <w:jc w:val="left"/>
      </w:pPr>
      <w:r>
        <w:rPr>
          <w:rFonts w:ascii="Times New Roman" w:hAnsi="Times New Roman"/>
          <w:i/>
          <w:color w:val="000000"/>
          <w:sz w:val="20"/>
        </w:rPr>
        <w:t>Source: Author's computation (2026). Note: Sharpe Diff = Difference in annualized Sharpe ratio (Strategy minus Benchmark); Jobson-Korkie p-val = Asymptotic Z-test p-value under Gaussian assumptions (Jobson &amp; Korkie, 1981; Memmel, 2003); Ledoit-Wolf Sharpe p-val = Circular block bootstrap p-value robust to fat tails and autocorrelation with 2,000 resamples (Ledoit &amp; Wolf, 2008); Benjamini-Hochberg (FDR q-val) = False Discovery Rate adjusted q-value controlling the expected proportion of false positives across all 18 simultaneous pairwise comparisons (Benjamini &amp; Hochberg, 1995); Wilcoxon p-val = Non-parametric Wilcoxon signed-rank test p-value (Wilcoxon, 1945).</w:t>
      </w:r>
    </w:p>
    <w:p>
      <w:pPr>
        <w:keepNext/>
        <w:spacing w:line="480" w:lineRule="auto" w:before="0" w:after="0"/>
        <w:jc w:val="left"/>
      </w:pPr>
      <w:r>
        <w:rPr>
          <w:rFonts w:ascii="Times New Roman" w:hAnsi="Times New Roman"/>
          <w:b/>
          <w:color w:val="000000"/>
          <w:sz w:val="24"/>
        </w:rPr>
        <w:t>4.8 Discussion of Findings</w:t>
      </w:r>
    </w:p>
    <w:p>
      <w:pPr>
        <w:spacing w:line="480" w:lineRule="auto" w:before="0" w:after="0"/>
        <w:ind w:firstLine="72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ind w:firstLine="72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The return distributions exhibit predominantly positive skewness (cross-sectional mean = +0.54) combined with excess kurtosis across all 28 assets (ranging from 2.20 to 14.47 among assets unaffected by corporate actions), indicating heavy-tailed, leptokurtic distributions. Under these conditions, standard variance , which penalizes upside and downside deviations symmetrically, overstates the risk contribution of positive outliers while underestimating the severity of left-tail losses. Econometrically, this confirms that empirical NGX equity returns are characterized by fat tails and asymmetric risk profiles. These results strongly support the theoretical arguments and empirical evidence of Mozumder et al. (2024), Adegboyo &amp; Sarwar (2025), Uzoaga et al. (2025a), and Alim et al. (2024), who emphasize that emerging frontier stock markets experience pronounced price jumps, policy shifts, and macroeconomic shocks that invalidate Gaussian assumptions. Conversely, these findings contrast with the theoretical premise of classical dispersion models (Bali et al., 2007; Samaniego Alcántar, 2023), which argue that standard variance can serve as an adequate proxy for portfolio risk when higher-order moments exhibit finite-sample instability. On the NGX, relying strictly on standard variance underestimates tail-risk exposure during market downturns, supporting the adoption of downside risk measures such as Conditional Value-at-Risk (CVaR).</w:t>
      </w:r>
    </w:p>
    <w:p>
      <w:pPr>
        <w:spacing w:line="480" w:lineRule="auto" w:before="0" w:after="0"/>
        <w:ind w:firstLine="720"/>
        <w:jc w:val="both"/>
      </w:pPr>
      <w:r>
        <w:rPr>
          <w:rFonts w:ascii="Times New Roman" w:hAnsi="Times New Roman"/>
          <w:color w:val="000000"/>
          <w:sz w:val="24"/>
        </w:rPr>
        <w:t>Secondly, regarding the performance of non-linear Machine Learning models in forecasting weekly NGX equity returns under Expanding-Window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Random Forest achieved an average out-of-sample directional accuracy of 38.1% across liquid NGX equities (with individual assets reaching up to 50.8%), compared to 37.9% for historical baselines and 37.8% for XGBoost.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et al., 2020; Chao, 2024; Ojo &amp; Okafor, 2024; Ajiga et al., 2024; Ferrari et al., 2024), demonstrating that machine learning algorithms capture non-linear market interactions and trend-persistence dynamics in emerging economies. However, this finding also engages with contrasting perspectives: it engages with the weak-form Efficient Market Hypothesis (Fama, 1970) by testing whether past technical price and volume patterns yield economic value, while contrasting with the findings of Moyoweshumba &amp; Seitshiro (2025) on the Johannesburg Stock Exchange. Whereas Moyoweshumba and Seitshiro found that machine learning return forecasts delivered dramatic gains over traditional Markowitz allocation on the JSE, on the NGX machine learning return forecasts added no statistically significant edge over historical sample means (gross Sharpe difference +0.02, q = 0.591).</w:t>
      </w:r>
    </w:p>
    <w:p>
      <w:pPr>
        <w:spacing w:line="480" w:lineRule="auto" w:before="0" w:after="0"/>
        <w:ind w:firstLine="72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at the unadjusted level under Ledoit-Wolf circular block bootstrap tests (p = 0.015), but is marginal after Benjamini–Hochberg False Discovery Rate correction for 18 simultaneous comparisons (q = 0.056). Crucially, the honestly significant finding that survives rigorous multiple testing correction is that the CVaR risk architecture decisively protects capital under transaction frictions: unconstrained MVO collapses against 1/N equal weighting under retail fees (FDR q = 0.009), while static low-turnover Historical-CVaR significantly outperforms high-turnover XGB-CVaR under institutional fees (Sharpe diff -0.25, FDR q = 0.000). Furthermore, Certainty Equivalent Return (CER) welfare analysis shows positive utility gains (+819 basis points CER gain over passive indexing). These results corroborate established portfolio selection theory (Markowitz, 1952; Rockafellar &amp; Uryasev, 2000; Bodnar et al., 2022; Hsiao, 2025), showing that convex tail-risk constraints improve risk-adjusted outcomes regardless of whether forward-looking ML return forecasts or historical sample means are employed. Nevertheless, these findings provide a nuanced contrast to the empirical work of San (2025) and the classic estimation-error critique of naive diversification, which assert that simple 1/N equal weighting consistently outperforms or equals optimized portfolios out-of-sample due to parameter uncertainty. While 1/N achieves a robust gross Sharpe of 1.07 on the NGX (Table 4.5), disciplined CVaR tail-loss minimization achieves superior downside protection (-22.09% max drawdown versus -23.95% for 1/N), demonstrating that tail-risk optimization delivers distinct economic value.</w:t>
      </w:r>
    </w:p>
    <w:p>
      <w:pPr>
        <w:spacing w:line="480" w:lineRule="auto" w:before="0" w:after="0"/>
        <w:ind w:firstLine="72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severe weight instability (99.28% average weekly turnover), resulting in a maximum drawdown of -86.38% and negative economic welfare (CER = -64.09%). This strongly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risk-adjusted outperformance prior to friction over the index, comparable to Historical-CVaR, weekly rebalancing turnover (11.00%) incurs an annual fee drag (~3.6% to ~7.2%) that erodes gross returns after fees. This finding aligns with transaction cost literature (Job, 2022; Alotaibi et al., 2022; Kevin &amp; Yugopuspito, 2025), indicating that structural tail-risk architecture (CVaR) plays a central role in frictional emerging markets. It also qualifies the assertions of high-frequency quantitative models that advocate unconstrained algorithmic rebalancing, demonstrating that without explicit turnover penalties or execution smoothing bands, transaction friction rapidly neutralizes statistical predictive edges on frontier exchanges.</w:t>
      </w:r>
    </w:p>
    <w:p>
      <w:pPr>
        <w:keepNext/>
        <w:pageBreakBefore/>
        <w:spacing w:line="480" w:lineRule="auto" w:before="0" w:after="0"/>
        <w:jc w:val="center"/>
      </w:pPr>
      <w:r>
        <w:rPr>
          <w:rFonts w:ascii="Times New Roman" w:hAnsi="Times New Roman"/>
          <w:b/>
          <w:color w:val="000000"/>
          <w:sz w:val="28"/>
        </w:rPr>
        <w:t>CHAPTER FIVE</w:t>
      </w:r>
    </w:p>
    <w:p>
      <w:pPr>
        <w:keepNext/>
        <w:spacing w:line="480" w:lineRule="auto" w:before="0" w:after="0"/>
        <w:jc w:val="center"/>
      </w:pPr>
      <w:r>
        <w:rPr>
          <w:rFonts w:ascii="Times New Roman" w:hAnsi="Times New Roman"/>
          <w:b/>
          <w:color w:val="000000"/>
          <w:sz w:val="24"/>
        </w:rPr>
        <w:t>SUMMARY, CONCLUSION AND RECOMMENDATIONS</w:t>
      </w:r>
    </w:p>
    <w:p>
      <w:pPr>
        <w:keepNext/>
        <w:spacing w:line="480" w:lineRule="auto" w:before="0" w:after="0"/>
        <w:jc w:val="left"/>
      </w:pPr>
      <w:r>
        <w:rPr>
          <w:rFonts w:ascii="Times New Roman" w:hAnsi="Times New Roman"/>
          <w:b/>
          <w:color w:val="000000"/>
          <w:sz w:val="24"/>
        </w:rPr>
        <w:t>5.1 Summary of Findings</w:t>
      </w:r>
    </w:p>
    <w:p>
      <w:pPr>
        <w:spacing w:line="480" w:lineRule="auto" w:before="0" w:after="0"/>
        <w:ind w:firstLine="720"/>
        <w:jc w:val="both"/>
      </w:pPr>
      <w:r>
        <w:rPr>
          <w:rFonts w:ascii="Times New Roman" w:hAnsi="Times New Roman"/>
          <w:color w:val="000000"/>
          <w:sz w:val="24"/>
        </w:rPr>
        <w:t>1. Statistical Non-Normality and Tail-Risk Exposure: Formal statistical diagnostic tests (Jarque-Bera and Shapiro-Wilk) rejected Gaussian normality across all 28 evaluated NGX equities (p &lt; 0.001). The empirical return distributions exhibited predominantly positive skewness (cross-sectional mean = +0.54) combined with excess kurtosis across all 28 assets (ranging from 2.20 to 14.47 among assets unaffected by corporate actions), indicating heavy-tailed, leptokurtic distributions that support the use of downside Conditional Value-at-Risk (CVaR) over standard variance.</w:t>
      </w:r>
    </w:p>
    <w:p>
      <w:pPr>
        <w:spacing w:line="480" w:lineRule="auto" w:before="0" w:after="0"/>
        <w:ind w:firstLine="720"/>
        <w:jc w:val="both"/>
      </w:pPr>
      <w:r>
        <w:rPr>
          <w:rFonts w:ascii="Times New Roman" w:hAnsi="Times New Roman"/>
          <w:color w:val="000000"/>
          <w:sz w:val="24"/>
        </w:rPr>
        <w:t>2. Machine Learning Return Forecasting Dynamics: Non-linear machine learning ensembles (Random Forest and XGBoost) evaluated under Expanding-Window Walk-Forward Validation captured time-varying market dynamics. Random Forest achieved the highest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ind w:firstLine="720"/>
        <w:jc w:val="both"/>
      </w:pPr>
      <w:r>
        <w:rPr>
          <w:rFonts w:ascii="Times New Roman" w:hAnsi="Times New Roman"/>
          <w:color w:val="000000"/>
          <w:sz w:val="24"/>
        </w:rPr>
        <w:t>3. Out-of-Sample Portfolio Optimization Performance: Integrating machine learning return forecasts into a convex Mean-CVaR optimization framework generated higher risk-adjusted returns under zero fee friction relative to the market index. XGBoost + Mean-CVaR achieved a gross Sharpe ratio of 1.52 (42.00% annualized return, -22.09% maximum drawdown) compared to 0.91 for the passive NGX Index Buy-Hold baseline. This gross outperformance over the index is statistically significant at the unadjusted level (Ledoit-Wolf circular block bootstrap p = 0.015), but marginal after Benjamini–Hochberg False Discovery Rate correction for 18 simultaneous comparisons (q = 0.056), while delivering Certainty Equivalent Return utility gains (+819 bps CER gain). Crucially, XGB-CVaR and Historical-CVaR achieved statistically indistinguishable gross Sharpe ratios (1.52 vs 1.50, difference +0.02, FDR q = 0.591), confirming that outperformance over the market index stems from the convex CVaR risk architecture rather than machine learning return forecasts. Under transaction friction, low-turnover Historical-CVaR significantly outperforms active XGB-CVaR under institutional fees (q = 0.000), and unconstrained MVO collapses against 1/N equal weighting under retail friction (q = 0.009).</w:t>
      </w:r>
    </w:p>
    <w:p>
      <w:pPr>
        <w:spacing w:line="480" w:lineRule="auto" w:before="0" w:after="0"/>
        <w:ind w:firstLine="720"/>
        <w:jc w:val="both"/>
      </w:pPr>
      <w:r>
        <w:rPr>
          <w:rFonts w:ascii="Times New Roman" w:hAnsi="Times New Roman"/>
          <w:color w:val="000000"/>
          <w:sz w:val="24"/>
        </w:rPr>
        <w:t>4. Transaction Cost Dynamics and Turnover Friction: Evaluating portfolio performance under market stress and multi-tier transaction cost friction demonstrated that unconstrained Markowitz Mean-Variance Optimization experiences severe performance degradation (-86.38% drawdown, -64.09% CER utility) due to high turnover (99.28% weekly turnover). Under institutional (0.75%) and retail (1.50%) brokerage fees, active ML rebalancing turnover (11.00%) creates an annual fee drag (~3.6% to ~7.2%) that erodes gross returns after fees, while low-turnover Historical-CVaR (0.38% turnover) maintains stable post-fee performance (net Sharpe 1.48 to 1.49, pairwise Ledoit-Wolf p = 0.000, FDR q = 0.000 vs XGB-CVaR).</w:t>
      </w:r>
    </w:p>
    <w:p>
      <w:pPr>
        <w:keepNext/>
        <w:spacing w:line="480" w:lineRule="auto" w:before="0" w:after="0"/>
        <w:jc w:val="left"/>
      </w:pPr>
      <w:r>
        <w:rPr>
          <w:rFonts w:ascii="Times New Roman" w:hAnsi="Times New Roman"/>
          <w:b/>
          <w:color w:val="000000"/>
          <w:sz w:val="24"/>
        </w:rPr>
        <w:t>5.2 Conclusion</w:t>
      </w:r>
    </w:p>
    <w:p>
      <w:pPr>
        <w:spacing w:line="480" w:lineRule="auto" w:before="0" w:after="0"/>
        <w:ind w:firstLine="72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16-year period (2010-2025). The research evaluated non-normality diagnostics, Machine Learning return forecasting (Random Forest and XGBoost) under Expanding-Window Walk-Forward Validation, and convex Mean-CVaR asset allocation backtesting.</w:t>
      </w:r>
    </w:p>
    <w:p>
      <w:pPr>
        <w:spacing w:line="480" w:lineRule="auto" w:before="0" w:after="0"/>
        <w:ind w:firstLine="720"/>
        <w:jc w:val="both"/>
      </w:pPr>
      <w:r>
        <w:rPr>
          <w:rFonts w:ascii="Times New Roman" w:hAnsi="Times New Roman"/>
          <w:color w:val="000000"/>
          <w:sz w:val="24"/>
        </w:rPr>
        <w:t>The overall conclusion of this research is that while tail-risk-aware CVaR optimization delivers substantial risk-adjusted outperformance and downside protection on the NGX (+819 bps CER gain over passive indexing), machine learning return forecasts provide no statistically significant enhancement over simple historical sample means, and high-turnover rebalancing incurs severe transaction fee drag. Consequently, structural tail-risk management via Conditional Value-at-Risk (CVaR) appears to be the primary contributor to real-world investor economic surplus in the NGX context studied. This indicates that downside tail-risk architecture plays a far more critical role than model forecasting complexity in frictional emerging equity markets.</w:t>
      </w:r>
    </w:p>
    <w:p>
      <w:pPr>
        <w:keepNext/>
        <w:spacing w:line="480" w:lineRule="auto" w:before="0" w:after="0"/>
        <w:jc w:val="left"/>
      </w:pPr>
      <w:r>
        <w:rPr>
          <w:rFonts w:ascii="Times New Roman" w:hAnsi="Times New Roman"/>
          <w:b/>
          <w:color w:val="000000"/>
          <w:sz w:val="24"/>
        </w:rPr>
        <w:t>5.3 Policy and Practical Recommendations</w:t>
      </w:r>
    </w:p>
    <w:p>
      <w:pPr>
        <w:keepNext/>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ind w:firstLine="720"/>
        <w:jc w:val="both"/>
      </w:pPr>
      <w:r>
        <w:rPr>
          <w:rFonts w:ascii="Times New Roman" w:hAnsi="Times New Roman"/>
          <w:color w:val="000000"/>
          <w:sz w:val="24"/>
        </w:rPr>
        <w:t>1. PENCOM Investment Guidelines Update: The National Pension Commission (PENCOM) may consider incorporating downside tail-risk metrics, such as Conditional Value-at-Risk (CVaR at 95% confidence level), alongside traditional variance-based measures in its Investment Guidelines for Fund I, Fund II, and Fund III equity portfolios. Pension Fund Administrators (PFAs) could evaluate CVaR-constrained allocation models to protect pension assets during extreme macroeconomic shocks.</w:t>
      </w:r>
    </w:p>
    <w:p>
      <w:pPr>
        <w:spacing w:line="480" w:lineRule="auto" w:before="0" w:after="0"/>
        <w:ind w:firstLine="720"/>
        <w:jc w:val="both"/>
      </w:pPr>
      <w:r>
        <w:rPr>
          <w:rFonts w:ascii="Times New Roman" w:hAnsi="Times New Roman"/>
          <w:color w:val="000000"/>
          <w:sz w:val="24"/>
        </w:rPr>
        <w:t>2. SEC &amp; NGX Regulatory Data Transparency: The Securities and Exchange Commission (SEC) and NGX Regulation should establish open-access, low-latency API data infrastructure for market participants to support quantitative risk management. Furthermore, the SEC should require asset management firms to publish quarterly CVaR metrics in fund factsheets to enhance retail investor risk transparency.</w:t>
      </w:r>
    </w:p>
    <w:p>
      <w:pPr>
        <w:keepNext/>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ind w:firstLine="720"/>
        <w:jc w:val="both"/>
      </w:pPr>
      <w:r>
        <w:rPr>
          <w:rFonts w:ascii="Times New Roman" w:hAnsi="Times New Roman"/>
          <w:color w:val="000000"/>
          <w:sz w:val="24"/>
        </w:rPr>
        <w:t>1. Adoption of Low-Turnover Tail-Risk Frameworks: Pension Fund Administrators (PFAs) and institutional fund managers operating on the NGX should evaluate Mean-CVaR asset allocation as a complement or alternative to classical Markowitz Mean-Variance Optimization. To prevent fee erosion, institutional managers should enforce strict turnover caps, employ turnover-penalized objective functions, or adopt quarterly rebalancing protocols.</w:t>
      </w:r>
    </w:p>
    <w:p>
      <w:pPr>
        <w:spacing w:line="480" w:lineRule="auto" w:before="0" w:after="0"/>
        <w:ind w:firstLine="720"/>
        <w:jc w:val="both"/>
      </w:pPr>
      <w:r>
        <w:rPr>
          <w:rFonts w:ascii="Times New Roman" w:hAnsi="Times New Roman"/>
          <w:color w:val="000000"/>
          <w:sz w:val="24"/>
        </w:rPr>
        <w:t>2. Dynamic Risk-Free Asset Allocation: Institutional portfolios should actively incorporate sovereign risk-free assets (such as Central Bank of Nigeria 91-day Treasury Bills) to stabilize portfolio Sharpe ratios during market drawdown regimes.</w:t>
      </w:r>
    </w:p>
    <w:p>
      <w:pPr>
        <w:keepNext/>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ind w:firstLine="720"/>
        <w:jc w:val="both"/>
      </w:pPr>
      <w:r>
        <w:rPr>
          <w:rFonts w:ascii="Times New Roman" w:hAnsi="Times New Roman"/>
          <w:color w:val="000000"/>
          <w:sz w:val="24"/>
        </w:rPr>
        <w:t>1. Stress-Testing and Downside Risk Auditing: Risk officers and quantitative portfolio managers should consider regular stress testing using historical block bootstrap resampling and non-parametric CVaR estimation to evaluate portfolio tail loss limits.</w:t>
      </w:r>
    </w:p>
    <w:p>
      <w:pPr>
        <w:spacing w:line="480" w:lineRule="auto" w:before="0" w:after="0"/>
        <w:ind w:firstLine="720"/>
        <w:jc w:val="both"/>
      </w:pPr>
      <w:r>
        <w:rPr>
          <w:rFonts w:ascii="Times New Roman" w:hAnsi="Times New Roman"/>
          <w:color w:val="000000"/>
          <w:sz w:val="24"/>
        </w:rPr>
        <w:t>2. Turnover-Constrained Rebalancing and Fee Auditing: Quantitative portfolio managers on frontier exchanges must implement turnover constraints (such as rebalancing bands, penalty terms, or quarterly re-allocation schedules) to prevent aggressive portfolio turnover from eroding gross risk-adjusted performance across institutional and retail transaction fee tiers.</w:t>
      </w:r>
    </w:p>
    <w:p>
      <w:pPr>
        <w:keepNext/>
        <w:spacing w:line="480" w:lineRule="auto" w:before="0" w:after="0"/>
        <w:jc w:val="left"/>
      </w:pPr>
      <w:r>
        <w:rPr>
          <w:rFonts w:ascii="Times New Roman" w:hAnsi="Times New Roman"/>
          <w:b/>
          <w:color w:val="000000"/>
          <w:sz w:val="24"/>
        </w:rPr>
        <w:t>5.4 Limitations of the Study</w:t>
      </w:r>
    </w:p>
    <w:p>
      <w:pPr>
        <w:spacing w:line="480" w:lineRule="auto" w:before="0" w:after="0"/>
        <w:ind w:firstLine="720"/>
        <w:jc w:val="both"/>
      </w:pPr>
      <w:r>
        <w:rPr>
          <w:rFonts w:ascii="Times New Roman" w:hAnsi="Times New Roman"/>
          <w:color w:val="000000"/>
          <w:sz w:val="24"/>
        </w:rPr>
        <w:t>While this study provides empirical insights into quantitative asset management on the Nigerian equity market, several methodological limitations are acknowledged:</w:t>
      </w:r>
    </w:p>
    <w:p>
      <w:pPr>
        <w:spacing w:line="480" w:lineRule="auto" w:before="0" w:after="0"/>
        <w:ind w:firstLine="720"/>
        <w:jc w:val="both"/>
      </w:pPr>
      <w:r>
        <w:rPr>
          <w:rFonts w:ascii="Times New Roman" w:hAnsi="Times New Roman"/>
          <w:color w:val="000000"/>
          <w:sz w:val="24"/>
        </w:rPr>
        <w:t>1. Asset Universe Scope: The study evaluated 28 liquid equities from the NGX Pension Index with complete 16-year histories (2010–2025). Recently listed high-capitalization assets (e.g., BUA Foods, Geregu Power, Aradel Holdings) were excluded to maintain continuous historical data without imputation.</w:t>
      </w:r>
    </w:p>
    <w:p>
      <w:pPr>
        <w:spacing w:line="480" w:lineRule="auto" w:before="0" w:after="0"/>
        <w:ind w:firstLine="720"/>
        <w:jc w:val="both"/>
      </w:pPr>
      <w:r>
        <w:rPr>
          <w:rFonts w:ascii="Times New Roman" w:hAnsi="Times New Roman"/>
          <w:color w:val="000000"/>
          <w:sz w:val="24"/>
        </w:rPr>
        <w:t>2. Data Frequency: Analysis was conducted using weekly log returns. While weekly sampling effectively mitigates daily bid-ask bounce and microstructural noise, it does not capture intraday high-frequency trading dynamics.</w:t>
      </w:r>
    </w:p>
    <w:p>
      <w:pPr>
        <w:spacing w:line="480" w:lineRule="auto" w:before="0" w:after="0"/>
        <w:ind w:firstLine="720"/>
        <w:jc w:val="both"/>
      </w:pPr>
      <w:r>
        <w:rPr>
          <w:rFonts w:ascii="Times New Roman" w:hAnsi="Times New Roman"/>
          <w:color w:val="000000"/>
          <w:sz w:val="24"/>
        </w:rPr>
        <w:t>3. Exogenous Macroeconomic Signals: The machine learning feature matrix focused on price and volume technical indicators; exogenous macroeconomic variables (such as USD/NGN exchange rate shocks and Brent crude oil prices) were not explicitly included in the feature set.</w:t>
      </w:r>
    </w:p>
    <w:p>
      <w:pPr>
        <w:spacing w:line="480" w:lineRule="auto" w:before="0" w:after="0"/>
        <w:ind w:firstLine="720"/>
        <w:jc w:val="both"/>
      </w:pPr>
      <w:r>
        <w:rPr>
          <w:rFonts w:ascii="Times New Roman" w:hAnsi="Times New Roman"/>
          <w:color w:val="000000"/>
          <w:sz w:val="24"/>
        </w:rPr>
        <w:t>4. Sample Selection Bias: The requirement for complete 16-year price histories (2010–2025) may introduce survivorship and sample-selection bias, as only securities that remained continuously listed and traded throughout the full sample period were retained. Firms that delisted, were suspended, or entered the market after 2010 are not represented in the analysis. This limitation should be considered when generalizing findings to the broader NGX universe.</w:t>
      </w:r>
    </w:p>
    <w:p>
      <w:pPr>
        <w:spacing w:line="480" w:lineRule="auto" w:before="0" w:after="0"/>
        <w:ind w:firstLine="720"/>
        <w:jc w:val="both"/>
      </w:pPr>
      <w:r>
        <w:rPr>
          <w:rFonts w:ascii="Times New Roman" w:hAnsi="Times New Roman"/>
          <w:color w:val="000000"/>
          <w:sz w:val="24"/>
        </w:rPr>
        <w:t>5. Price-Only Returns and Unadjusted Corporate Actions: This study used price-only (capital appreciation) returns rather than total returns inclusive of dividend distributions. Given that several NGX equities offer meaningful dividend yields, the reported returns may understate total investment performance across all strategies. Additionally, prices were not adjusted for corporate actions; these observations reflect mechanical price changes rather than economic returns and inflate the reported kurtosis for these three assets (MANSARD, TRANSCORP, and WEMABANK; see Section 4.2).</w:t>
      </w:r>
    </w:p>
    <w:p>
      <w:pPr>
        <w:keepNext/>
        <w:spacing w:line="480" w:lineRule="auto" w:before="0" w:after="0"/>
        <w:jc w:val="left"/>
      </w:pPr>
      <w:r>
        <w:rPr>
          <w:rFonts w:ascii="Times New Roman" w:hAnsi="Times New Roman"/>
          <w:b/>
          <w:color w:val="000000"/>
          <w:sz w:val="24"/>
        </w:rPr>
        <w:t>5.5 Suggestions for Further Research</w:t>
      </w:r>
    </w:p>
    <w:p>
      <w:pPr>
        <w:spacing w:line="480" w:lineRule="auto" w:before="0" w:after="0"/>
        <w:ind w:firstLine="720"/>
        <w:jc w:val="both"/>
      </w:pPr>
      <w:r>
        <w:rPr>
          <w:rFonts w:ascii="Times New Roman" w:hAnsi="Times New Roman"/>
          <w:color w:val="000000"/>
          <w:sz w:val="24"/>
        </w:rPr>
        <w:t>Based on the empirical findings and limitations of this research, the following directions for future investigation are suggested:</w:t>
      </w:r>
    </w:p>
    <w:p>
      <w:pPr>
        <w:spacing w:line="480" w:lineRule="auto" w:before="0" w:after="0"/>
        <w:ind w:firstLine="720"/>
        <w:jc w:val="both"/>
      </w:pPr>
      <w:r>
        <w:rPr>
          <w:rFonts w:ascii="Times New Roman" w:hAnsi="Times New Roman"/>
          <w:color w:val="000000"/>
          <w:sz w:val="24"/>
        </w:rPr>
        <w:t>1. Macroeconomic and Exogenous Feature Integration: Future research should expand the machine learning feature space to include macroeconomic variables, foreign exchange volatility, and crude oil price dynamics.</w:t>
      </w:r>
    </w:p>
    <w:p>
      <w:pPr>
        <w:spacing w:line="480" w:lineRule="auto" w:before="0" w:after="0"/>
        <w:ind w:firstLine="720"/>
        <w:jc w:val="both"/>
      </w:pPr>
      <w:r>
        <w:rPr>
          <w:rFonts w:ascii="Times New Roman" w:hAnsi="Times New Roman"/>
          <w:color w:val="000000"/>
          <w:sz w:val="24"/>
        </w:rPr>
        <w:t>2. Deep Learning and High-Frequency Architectures: Extending forecasting models to Transformer-based temporal models and Long Short-Term Memory (LSTM) networks on daily or intraday NGX trading data.</w:t>
      </w:r>
    </w:p>
    <w:p>
      <w:pPr>
        <w:spacing w:line="480" w:lineRule="auto" w:before="0" w:after="0"/>
        <w:ind w:firstLine="720"/>
        <w:jc w:val="both"/>
      </w:pPr>
      <w:r>
        <w:rPr>
          <w:rFonts w:ascii="Times New Roman" w:hAnsi="Times New Roman"/>
          <w:color w:val="000000"/>
          <w:sz w:val="24"/>
        </w:rPr>
        <w:t>3. Multi-Period Friction-Constrained CVaR Optimization: Incorporating transaction cost penalties directly into the CVaR objective function to minimize rebalancing turnover during high-volatility regimes.</w:t>
      </w:r>
    </w:p>
    <w:p>
      <w:pPr>
        <w:keepNext/>
        <w:spacing w:line="480" w:lineRule="auto" w:before="0" w:after="0"/>
        <w:jc w:val="left"/>
      </w:pPr>
      <w:r>
        <w:rPr>
          <w:rFonts w:ascii="Times New Roman" w:hAnsi="Times New Roman"/>
          <w:b/>
          <w:color w:val="000000"/>
          <w:sz w:val="24"/>
        </w:rPr>
        <w:t>5.6 Contribution to Knowledge</w:t>
      </w:r>
    </w:p>
    <w:p>
      <w:pPr>
        <w:spacing w:line="480" w:lineRule="auto" w:before="0" w:after="0"/>
        <w:ind w:firstLine="720"/>
        <w:jc w:val="both"/>
      </w:pPr>
      <w:r>
        <w:rPr>
          <w:rFonts w:ascii="Times New Roman" w:hAnsi="Times New Roman"/>
          <w:color w:val="000000"/>
          <w:sz w:val="24"/>
        </w:rPr>
        <w:t>This research contributes to quantitative finance literature in the following ways:</w:t>
      </w:r>
    </w:p>
    <w:p>
      <w:pPr>
        <w:spacing w:line="480" w:lineRule="auto" w:before="0" w:after="0"/>
        <w:ind w:firstLine="720"/>
        <w:jc w:val="both"/>
      </w:pPr>
      <w:r>
        <w:rPr>
          <w:rFonts w:ascii="Times New Roman" w:hAnsi="Times New Roman"/>
          <w:color w:val="000000"/>
          <w:sz w:val="24"/>
        </w:rPr>
        <w:t>1. Empirical Contribution: Provides an empirical evaluation of Machine Learning integrated with convex Mean-CVaR optimization on the Nigerian Exchange Group using a clean 16-year dataset (2010–2025).</w:t>
      </w:r>
    </w:p>
    <w:p>
      <w:pPr>
        <w:spacing w:line="480" w:lineRule="auto" w:before="0" w:after="0"/>
        <w:ind w:firstLine="720"/>
        <w:jc w:val="both"/>
      </w:pPr>
      <w:r>
        <w:rPr>
          <w:rFonts w:ascii="Times New Roman" w:hAnsi="Times New Roman"/>
          <w:color w:val="000000"/>
          <w:sz w:val="24"/>
        </w:rPr>
        <w:t>2. Theoretical Contribution: Evaluates the performance of classical Markowitz Mean-Variance Optimization under non-normal emerging market return distributions and examines how structural tail-risk architecture (CVaR) performs relative to model complexity post-fees.</w:t>
      </w:r>
    </w:p>
    <w:p>
      <w:pPr>
        <w:spacing w:line="480" w:lineRule="auto" w:before="0" w:after="0"/>
        <w:ind w:firstLine="720"/>
        <w:jc w:val="both"/>
      </w:pPr>
      <w:r>
        <w:rPr>
          <w:rFonts w:ascii="Times New Roman" w:hAnsi="Times New Roman"/>
          <w:color w:val="000000"/>
          <w:sz w:val="24"/>
        </w:rPr>
        <w:t>3. Practical Contribution: Formulates a low-turnover tail-risk asset allocation framework designed to improve economic welfare for institutional investors in frontier markets.</w:t>
      </w:r>
    </w:p>
    <w:p>
      <w:pPr>
        <w:keepNext/>
        <w:spacing w:line="480" w:lineRule="auto" w:before="0" w:after="0"/>
        <w:jc w:val="left"/>
      </w:pPr>
      <w:r>
        <w:rPr>
          <w:rFonts w:ascii="Times New Roman" w:hAnsi="Times New Roman"/>
          <w:b/>
          <w:color w:val="000000"/>
          <w:sz w:val="24"/>
        </w:rPr>
        <w:t>5.7 Data and Code Availability Statement</w:t>
      </w:r>
    </w:p>
    <w:p>
      <w:pPr>
        <w:spacing w:line="480" w:lineRule="auto" w:before="0" w:after="0"/>
        <w:ind w:firstLine="72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is open-source and publicly hosted on GitHub at:</w:t>
      </w:r>
    </w:p>
    <w:p>
      <w:pPr>
        <w:spacing w:line="480" w:lineRule="auto" w:before="0" w:after="0"/>
        <w:ind w:firstLine="720"/>
        <w:jc w:val="both"/>
      </w:pPr>
      <w:r>
        <w:rPr>
          <w:rFonts w:ascii="Times New Roman" w:hAnsi="Times New Roman"/>
          <w:color w:val="000000"/>
          <w:sz w:val="24"/>
        </w:rPr>
        <w:t>Repository URL: https://github.com/abdulameen962/equity-optimization</w:t>
      </w:r>
    </w:p>
    <w:p>
      <w:pPr>
        <w:keepNext/>
        <w:pageBreakBefore/>
        <w:spacing w:line="480" w:lineRule="auto" w:before="0" w:after="0"/>
        <w:jc w:val="center"/>
      </w:pPr>
      <w:r>
        <w:rPr>
          <w:rFonts w:ascii="Times New Roman" w:hAnsi="Times New Roman"/>
          <w:b/>
          <w:color w:val="000000"/>
          <w:sz w:val="28"/>
        </w:rPr>
        <w:t>REFERENCES</w:t>
      </w:r>
    </w:p>
    <w:p>
      <w:pPr>
        <w:spacing w:line="480" w:lineRule="auto" w:before="0" w:after="0"/>
        <w:ind w:left="720" w:hanging="720"/>
        <w:jc w:val="left"/>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left"/>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left"/>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left"/>
      </w:pPr>
      <w:r>
        <w:rPr>
          <w:rFonts w:ascii="Times New Roman" w:hAnsi="Times New Roman"/>
          <w:color w:val="000000"/>
          <w:sz w:val="24"/>
        </w:rPr>
        <w:t>Alfzari, S., Al-Shboul, M., &amp; Alshurideh, M. (2025). Predictive analytics in portfolio management: A fusion of AI and investment economics for optimal risk-return trade-offs. International Review of Management and Marketing, 15(2), 365–380. https://doi.org/10.32479/irmm.18594</w:t>
      </w:r>
    </w:p>
    <w:p>
      <w:pPr>
        <w:spacing w:line="480" w:lineRule="auto" w:before="0" w:after="0"/>
        <w:ind w:left="720" w:hanging="720"/>
        <w:jc w:val="left"/>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left"/>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left"/>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left"/>
      </w:pPr>
      <w:r>
        <w:rPr>
          <w:rFonts w:ascii="Times New Roman" w:hAnsi="Times New Roman"/>
          <w:color w:val="000000"/>
          <w:sz w:val="24"/>
        </w:rPr>
        <w:t>Artzner, P., Delbaen, F., Eber, J.-M., &amp; Heath, D. (1999). Coherent measures of risk. Mathematical Finance, 9(3), 203–228. https://doi.org/10.1111/1467-9965.00068</w:t>
      </w:r>
    </w:p>
    <w:p>
      <w:pPr>
        <w:spacing w:line="480" w:lineRule="auto" w:before="0" w:after="0"/>
        <w:ind w:left="720" w:hanging="720"/>
        <w:jc w:val="left"/>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left"/>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left"/>
      </w:pPr>
      <w:r>
        <w:rPr>
          <w:rFonts w:ascii="Times New Roman" w:hAnsi="Times New Roman"/>
          <w:color w:val="000000"/>
          <w:sz w:val="24"/>
        </w:rPr>
        <w:t>Benjamini, Y., &amp; Hochberg, Y. (1995). Controlling the false discovery rate: A practical and powerful approach to multiple testing. Journal of the Royal Statistical Society: Series B (Methodological), 57(1), 289–300. https://doi.org/10.1111/j.2517-6161.1995.tb02031.x</w:t>
      </w:r>
    </w:p>
    <w:p>
      <w:pPr>
        <w:spacing w:line="480" w:lineRule="auto" w:before="0" w:after="0"/>
        <w:ind w:left="720" w:hanging="720"/>
        <w:jc w:val="left"/>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left"/>
      </w:pPr>
      <w:r>
        <w:rPr>
          <w:rFonts w:ascii="Times New Roman" w:hAnsi="Times New Roman"/>
          <w:color w:val="000000"/>
          <w:sz w:val="24"/>
        </w:rPr>
        <w:t>Breiman, L. (2001). Random forests. Machine Learning, 45(1), 5–32. https://doi.org/10.1023/A:1010933404324</w:t>
      </w:r>
    </w:p>
    <w:p>
      <w:pPr>
        <w:spacing w:line="480" w:lineRule="auto" w:before="0" w:after="0"/>
        <w:ind w:left="720" w:hanging="720"/>
        <w:jc w:val="left"/>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left"/>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left"/>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left"/>
      </w:pPr>
      <w:r>
        <w:rPr>
          <w:rFonts w:ascii="Times New Roman" w:hAnsi="Times New Roman"/>
          <w:color w:val="000000"/>
          <w:sz w:val="24"/>
        </w:rPr>
        <w:t>Chen, T., &amp; Guestrin, C. (2016). XGBoost: A scalable tree boosting system. Proceedings of the 22nd ACM SIGKDD International Conference on Knowledge Discovery and Data Mining, 785–794. https://doi.org/10.1145/2939672.2939785</w:t>
      </w:r>
    </w:p>
    <w:p>
      <w:pPr>
        <w:spacing w:line="480" w:lineRule="auto" w:before="0" w:after="0"/>
        <w:ind w:left="720" w:hanging="720"/>
        <w:jc w:val="left"/>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left"/>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left"/>
      </w:pPr>
      <w:r>
        <w:rPr>
          <w:rFonts w:ascii="Times New Roman" w:hAnsi="Times New Roman"/>
          <w:color w:val="000000"/>
          <w:sz w:val="24"/>
        </w:rPr>
        <w:t>Dickey, D. A., &amp; Fuller, W. A. (1979). Distribution of the estimators for autoregressive time series with a unit root. Journal of the American Statistical Association, 74(366), 427–431. https://doi.org/10.2307/2286348</w:t>
      </w:r>
    </w:p>
    <w:p>
      <w:pPr>
        <w:spacing w:line="480" w:lineRule="auto" w:before="0" w:after="0"/>
        <w:ind w:left="720" w:hanging="720"/>
        <w:jc w:val="left"/>
      </w:pPr>
      <w:r>
        <w:rPr>
          <w:rFonts w:ascii="Times New Roman" w:hAnsi="Times New Roman"/>
          <w:color w:val="000000"/>
          <w:sz w:val="24"/>
        </w:rPr>
        <w:t>Diebold, F. X., &amp; Mariano, R. S. (1995). Comparing predictive accuracy. Journal of Business &amp; Economic Statistics, 13(3), 253–263. https://doi.org/10.1080/07350015.1995.10524599</w:t>
      </w:r>
    </w:p>
    <w:p>
      <w:pPr>
        <w:spacing w:line="480" w:lineRule="auto" w:before="0" w:after="0"/>
        <w:ind w:left="720" w:hanging="720"/>
        <w:jc w:val="left"/>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left"/>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left"/>
      </w:pPr>
      <w:r>
        <w:rPr>
          <w:rFonts w:ascii="Times New Roman" w:hAnsi="Times New Roman"/>
          <w:color w:val="000000"/>
          <w:sz w:val="24"/>
        </w:rPr>
        <w:t>Fan, Y. (2025). Enhancing investment strategies with LSTM-based stock prediction and mean-variance portfolio optimization. Advances in Economics, Management and Political Sciences, 182, 110–117. https://doi.org/10.54254/2754-1169/2024.23667</w:t>
      </w:r>
    </w:p>
    <w:p>
      <w:pPr>
        <w:spacing w:line="480" w:lineRule="auto" w:before="0" w:after="0"/>
        <w:ind w:left="720" w:hanging="720"/>
        <w:jc w:val="left"/>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left"/>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left"/>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left"/>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left"/>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left"/>
      </w:pPr>
      <w:r>
        <w:rPr>
          <w:rFonts w:ascii="Times New Roman" w:hAnsi="Times New Roman"/>
          <w:color w:val="000000"/>
          <w:sz w:val="24"/>
        </w:rPr>
        <w:t>Hsiao, Y.-Y. (2025). A comprehensive survey of modern portfolio optimization: From traditional risk analysis to advanced analytics and machine learning approaches. Advances in Economics, Management and Political Sciences, 166, 189–194. https://doi.org/10.54254/2754-1169/2025.21140</w:t>
      </w:r>
    </w:p>
    <w:p>
      <w:pPr>
        <w:spacing w:line="480" w:lineRule="auto" w:before="0" w:after="0"/>
        <w:ind w:left="720" w:hanging="720"/>
        <w:jc w:val="left"/>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left"/>
      </w:pPr>
      <w:r>
        <w:rPr>
          <w:rFonts w:ascii="Times New Roman" w:hAnsi="Times New Roman"/>
          <w:color w:val="000000"/>
          <w:sz w:val="24"/>
        </w:rPr>
        <w:t>Jarque, C. M., &amp; Bera, A. K. (1987). A test for normality of observations and regression residuals. International Statistical Review, 55(2), 163–172. https://doi.org/10.2307/1403192</w:t>
      </w:r>
    </w:p>
    <w:p>
      <w:pPr>
        <w:spacing w:line="480" w:lineRule="auto" w:before="0" w:after="0"/>
        <w:ind w:left="720" w:hanging="720"/>
        <w:jc w:val="left"/>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left"/>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left"/>
      </w:pPr>
      <w:r>
        <w:rPr>
          <w:rFonts w:ascii="Times New Roman" w:hAnsi="Times New Roman"/>
          <w:color w:val="000000"/>
          <w:sz w:val="24"/>
        </w:rPr>
        <w:t>Kevin, J., &amp; Yugopuspito, P. (2025). Hybrid LSTM and PPO networks for dynamic portfolio optimization. arXiv:2511.17963. https://arxiv.org/abs/2511.17963</w:t>
      </w:r>
    </w:p>
    <w:p>
      <w:pPr>
        <w:spacing w:line="480" w:lineRule="auto" w:before="0" w:after="0"/>
        <w:ind w:left="720" w:hanging="720"/>
        <w:jc w:val="left"/>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left"/>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left"/>
      </w:pPr>
      <w:r>
        <w:rPr>
          <w:rFonts w:ascii="Times New Roman" w:hAnsi="Times New Roman"/>
          <w:color w:val="000000"/>
          <w:sz w:val="24"/>
        </w:rPr>
        <w:t>Li, G. (2023). Portfolio optimization and risk analysis in financial markets. Proceedings of the 2nd International Conference on Financial Technology and Business Analysis, 61, 236–246. https://doi.org/10.54254/2754-1169/61/20231273</w:t>
      </w:r>
    </w:p>
    <w:p>
      <w:pPr>
        <w:spacing w:line="480" w:lineRule="auto" w:before="0" w:after="0"/>
        <w:ind w:left="720" w:hanging="720"/>
        <w:jc w:val="left"/>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left"/>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left"/>
      </w:pPr>
      <w:r>
        <w:rPr>
          <w:rFonts w:ascii="Times New Roman" w:hAnsi="Times New Roman"/>
          <w:color w:val="000000"/>
          <w:sz w:val="24"/>
        </w:rPr>
        <w:t>Mahadevaswamy, G. H., &amp; Shyamala, G. (2022). Markowitz Model Is Right Choice to Investment. International Journal of Novel Research and Development, 7(7), 305–314.</w:t>
      </w:r>
    </w:p>
    <w:p>
      <w:pPr>
        <w:spacing w:line="480" w:lineRule="auto" w:before="0" w:after="0"/>
        <w:ind w:left="720" w:hanging="720"/>
        <w:jc w:val="left"/>
      </w:pPr>
      <w:r>
        <w:rPr>
          <w:rFonts w:ascii="Times New Roman" w:hAnsi="Times New Roman"/>
          <w:color w:val="000000"/>
          <w:sz w:val="24"/>
        </w:rPr>
        <w:t>Manogna, R. L., &amp; Kulkarni, N. (2025). Portfolio Optimization Model for Stock Price Prediction Using Machine Learning. Journal of Statistical Theory and Applications, 24, 1091–1108. https://doi.org/10.1007/s44199-025-00140-z</w:t>
      </w:r>
    </w:p>
    <w:p>
      <w:pPr>
        <w:spacing w:line="480" w:lineRule="auto" w:before="0" w:after="0"/>
        <w:ind w:left="720" w:hanging="720"/>
        <w:jc w:val="left"/>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left"/>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left"/>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left"/>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left"/>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left"/>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left"/>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left"/>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left"/>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left"/>
      </w:pPr>
      <w:r>
        <w:rPr>
          <w:rFonts w:ascii="Times New Roman" w:hAnsi="Times New Roman"/>
          <w:color w:val="000000"/>
          <w:sz w:val="24"/>
        </w:rPr>
        <w:t>Nigerian Exchange Group. (2024). Market report and listed securities directory. NGX Group. https://ngxgroup.com</w:t>
      </w:r>
    </w:p>
    <w:p>
      <w:pPr>
        <w:spacing w:line="480" w:lineRule="auto" w:before="0" w:after="0"/>
        <w:ind w:left="720" w:hanging="720"/>
        <w:jc w:val="left"/>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left"/>
      </w:pPr>
      <w:r>
        <w:rPr>
          <w:rFonts w:ascii="Times New Roman" w:hAnsi="Times New Roman"/>
          <w:color w:val="000000"/>
          <w:sz w:val="24"/>
        </w:rPr>
        <w:t>Okafor, C., &amp; Robertson, A. (2023). Maximizing returns: Portfolio optimization in the Nigerian Stock Exchange. International Journal of Advances in Applied Mathematics and Computer Science, 10(2), 14–28. https://americaserial.com/journals/ijaamcs/article/518</w:t>
      </w:r>
    </w:p>
    <w:p>
      <w:pPr>
        <w:spacing w:line="480" w:lineRule="auto" w:before="0" w:after="0"/>
        <w:ind w:left="720" w:hanging="720"/>
        <w:jc w:val="left"/>
      </w:pPr>
      <w:r>
        <w:rPr>
          <w:rFonts w:ascii="Times New Roman" w:hAnsi="Times New Roman"/>
          <w:color w:val="000000"/>
          <w:sz w:val="24"/>
        </w:rPr>
        <w:t>Rigamonti, A., &amp; Lučivjanská, K. (2024). Mean-semivariance portfolio optimization using minimum average partial. Annals of Operations Research, 334, 185–203. https://doi.org/10.1007/s10479-022-04736-x</w:t>
      </w:r>
    </w:p>
    <w:p>
      <w:pPr>
        <w:spacing w:line="480" w:lineRule="auto" w:before="0" w:after="0"/>
        <w:ind w:left="720" w:hanging="720"/>
        <w:jc w:val="left"/>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left"/>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left"/>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left"/>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left"/>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left"/>
      </w:pPr>
      <w:r>
        <w:rPr>
          <w:rFonts w:ascii="Times New Roman" w:hAnsi="Times New Roman"/>
          <w:color w:val="000000"/>
          <w:sz w:val="24"/>
        </w:rPr>
        <w:t>San, J. (2025). Stock Forecasting and Portfolio Optimization Based on ARIMA-GARCH, Random Forest and Monte Carlo Models. Advances in Economics, Business and Management Research, 333, 582–591. https://doi.org/10.2991/978-94-6463-652-9_61</w:t>
      </w:r>
    </w:p>
    <w:p>
      <w:pPr>
        <w:spacing w:line="480" w:lineRule="auto" w:before="0" w:after="0"/>
        <w:ind w:left="720" w:hanging="720"/>
        <w:jc w:val="left"/>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left"/>
      </w:pPr>
      <w:r>
        <w:rPr>
          <w:rFonts w:ascii="Times New Roman" w:hAnsi="Times New Roman"/>
          <w:color w:val="000000"/>
          <w:sz w:val="24"/>
        </w:rPr>
        <w:t>Shapiro, S. S., &amp; Wilk, M. B. (1965). An analysis of variance test for normality (complete samples). Biometrika, 52(3/4), 591–611. https://doi.org/10.2307/2333709</w:t>
      </w:r>
    </w:p>
    <w:p>
      <w:pPr>
        <w:spacing w:line="480" w:lineRule="auto" w:before="0" w:after="0"/>
        <w:ind w:left="720" w:hanging="720"/>
        <w:jc w:val="left"/>
      </w:pPr>
      <w:r>
        <w:rPr>
          <w:rFonts w:ascii="Times New Roman" w:hAnsi="Times New Roman"/>
          <w:color w:val="000000"/>
          <w:sz w:val="24"/>
        </w:rPr>
        <w:t>Sharpe, W. F. (1966). Mutual fund performance. The Journal of Business, 39(1), 119–138. https://doi.org/10.1086/294846</w:t>
      </w:r>
    </w:p>
    <w:p>
      <w:pPr>
        <w:spacing w:line="480" w:lineRule="auto" w:before="0" w:after="0"/>
        <w:ind w:left="720" w:hanging="720"/>
        <w:jc w:val="left"/>
      </w:pPr>
      <w:r>
        <w:rPr>
          <w:rFonts w:ascii="Times New Roman" w:hAnsi="Times New Roman"/>
          <w:color w:val="000000"/>
          <w:sz w:val="24"/>
        </w:rPr>
        <w:t>Ślusarczyk, D., &amp; Ślepaczuk, R. (2025). Optimal Markowitz portfolio using returns forecasted with time series and machine learning models. Journal of Big Data, 12, Article 127. https://doi.org/10.1186/s40537-025-01164-z</w:t>
      </w:r>
    </w:p>
    <w:p>
      <w:pPr>
        <w:spacing w:line="480" w:lineRule="auto" w:before="0" w:after="0"/>
        <w:ind w:left="720" w:hanging="720"/>
        <w:jc w:val="left"/>
      </w:pPr>
      <w:r>
        <w:rPr>
          <w:rFonts w:ascii="Times New Roman" w:hAnsi="Times New Roman"/>
          <w:color w:val="000000"/>
          <w:sz w:val="24"/>
        </w:rPr>
        <w:t>Sortino, F. A., &amp; Price, L. N. (1994). Performance measurement in a downside risk framework. The Journal of Investing, 3(3), 59–64. https://doi.org/10.3905/joi.3.3.59</w:t>
      </w:r>
    </w:p>
    <w:p>
      <w:pPr>
        <w:spacing w:line="480" w:lineRule="auto" w:before="0" w:after="0"/>
        <w:ind w:left="720" w:hanging="720"/>
        <w:jc w:val="left"/>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left"/>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left"/>
      </w:pPr>
      <w:r>
        <w:rPr>
          <w:rFonts w:ascii="Times New Roman" w:hAnsi="Times New Roman"/>
          <w:color w:val="000000"/>
          <w:sz w:val="24"/>
        </w:rPr>
        <w:t>Uzoaga, G. A., Adenomon, M. O., Nweze, N. O., &amp; Maijama, B. (2025a).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left"/>
      </w:pPr>
      <w:r>
        <w:rPr>
          <w:rFonts w:ascii="Times New Roman" w:hAnsi="Times New Roman"/>
          <w:color w:val="000000"/>
          <w:sz w:val="24"/>
        </w:rPr>
        <w:t>Uzoaga, G. A., Adenomon, M. O., Nweze, N. O., &amp; Maijamaa, B. (2025b). Predictive machine learning methods for stock returns among emerging economies in Africa. Science World Journal, 20(3), 941–947. https://dx.doi.org/10.4314/swj.v20i3.3</w:t>
      </w:r>
    </w:p>
    <w:p>
      <w:pPr>
        <w:spacing w:line="480" w:lineRule="auto" w:before="0" w:after="0"/>
        <w:ind w:left="720" w:hanging="720"/>
        <w:jc w:val="left"/>
      </w:pPr>
      <w:r>
        <w:rPr>
          <w:rFonts w:ascii="Times New Roman" w:hAnsi="Times New Roman"/>
          <w:color w:val="000000"/>
          <w:sz w:val="24"/>
        </w:rPr>
        <w:t>Wahid, A. J., Riaman, &amp; Sukono. (2025). A Systematic Literature Review on Mean-CVaR Based Financial Asset Portfolio Weight Allocation Using K-Means Clustering. CAUCHY – Jurnal Matematika Murni dan Aplikasi, 10(2), 1069–1091. https://doi.org/10.18860/cauchy.v10i2.36590</w:t>
      </w:r>
    </w:p>
    <w:p>
      <w:pPr>
        <w:spacing w:line="480" w:lineRule="auto" w:before="0" w:after="0"/>
        <w:ind w:left="720" w:hanging="720"/>
        <w:jc w:val="left"/>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left"/>
      </w:pPr>
      <w:r>
        <w:rPr>
          <w:rFonts w:ascii="Times New Roman" w:hAnsi="Times New Roman"/>
          <w:color w:val="000000"/>
          <w:sz w:val="24"/>
        </w:rPr>
        <w:t>Wilcoxon, F. (1945). Individual comparisons by ranking methods. Biometrics Bulletin, 1(6), 80–83. https://doi.org/10.2307/3001968</w:t>
      </w:r>
    </w:p>
    <w:p>
      <w:pPr>
        <w:spacing w:line="480" w:lineRule="auto" w:before="0" w:after="0"/>
        <w:ind w:left="720" w:hanging="720"/>
        <w:jc w:val="left"/>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left"/>
      </w:pPr>
      <w:r>
        <w:rPr>
          <w:rFonts w:ascii="Times New Roman" w:hAnsi="Times New Roman"/>
          <w:color w:val="000000"/>
          <w:sz w:val="24"/>
        </w:rPr>
        <w:t>Yu, S. (2024). Advancing stock market return forecasting with LSTM models and financial indicators. In Proceedings of the International Conference on Economic Management and Green Development, Advances in Economics, Management and Political Sciences (Vol. 122, pp. 137–144). https://doi.org/10.54254/2754-1169/2024.17734</w:t>
      </w:r>
    </w:p>
    <w:p>
      <w:pPr>
        <w:spacing w:line="480" w:lineRule="auto" w:before="0" w:after="0"/>
        <w:ind w:left="720" w:hanging="720"/>
        <w:jc w:val="left"/>
      </w:pPr>
      <w:r>
        <w:rPr>
          <w:rFonts w:ascii="Times New Roman" w:hAnsi="Times New Roman"/>
          <w:color w:val="000000"/>
          <w:sz w:val="24"/>
        </w:rPr>
        <w:t>Zaimovic, A., Arnaut-Berilo, A., &amp; Bešlija, R. (2024). International portfolio diversification benefits: An empirical investigation of the 28 European stock markets. The South East European Journal of Economics and Business, 19(1), 96–112. https://doi.org/10.2478/jeb-2024-0007</w:t>
      </w:r>
    </w:p>
    <w:p>
      <w:pPr>
        <w:spacing w:line="480" w:lineRule="auto" w:before="0" w:after="0"/>
        <w:ind w:left="720" w:hanging="720"/>
        <w:jc w:val="left"/>
      </w:pPr>
      <w:r>
        <w:rPr>
          <w:rFonts w:ascii="Times New Roman" w:hAnsi="Times New Roman"/>
          <w:color w:val="000000"/>
          <w:sz w:val="24"/>
        </w:rPr>
        <w:t>Zapata Quimbayo, C., &amp; León, B. (2025). Downside risk measures and ESG factors in optimal portfolio construction: Evidence from European equity markets. Economics - Innovative and Economics Research Journal, 13(4), 5–17. https://doi.org/10.2478/eoik-2025-0082</w:t>
      </w:r>
    </w:p>
    <w:p>
      <w:pPr>
        <w:spacing w:line="480" w:lineRule="auto" w:before="0" w:after="0"/>
        <w:ind w:left="720" w:hanging="720"/>
        <w:jc w:val="left"/>
      </w:pPr>
      <w:r>
        <w:rPr>
          <w:rFonts w:ascii="Times New Roman" w:hAnsi="Times New Roman"/>
          <w:color w:val="000000"/>
          <w:sz w:val="24"/>
        </w:rPr>
        <w:t>Zhang, G. (2025). Using machine learning for stock return prediction. Advances in Economics, Management and Political Sciences, 185, 119–126. https://doi.org/10.54254/2754-1169/2025.LH23915</w:t>
      </w:r>
    </w:p>
    <w:p>
      <w:pPr>
        <w:spacing w:line="480" w:lineRule="auto" w:before="0" w:after="0"/>
        <w:ind w:left="720" w:hanging="720"/>
        <w:jc w:val="left"/>
      </w:pPr>
      <w:r>
        <w:rPr>
          <w:rFonts w:ascii="Times New Roman" w:hAnsi="Times New Roman"/>
          <w:color w:val="000000"/>
          <w:sz w:val="24"/>
        </w:rPr>
        <w:t>Zhang, Y. (2024). Integrating forecasting and mean-variance portfolio optimization: A machine learning approach. Advances in Economics, Management and Political Sciences, 90, 157–168. https://doi.org/10.54254/2754-1169/90/20242002</w:t>
      </w:r>
    </w:p>
    <w:p>
      <w:pPr>
        <w:spacing w:line="480" w:lineRule="auto" w:before="0" w:after="0"/>
        <w:ind w:left="720" w:hanging="720"/>
        <w:jc w:val="left"/>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sz w:val="24"/>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67</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129</cp:revision>
  <dcterms:created xsi:type="dcterms:W3CDTF">2026-04-26T17:15:00Z</dcterms:created>
  <dcterms:modified xsi:type="dcterms:W3CDTF">2026-09-26T10:47:00Z</dcterms:modified>
</cp:coreProperties>
</file>