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2B86" w14:textId="77777777" w:rsidR="00F22E64" w:rsidRPr="00F22E64" w:rsidRDefault="00F22E64" w:rsidP="00F22E64">
      <w:pPr>
        <w:rPr>
          <w:rFonts w:ascii="Calibri" w:hAnsi="Calibri" w:cs="Calibri"/>
          <w:b/>
          <w:bCs/>
          <w:sz w:val="22"/>
          <w:szCs w:val="22"/>
        </w:rPr>
      </w:pPr>
      <w:r w:rsidRPr="00F22E64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F22E64">
        <w:rPr>
          <w:rFonts w:ascii="Calibri" w:hAnsi="Calibri" w:cs="Calibri"/>
          <w:b/>
          <w:bCs/>
          <w:sz w:val="22"/>
          <w:szCs w:val="22"/>
        </w:rPr>
        <w:t xml:space="preserve"> Key Weakness Dimensions to Watch in AI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2790"/>
        <w:gridCol w:w="2308"/>
        <w:gridCol w:w="2290"/>
      </w:tblGrid>
      <w:tr w:rsidR="00F22E64" w:rsidRPr="00F22E64" w14:paraId="0C0A4757" w14:textId="77777777" w:rsidTr="00F22E64">
        <w:tc>
          <w:tcPr>
            <w:tcW w:w="0" w:type="auto"/>
            <w:hideMark/>
          </w:tcPr>
          <w:p w14:paraId="3BE294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7E6D0CB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Typical AI Weakness</w:t>
            </w:r>
          </w:p>
        </w:tc>
        <w:tc>
          <w:tcPr>
            <w:tcW w:w="0" w:type="auto"/>
            <w:hideMark/>
          </w:tcPr>
          <w:p w14:paraId="388D26EA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Human Advantage</w:t>
            </w:r>
          </w:p>
        </w:tc>
        <w:tc>
          <w:tcPr>
            <w:tcW w:w="0" w:type="auto"/>
            <w:hideMark/>
          </w:tcPr>
          <w:p w14:paraId="1A1AAA77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How to Detect / Measure It</w:t>
            </w:r>
          </w:p>
        </w:tc>
      </w:tr>
      <w:tr w:rsidR="00F22E64" w:rsidRPr="00F22E64" w14:paraId="158413FF" w14:textId="77777777" w:rsidTr="00F22E64">
        <w:tc>
          <w:tcPr>
            <w:tcW w:w="0" w:type="auto"/>
            <w:hideMark/>
          </w:tcPr>
          <w:p w14:paraId="015F7940" w14:textId="0A990234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Contextual Understanding</w:t>
            </w:r>
          </w:p>
        </w:tc>
        <w:tc>
          <w:tcPr>
            <w:tcW w:w="0" w:type="auto"/>
            <w:hideMark/>
          </w:tcPr>
          <w:p w14:paraId="46BB38E8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 xml:space="preserve">AI often misinterprets </w:t>
            </w:r>
            <w:r w:rsidRPr="00F22E64">
              <w:rPr>
                <w:rFonts w:ascii="Calibri" w:hAnsi="Calibri" w:cs="Calibri"/>
                <w:i/>
                <w:iCs/>
                <w:sz w:val="22"/>
                <w:szCs w:val="22"/>
              </w:rPr>
              <w:t>implicit business logic</w:t>
            </w:r>
            <w:r w:rsidRPr="00F22E64">
              <w:rPr>
                <w:rFonts w:ascii="Calibri" w:hAnsi="Calibri" w:cs="Calibri"/>
                <w:sz w:val="22"/>
                <w:szCs w:val="22"/>
              </w:rPr>
              <w:t xml:space="preserve"> or domain nuances (e.g., approval hierarchies, regional rules).</w:t>
            </w:r>
          </w:p>
        </w:tc>
        <w:tc>
          <w:tcPr>
            <w:tcW w:w="0" w:type="auto"/>
            <w:hideMark/>
          </w:tcPr>
          <w:p w14:paraId="17830004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infer intent beyond the text.</w:t>
            </w:r>
          </w:p>
        </w:tc>
        <w:tc>
          <w:tcPr>
            <w:tcW w:w="0" w:type="auto"/>
            <w:hideMark/>
          </w:tcPr>
          <w:p w14:paraId="17A44F54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Look for incorrect preconditions or missing stakeholder actions.</w:t>
            </w:r>
          </w:p>
        </w:tc>
      </w:tr>
      <w:tr w:rsidR="00F22E64" w:rsidRPr="00F22E64" w14:paraId="7B9DF06D" w14:textId="77777777" w:rsidTr="00F22E64">
        <w:tc>
          <w:tcPr>
            <w:tcW w:w="0" w:type="auto"/>
            <w:hideMark/>
          </w:tcPr>
          <w:p w14:paraId="06FFE63F" w14:textId="7797836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Logical Flow &amp; Dependency</w:t>
            </w:r>
          </w:p>
        </w:tc>
        <w:tc>
          <w:tcPr>
            <w:tcW w:w="0" w:type="auto"/>
            <w:hideMark/>
          </w:tcPr>
          <w:p w14:paraId="2230B2B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Steps may be logically disordered or missing dependencies between screens, APIs, or data states.</w:t>
            </w:r>
          </w:p>
        </w:tc>
        <w:tc>
          <w:tcPr>
            <w:tcW w:w="0" w:type="auto"/>
            <w:hideMark/>
          </w:tcPr>
          <w:p w14:paraId="4145CAD0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naturally order by workflow sequence.</w:t>
            </w:r>
          </w:p>
        </w:tc>
        <w:tc>
          <w:tcPr>
            <w:tcW w:w="0" w:type="auto"/>
            <w:hideMark/>
          </w:tcPr>
          <w:p w14:paraId="2D82525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step-to-step continuity and whether test data flows are valid.</w:t>
            </w:r>
          </w:p>
        </w:tc>
      </w:tr>
      <w:tr w:rsidR="00F22E64" w:rsidRPr="00F22E64" w14:paraId="32954FCB" w14:textId="77777777" w:rsidTr="00F22E64">
        <w:tc>
          <w:tcPr>
            <w:tcW w:w="0" w:type="auto"/>
            <w:hideMark/>
          </w:tcPr>
          <w:p w14:paraId="751D8C77" w14:textId="4344BB2A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Edge-Case Imagination</w:t>
            </w:r>
          </w:p>
        </w:tc>
        <w:tc>
          <w:tcPr>
            <w:tcW w:w="0" w:type="auto"/>
            <w:hideMark/>
          </w:tcPr>
          <w:p w14:paraId="09A2AF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focuses on average user paths, missing corner or stress conditions.</w:t>
            </w:r>
          </w:p>
        </w:tc>
        <w:tc>
          <w:tcPr>
            <w:tcW w:w="0" w:type="auto"/>
            <w:hideMark/>
          </w:tcPr>
          <w:p w14:paraId="4138C42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design boundary, negative, and destructive scenarios.</w:t>
            </w:r>
          </w:p>
        </w:tc>
        <w:tc>
          <w:tcPr>
            <w:tcW w:w="0" w:type="auto"/>
            <w:hideMark/>
          </w:tcPr>
          <w:p w14:paraId="39CAC286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Count missing boundary or invalid-input cases vs. human set.</w:t>
            </w:r>
          </w:p>
        </w:tc>
      </w:tr>
      <w:tr w:rsidR="00F22E64" w:rsidRPr="00F22E64" w14:paraId="66032502" w14:textId="77777777" w:rsidTr="00F22E64">
        <w:tc>
          <w:tcPr>
            <w:tcW w:w="0" w:type="auto"/>
            <w:hideMark/>
          </w:tcPr>
          <w:p w14:paraId="2522F2AB" w14:textId="5D3B0CBC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Environmental Realism</w:t>
            </w:r>
          </w:p>
        </w:tc>
        <w:tc>
          <w:tcPr>
            <w:tcW w:w="0" w:type="auto"/>
            <w:hideMark/>
          </w:tcPr>
          <w:p w14:paraId="48C44E61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ignores environment variables, external systems, or asynchronous events.</w:t>
            </w:r>
          </w:p>
        </w:tc>
        <w:tc>
          <w:tcPr>
            <w:tcW w:w="0" w:type="auto"/>
            <w:hideMark/>
          </w:tcPr>
          <w:p w14:paraId="2DFFCB4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think about real integrations (e.g., network latency, DB commit).</w:t>
            </w:r>
          </w:p>
        </w:tc>
        <w:tc>
          <w:tcPr>
            <w:tcW w:w="0" w:type="auto"/>
            <w:hideMark/>
          </w:tcPr>
          <w:p w14:paraId="4926868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for absence of environment setup or external interface steps.</w:t>
            </w:r>
          </w:p>
        </w:tc>
      </w:tr>
      <w:tr w:rsidR="00F22E64" w:rsidRPr="00F22E64" w14:paraId="07E8AC5D" w14:textId="77777777" w:rsidTr="00F22E64">
        <w:tc>
          <w:tcPr>
            <w:tcW w:w="0" w:type="auto"/>
            <w:hideMark/>
          </w:tcPr>
          <w:p w14:paraId="21AF9A44" w14:textId="50F894A9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Non-Functional Coverage</w:t>
            </w:r>
          </w:p>
        </w:tc>
        <w:tc>
          <w:tcPr>
            <w:tcW w:w="0" w:type="auto"/>
            <w:hideMark/>
          </w:tcPr>
          <w:p w14:paraId="68BDE2B1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Limited treatment of security, performance, and usability tests.</w:t>
            </w:r>
          </w:p>
        </w:tc>
        <w:tc>
          <w:tcPr>
            <w:tcW w:w="0" w:type="auto"/>
            <w:hideMark/>
          </w:tcPr>
          <w:p w14:paraId="57AE7EC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systematically include NFRs.</w:t>
            </w:r>
          </w:p>
        </w:tc>
        <w:tc>
          <w:tcPr>
            <w:tcW w:w="0" w:type="auto"/>
            <w:hideMark/>
          </w:tcPr>
          <w:p w14:paraId="5C42C0BB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Measure how many NFR-related cases exist (SQLi, auth timeouts, etc.).</w:t>
            </w:r>
          </w:p>
        </w:tc>
      </w:tr>
      <w:tr w:rsidR="00F22E64" w:rsidRPr="00F22E64" w14:paraId="66BD2F97" w14:textId="77777777" w:rsidTr="00F22E64">
        <w:tc>
          <w:tcPr>
            <w:tcW w:w="0" w:type="auto"/>
            <w:hideMark/>
          </w:tcPr>
          <w:p w14:paraId="04292AE1" w14:textId="26BC205A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Data Consistency &amp; Reusability</w:t>
            </w:r>
          </w:p>
        </w:tc>
        <w:tc>
          <w:tcPr>
            <w:tcW w:w="0" w:type="auto"/>
            <w:hideMark/>
          </w:tcPr>
          <w:p w14:paraId="3A5EAAF8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invents inconsistent or unrealistic data values.</w:t>
            </w:r>
          </w:p>
        </w:tc>
        <w:tc>
          <w:tcPr>
            <w:tcW w:w="0" w:type="auto"/>
            <w:hideMark/>
          </w:tcPr>
          <w:p w14:paraId="5CD1AC88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maintain coherent test data libraries.</w:t>
            </w:r>
          </w:p>
        </w:tc>
        <w:tc>
          <w:tcPr>
            <w:tcW w:w="0" w:type="auto"/>
            <w:hideMark/>
          </w:tcPr>
          <w:p w14:paraId="72D4BF56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Verify consistency of test IDs, variables, and field formats.</w:t>
            </w:r>
          </w:p>
        </w:tc>
      </w:tr>
      <w:tr w:rsidR="00F22E64" w:rsidRPr="00F22E64" w14:paraId="1CAC551E" w14:textId="77777777" w:rsidTr="00F22E64">
        <w:tc>
          <w:tcPr>
            <w:tcW w:w="0" w:type="auto"/>
            <w:hideMark/>
          </w:tcPr>
          <w:p w14:paraId="02D79CAF" w14:textId="05426BB1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Ambiguity &amp; Verbosity</w:t>
            </w:r>
          </w:p>
        </w:tc>
        <w:tc>
          <w:tcPr>
            <w:tcW w:w="0" w:type="auto"/>
            <w:hideMark/>
          </w:tcPr>
          <w:p w14:paraId="24A29D7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sometimes writes overly generic or redundant steps (“Click the button”) without specifics.</w:t>
            </w:r>
          </w:p>
        </w:tc>
        <w:tc>
          <w:tcPr>
            <w:tcW w:w="0" w:type="auto"/>
            <w:hideMark/>
          </w:tcPr>
          <w:p w14:paraId="0D7FF1C5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adapt wording to system context.</w:t>
            </w:r>
          </w:p>
        </w:tc>
        <w:tc>
          <w:tcPr>
            <w:tcW w:w="0" w:type="auto"/>
            <w:hideMark/>
          </w:tcPr>
          <w:p w14:paraId="006ACFA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Count vague verbs or repeated phrases; assess clarity on 1–5 scale.</w:t>
            </w:r>
          </w:p>
        </w:tc>
      </w:tr>
      <w:tr w:rsidR="00F22E64" w:rsidRPr="00F22E64" w14:paraId="63827A37" w14:textId="77777777" w:rsidTr="00F22E64">
        <w:tc>
          <w:tcPr>
            <w:tcW w:w="0" w:type="auto"/>
            <w:hideMark/>
          </w:tcPr>
          <w:p w14:paraId="1A4A1C85" w14:textId="4C3E825C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Test Oracle Precision</w:t>
            </w:r>
          </w:p>
        </w:tc>
        <w:tc>
          <w:tcPr>
            <w:tcW w:w="0" w:type="auto"/>
            <w:hideMark/>
          </w:tcPr>
          <w:p w14:paraId="2834D746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 xml:space="preserve">AI’s </w:t>
            </w:r>
            <w:r w:rsidRPr="00F22E64">
              <w:rPr>
                <w:rFonts w:ascii="Calibri" w:hAnsi="Calibri" w:cs="Calibri"/>
                <w:i/>
                <w:iCs/>
                <w:sz w:val="22"/>
                <w:szCs w:val="22"/>
              </w:rPr>
              <w:t>Expected Results</w:t>
            </w:r>
            <w:r w:rsidRPr="00F22E64">
              <w:rPr>
                <w:rFonts w:ascii="Calibri" w:hAnsi="Calibri" w:cs="Calibri"/>
                <w:sz w:val="22"/>
                <w:szCs w:val="22"/>
              </w:rPr>
              <w:t xml:space="preserve"> may describe vague success instead of measurable outcomes.</w:t>
            </w:r>
          </w:p>
        </w:tc>
        <w:tc>
          <w:tcPr>
            <w:tcW w:w="0" w:type="auto"/>
            <w:hideMark/>
          </w:tcPr>
          <w:p w14:paraId="0E335610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specify observable, verifiable results.</w:t>
            </w:r>
          </w:p>
        </w:tc>
        <w:tc>
          <w:tcPr>
            <w:tcW w:w="0" w:type="auto"/>
            <w:hideMark/>
          </w:tcPr>
          <w:p w14:paraId="6279536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for missing measurable criteria (codes, UI messages, DB updates).</w:t>
            </w:r>
          </w:p>
        </w:tc>
      </w:tr>
      <w:tr w:rsidR="00F22E64" w:rsidRPr="00F22E64" w14:paraId="72AE7233" w14:textId="77777777" w:rsidTr="00F22E64">
        <w:tc>
          <w:tcPr>
            <w:tcW w:w="0" w:type="auto"/>
            <w:hideMark/>
          </w:tcPr>
          <w:p w14:paraId="1F976AA5" w14:textId="676637A2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Prioritization &amp; Risk Focus</w:t>
            </w:r>
          </w:p>
        </w:tc>
        <w:tc>
          <w:tcPr>
            <w:tcW w:w="0" w:type="auto"/>
            <w:hideMark/>
          </w:tcPr>
          <w:p w14:paraId="0EE30D8B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gives equal weight to trivial and critical scenarios.</w:t>
            </w:r>
          </w:p>
        </w:tc>
        <w:tc>
          <w:tcPr>
            <w:tcW w:w="0" w:type="auto"/>
            <w:hideMark/>
          </w:tcPr>
          <w:p w14:paraId="378B398E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prioritize by risk &amp; business impact.</w:t>
            </w:r>
          </w:p>
        </w:tc>
        <w:tc>
          <w:tcPr>
            <w:tcW w:w="0" w:type="auto"/>
            <w:hideMark/>
          </w:tcPr>
          <w:p w14:paraId="732BCEEE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Look for absence of severity or priority tags.</w:t>
            </w:r>
          </w:p>
        </w:tc>
      </w:tr>
      <w:tr w:rsidR="00F22E64" w:rsidRPr="00F22E64" w14:paraId="48677863" w14:textId="77777777" w:rsidTr="00F22E64">
        <w:tc>
          <w:tcPr>
            <w:tcW w:w="0" w:type="auto"/>
            <w:hideMark/>
          </w:tcPr>
          <w:p w14:paraId="2960048B" w14:textId="2BE0C8B6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Adaptability &amp; Evolution</w:t>
            </w:r>
          </w:p>
        </w:tc>
        <w:tc>
          <w:tcPr>
            <w:tcW w:w="0" w:type="auto"/>
            <w:hideMark/>
          </w:tcPr>
          <w:p w14:paraId="639AFF44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struggles with evolving SRS versions or requirement deltas.</w:t>
            </w:r>
          </w:p>
        </w:tc>
        <w:tc>
          <w:tcPr>
            <w:tcW w:w="0" w:type="auto"/>
            <w:hideMark/>
          </w:tcPr>
          <w:p w14:paraId="4C3FCB70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update existing cases with context awareness.</w:t>
            </w:r>
          </w:p>
        </w:tc>
        <w:tc>
          <w:tcPr>
            <w:tcW w:w="0" w:type="auto"/>
            <w:hideMark/>
          </w:tcPr>
          <w:p w14:paraId="466C6B91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Compare consistency of test cases across SRS versions.</w:t>
            </w:r>
          </w:p>
        </w:tc>
      </w:tr>
      <w:tr w:rsidR="00F22E64" w:rsidRPr="00F22E64" w14:paraId="47A5D320" w14:textId="77777777" w:rsidTr="00F22E64">
        <w:tc>
          <w:tcPr>
            <w:tcW w:w="0" w:type="auto"/>
            <w:hideMark/>
          </w:tcPr>
          <w:p w14:paraId="44823838" w14:textId="7B74FD8B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Bug-Detection Potential</w:t>
            </w:r>
          </w:p>
        </w:tc>
        <w:tc>
          <w:tcPr>
            <w:tcW w:w="0" w:type="auto"/>
            <w:hideMark/>
          </w:tcPr>
          <w:p w14:paraId="52B39668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tests are correct but shallow — rarely find hidden defects.</w:t>
            </w:r>
          </w:p>
        </w:tc>
        <w:tc>
          <w:tcPr>
            <w:tcW w:w="0" w:type="auto"/>
            <w:hideMark/>
          </w:tcPr>
          <w:p w14:paraId="4E9DFA5C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design stress paths to reveal real bugs.</w:t>
            </w:r>
          </w:p>
        </w:tc>
        <w:tc>
          <w:tcPr>
            <w:tcW w:w="0" w:type="auto"/>
            <w:hideMark/>
          </w:tcPr>
          <w:p w14:paraId="1D9A6873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During execution, record actual defect yield per test suite.</w:t>
            </w:r>
          </w:p>
        </w:tc>
      </w:tr>
      <w:tr w:rsidR="00F22E64" w:rsidRPr="00F22E64" w14:paraId="28219161" w14:textId="77777777" w:rsidTr="00F22E64">
        <w:tc>
          <w:tcPr>
            <w:tcW w:w="0" w:type="auto"/>
            <w:hideMark/>
          </w:tcPr>
          <w:p w14:paraId="3FA15A2D" w14:textId="3B9721EF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b/>
                <w:bCs/>
                <w:sz w:val="22"/>
                <w:szCs w:val="22"/>
              </w:rPr>
              <w:t>Traceability &amp; Documentation Quality</w:t>
            </w:r>
          </w:p>
        </w:tc>
        <w:tc>
          <w:tcPr>
            <w:tcW w:w="0" w:type="auto"/>
            <w:hideMark/>
          </w:tcPr>
          <w:p w14:paraId="2C0D4B3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AI may skip or mismatch Requirement IDs (RTM links).</w:t>
            </w:r>
          </w:p>
        </w:tc>
        <w:tc>
          <w:tcPr>
            <w:tcW w:w="0" w:type="auto"/>
            <w:hideMark/>
          </w:tcPr>
          <w:p w14:paraId="150C234D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Humans maintain clear RTM mapping.</w:t>
            </w:r>
          </w:p>
        </w:tc>
        <w:tc>
          <w:tcPr>
            <w:tcW w:w="0" w:type="auto"/>
            <w:hideMark/>
          </w:tcPr>
          <w:p w14:paraId="0DB30709" w14:textId="77777777" w:rsidR="00F22E64" w:rsidRPr="00F22E64" w:rsidRDefault="00F22E64" w:rsidP="00F22E6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22E64">
              <w:rPr>
                <w:rFonts w:ascii="Calibri" w:hAnsi="Calibri" w:cs="Calibri"/>
                <w:sz w:val="22"/>
                <w:szCs w:val="22"/>
              </w:rPr>
              <w:t>Check RTM completeness (% of requirements traced).</w:t>
            </w:r>
          </w:p>
        </w:tc>
      </w:tr>
    </w:tbl>
    <w:p w14:paraId="4806800C" w14:textId="77777777" w:rsidR="003411AC" w:rsidRPr="00F22E64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F2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53"/>
    <w:rsid w:val="003411AC"/>
    <w:rsid w:val="006A7853"/>
    <w:rsid w:val="0088207E"/>
    <w:rsid w:val="00B05159"/>
    <w:rsid w:val="00F2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3C95"/>
  <w15:chartTrackingRefBased/>
  <w15:docId w15:val="{87729C1D-2349-4A0E-97A2-9F08848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2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2025-10-23T23:07:00Z</dcterms:created>
  <dcterms:modified xsi:type="dcterms:W3CDTF">2025-10-23T23:09:00Z</dcterms:modified>
</cp:coreProperties>
</file>