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2B86" w14:textId="77777777" w:rsidR="00F22E64" w:rsidRPr="00F22E64" w:rsidRDefault="00F22E64" w:rsidP="00F22E64">
      <w:pPr>
        <w:rPr>
          <w:rFonts w:ascii="Calibri" w:hAnsi="Calibri" w:cs="Calibri"/>
          <w:b/>
          <w:bCs/>
          <w:sz w:val="22"/>
          <w:szCs w:val="22"/>
        </w:rPr>
      </w:pPr>
      <w:r w:rsidRPr="00F22E64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F22E64">
        <w:rPr>
          <w:rFonts w:ascii="Calibri" w:hAnsi="Calibri" w:cs="Calibri"/>
          <w:b/>
          <w:bCs/>
          <w:sz w:val="22"/>
          <w:szCs w:val="22"/>
        </w:rPr>
        <w:t xml:space="preserve"> Key Weakness Dimensions to Watch in AI Responses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2859"/>
        <w:gridCol w:w="2352"/>
        <w:gridCol w:w="2327"/>
      </w:tblGrid>
      <w:tr w:rsidR="00F22E64" w:rsidRPr="00F22E64" w14:paraId="0C0A4757" w14:textId="77777777" w:rsidTr="00F22E64">
        <w:tc>
          <w:tcPr>
            <w:tcW w:w="0" w:type="auto"/>
            <w:hideMark/>
          </w:tcPr>
          <w:p w14:paraId="3BE294A3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hideMark/>
          </w:tcPr>
          <w:p w14:paraId="7E6D0CB3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Typical AI Weakness</w:t>
            </w:r>
          </w:p>
        </w:tc>
        <w:tc>
          <w:tcPr>
            <w:tcW w:w="0" w:type="auto"/>
            <w:hideMark/>
          </w:tcPr>
          <w:p w14:paraId="388D26EA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Human Advantage</w:t>
            </w:r>
          </w:p>
        </w:tc>
        <w:tc>
          <w:tcPr>
            <w:tcW w:w="0" w:type="auto"/>
            <w:hideMark/>
          </w:tcPr>
          <w:p w14:paraId="1A1AAA77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How to Detect / Measure It</w:t>
            </w:r>
          </w:p>
        </w:tc>
      </w:tr>
      <w:tr w:rsidR="00F22E64" w:rsidRPr="00F22E64" w14:paraId="158413FF" w14:textId="77777777" w:rsidTr="00F22E64">
        <w:tc>
          <w:tcPr>
            <w:tcW w:w="0" w:type="auto"/>
            <w:hideMark/>
          </w:tcPr>
          <w:p w14:paraId="015F7940" w14:textId="0A990234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Contextual Understanding</w:t>
            </w:r>
          </w:p>
        </w:tc>
        <w:tc>
          <w:tcPr>
            <w:tcW w:w="0" w:type="auto"/>
            <w:hideMark/>
          </w:tcPr>
          <w:p w14:paraId="46BB38E8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 xml:space="preserve">AI often misinterprets </w:t>
            </w:r>
            <w:r w:rsidRPr="00F22E64">
              <w:rPr>
                <w:rFonts w:ascii="Calibri" w:hAnsi="Calibri" w:cs="Calibri"/>
                <w:i/>
                <w:iCs/>
                <w:sz w:val="22"/>
                <w:szCs w:val="22"/>
              </w:rPr>
              <w:t>implicit business logic</w:t>
            </w:r>
            <w:r w:rsidRPr="00F22E64">
              <w:rPr>
                <w:rFonts w:ascii="Calibri" w:hAnsi="Calibri" w:cs="Calibri"/>
                <w:sz w:val="22"/>
                <w:szCs w:val="22"/>
              </w:rPr>
              <w:t xml:space="preserve"> or domain nuances (e.g., approval hierarchies, regional rules).</w:t>
            </w:r>
          </w:p>
        </w:tc>
        <w:tc>
          <w:tcPr>
            <w:tcW w:w="0" w:type="auto"/>
            <w:hideMark/>
          </w:tcPr>
          <w:p w14:paraId="17830004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infer intent beyond the text.</w:t>
            </w:r>
          </w:p>
        </w:tc>
        <w:tc>
          <w:tcPr>
            <w:tcW w:w="0" w:type="auto"/>
            <w:hideMark/>
          </w:tcPr>
          <w:p w14:paraId="17A44F54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Look for incorrect preconditions or missing stakeholder actions.</w:t>
            </w:r>
          </w:p>
        </w:tc>
      </w:tr>
      <w:tr w:rsidR="00F22E64" w:rsidRPr="00F22E64" w14:paraId="7B9DF06D" w14:textId="77777777" w:rsidTr="00F22E64">
        <w:tc>
          <w:tcPr>
            <w:tcW w:w="0" w:type="auto"/>
            <w:hideMark/>
          </w:tcPr>
          <w:p w14:paraId="06FFE63F" w14:textId="7797836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Logical Flow &amp; Dependency</w:t>
            </w:r>
          </w:p>
        </w:tc>
        <w:tc>
          <w:tcPr>
            <w:tcW w:w="0" w:type="auto"/>
            <w:hideMark/>
          </w:tcPr>
          <w:p w14:paraId="2230B2BD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Steps may be logically disordered or missing dependencies between screens, APIs, or data states.</w:t>
            </w:r>
          </w:p>
        </w:tc>
        <w:tc>
          <w:tcPr>
            <w:tcW w:w="0" w:type="auto"/>
            <w:hideMark/>
          </w:tcPr>
          <w:p w14:paraId="4145CAD0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naturally order by workflow sequence.</w:t>
            </w:r>
          </w:p>
        </w:tc>
        <w:tc>
          <w:tcPr>
            <w:tcW w:w="0" w:type="auto"/>
            <w:hideMark/>
          </w:tcPr>
          <w:p w14:paraId="2D825259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Check step-to-step continuity and whether test data flows are valid.</w:t>
            </w:r>
          </w:p>
        </w:tc>
      </w:tr>
      <w:tr w:rsidR="00F22E64" w:rsidRPr="00F22E64" w14:paraId="32954FCB" w14:textId="77777777" w:rsidTr="00F22E64">
        <w:tc>
          <w:tcPr>
            <w:tcW w:w="0" w:type="auto"/>
            <w:hideMark/>
          </w:tcPr>
          <w:p w14:paraId="751D8C77" w14:textId="4344BB2A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Edge-Case Imagination</w:t>
            </w:r>
          </w:p>
        </w:tc>
        <w:tc>
          <w:tcPr>
            <w:tcW w:w="0" w:type="auto"/>
            <w:hideMark/>
          </w:tcPr>
          <w:p w14:paraId="09A2AFA3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AI focuses on average user paths, missing corner or stress conditions.</w:t>
            </w:r>
          </w:p>
        </w:tc>
        <w:tc>
          <w:tcPr>
            <w:tcW w:w="0" w:type="auto"/>
            <w:hideMark/>
          </w:tcPr>
          <w:p w14:paraId="4138C42D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design boundary, negative, and destructive scenarios.</w:t>
            </w:r>
          </w:p>
        </w:tc>
        <w:tc>
          <w:tcPr>
            <w:tcW w:w="0" w:type="auto"/>
            <w:hideMark/>
          </w:tcPr>
          <w:p w14:paraId="39CAC286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Count missing boundary or invalid-input cases vs. human set.</w:t>
            </w:r>
          </w:p>
        </w:tc>
      </w:tr>
      <w:tr w:rsidR="00F22E64" w:rsidRPr="00F22E64" w14:paraId="66032502" w14:textId="77777777" w:rsidTr="00F22E64">
        <w:tc>
          <w:tcPr>
            <w:tcW w:w="0" w:type="auto"/>
            <w:hideMark/>
          </w:tcPr>
          <w:p w14:paraId="2522F2AB" w14:textId="5D3B0CBC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Environmental Realism</w:t>
            </w:r>
          </w:p>
        </w:tc>
        <w:tc>
          <w:tcPr>
            <w:tcW w:w="0" w:type="auto"/>
            <w:hideMark/>
          </w:tcPr>
          <w:p w14:paraId="48C44E61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AI ignores environment variables, external systems, or asynchronous events.</w:t>
            </w:r>
          </w:p>
        </w:tc>
        <w:tc>
          <w:tcPr>
            <w:tcW w:w="0" w:type="auto"/>
            <w:hideMark/>
          </w:tcPr>
          <w:p w14:paraId="2DFFCB49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think about real integrations (e.g., network latency, DB commit).</w:t>
            </w:r>
          </w:p>
        </w:tc>
        <w:tc>
          <w:tcPr>
            <w:tcW w:w="0" w:type="auto"/>
            <w:hideMark/>
          </w:tcPr>
          <w:p w14:paraId="49268683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Check for absence of environment setup or external interface steps.</w:t>
            </w:r>
          </w:p>
        </w:tc>
      </w:tr>
      <w:tr w:rsidR="00F22E64" w:rsidRPr="00F22E64" w14:paraId="07E8AC5D" w14:textId="77777777" w:rsidTr="00F22E64">
        <w:tc>
          <w:tcPr>
            <w:tcW w:w="0" w:type="auto"/>
            <w:hideMark/>
          </w:tcPr>
          <w:p w14:paraId="21AF9A44" w14:textId="50F894A9" w:rsidR="00F22E64" w:rsidRPr="0031124E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124E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Non-Functional Coverage</w:t>
            </w:r>
          </w:p>
        </w:tc>
        <w:tc>
          <w:tcPr>
            <w:tcW w:w="0" w:type="auto"/>
            <w:hideMark/>
          </w:tcPr>
          <w:p w14:paraId="68BDE2B1" w14:textId="77777777" w:rsidR="00F22E64" w:rsidRPr="0031124E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124E">
              <w:rPr>
                <w:rFonts w:ascii="Calibri" w:hAnsi="Calibri" w:cs="Calibri"/>
                <w:sz w:val="22"/>
                <w:szCs w:val="22"/>
                <w:highlight w:val="yellow"/>
              </w:rPr>
              <w:t>Limited treatment of security, performance, and usability tests.</w:t>
            </w:r>
          </w:p>
        </w:tc>
        <w:tc>
          <w:tcPr>
            <w:tcW w:w="0" w:type="auto"/>
            <w:hideMark/>
          </w:tcPr>
          <w:p w14:paraId="57AE7EC9" w14:textId="77777777" w:rsidR="00F22E64" w:rsidRPr="0031124E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124E">
              <w:rPr>
                <w:rFonts w:ascii="Calibri" w:hAnsi="Calibri" w:cs="Calibri"/>
                <w:sz w:val="22"/>
                <w:szCs w:val="22"/>
                <w:highlight w:val="yellow"/>
              </w:rPr>
              <w:t>Humans systematically include NFRs.</w:t>
            </w:r>
          </w:p>
        </w:tc>
        <w:tc>
          <w:tcPr>
            <w:tcW w:w="0" w:type="auto"/>
            <w:hideMark/>
          </w:tcPr>
          <w:p w14:paraId="5C42C0BB" w14:textId="77777777" w:rsidR="00F22E64" w:rsidRPr="0031124E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124E">
              <w:rPr>
                <w:rFonts w:ascii="Calibri" w:hAnsi="Calibri" w:cs="Calibri"/>
                <w:sz w:val="22"/>
                <w:szCs w:val="22"/>
                <w:highlight w:val="yellow"/>
              </w:rPr>
              <w:t>Measure how many NFR-related cases exist (SQLi, auth timeouts, etc.).</w:t>
            </w:r>
          </w:p>
        </w:tc>
      </w:tr>
      <w:tr w:rsidR="00F22E64" w:rsidRPr="00F22E64" w14:paraId="66BD2F97" w14:textId="77777777" w:rsidTr="00F22E64">
        <w:tc>
          <w:tcPr>
            <w:tcW w:w="0" w:type="auto"/>
            <w:hideMark/>
          </w:tcPr>
          <w:p w14:paraId="04292AE1" w14:textId="26BC205A" w:rsidR="00F22E64" w:rsidRPr="0031124E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124E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Data Consistency &amp; Reusability</w:t>
            </w:r>
          </w:p>
        </w:tc>
        <w:tc>
          <w:tcPr>
            <w:tcW w:w="0" w:type="auto"/>
            <w:hideMark/>
          </w:tcPr>
          <w:p w14:paraId="3A5EAAF8" w14:textId="77777777" w:rsidR="00F22E64" w:rsidRPr="0031124E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124E">
              <w:rPr>
                <w:rFonts w:ascii="Calibri" w:hAnsi="Calibri" w:cs="Calibri"/>
                <w:sz w:val="22"/>
                <w:szCs w:val="22"/>
                <w:highlight w:val="yellow"/>
              </w:rPr>
              <w:t>AI invents inconsistent or unrealistic data values.</w:t>
            </w:r>
          </w:p>
        </w:tc>
        <w:tc>
          <w:tcPr>
            <w:tcW w:w="0" w:type="auto"/>
            <w:hideMark/>
          </w:tcPr>
          <w:p w14:paraId="5CD1AC88" w14:textId="77777777" w:rsidR="00F22E64" w:rsidRPr="0031124E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124E">
              <w:rPr>
                <w:rFonts w:ascii="Calibri" w:hAnsi="Calibri" w:cs="Calibri"/>
                <w:sz w:val="22"/>
                <w:szCs w:val="22"/>
                <w:highlight w:val="yellow"/>
              </w:rPr>
              <w:t>Humans maintain coherent test data libraries.</w:t>
            </w:r>
          </w:p>
        </w:tc>
        <w:tc>
          <w:tcPr>
            <w:tcW w:w="0" w:type="auto"/>
            <w:hideMark/>
          </w:tcPr>
          <w:p w14:paraId="72D4BF56" w14:textId="77777777" w:rsidR="00F22E64" w:rsidRPr="0031124E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124E">
              <w:rPr>
                <w:rFonts w:ascii="Calibri" w:hAnsi="Calibri" w:cs="Calibri"/>
                <w:sz w:val="22"/>
                <w:szCs w:val="22"/>
                <w:highlight w:val="yellow"/>
              </w:rPr>
              <w:t>Verify consistency of test IDs, variables, and field formats.</w:t>
            </w:r>
          </w:p>
        </w:tc>
      </w:tr>
      <w:tr w:rsidR="00F22E64" w:rsidRPr="00F22E64" w14:paraId="1CAC551E" w14:textId="77777777" w:rsidTr="00F22E64">
        <w:tc>
          <w:tcPr>
            <w:tcW w:w="0" w:type="auto"/>
            <w:hideMark/>
          </w:tcPr>
          <w:p w14:paraId="02D79CAF" w14:textId="05426BB1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Ambiguity &amp; Verbosity</w:t>
            </w:r>
          </w:p>
        </w:tc>
        <w:tc>
          <w:tcPr>
            <w:tcW w:w="0" w:type="auto"/>
            <w:hideMark/>
          </w:tcPr>
          <w:p w14:paraId="24A29D79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AI sometimes writes overly generic or redundant steps (“Click the button”) without specifics.</w:t>
            </w:r>
          </w:p>
        </w:tc>
        <w:tc>
          <w:tcPr>
            <w:tcW w:w="0" w:type="auto"/>
            <w:hideMark/>
          </w:tcPr>
          <w:p w14:paraId="0D7FF1C5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adapt wording to system context.</w:t>
            </w:r>
          </w:p>
        </w:tc>
        <w:tc>
          <w:tcPr>
            <w:tcW w:w="0" w:type="auto"/>
            <w:hideMark/>
          </w:tcPr>
          <w:p w14:paraId="006ACFA3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Count vague verbs or repeated phrases; assess clarity on 1–5 scale.</w:t>
            </w:r>
          </w:p>
        </w:tc>
      </w:tr>
      <w:tr w:rsidR="00F22E64" w:rsidRPr="00F22E64" w14:paraId="63827A37" w14:textId="77777777" w:rsidTr="00F22E64">
        <w:tc>
          <w:tcPr>
            <w:tcW w:w="0" w:type="auto"/>
            <w:hideMark/>
          </w:tcPr>
          <w:p w14:paraId="1A4A1C85" w14:textId="4C3E825C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Test Oracle Precision</w:t>
            </w:r>
          </w:p>
        </w:tc>
        <w:tc>
          <w:tcPr>
            <w:tcW w:w="0" w:type="auto"/>
            <w:hideMark/>
          </w:tcPr>
          <w:p w14:paraId="2834D746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 xml:space="preserve">AI’s </w:t>
            </w:r>
            <w:r w:rsidRPr="00F22E64">
              <w:rPr>
                <w:rFonts w:ascii="Calibri" w:hAnsi="Calibri" w:cs="Calibri"/>
                <w:i/>
                <w:iCs/>
                <w:sz w:val="22"/>
                <w:szCs w:val="22"/>
              </w:rPr>
              <w:t>Expected Results</w:t>
            </w:r>
            <w:r w:rsidRPr="00F22E64">
              <w:rPr>
                <w:rFonts w:ascii="Calibri" w:hAnsi="Calibri" w:cs="Calibri"/>
                <w:sz w:val="22"/>
                <w:szCs w:val="22"/>
              </w:rPr>
              <w:t xml:space="preserve"> may describe vague success instead of measurable outcomes.</w:t>
            </w:r>
          </w:p>
        </w:tc>
        <w:tc>
          <w:tcPr>
            <w:tcW w:w="0" w:type="auto"/>
            <w:hideMark/>
          </w:tcPr>
          <w:p w14:paraId="0E335610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specify observable, verifiable results.</w:t>
            </w:r>
          </w:p>
        </w:tc>
        <w:tc>
          <w:tcPr>
            <w:tcW w:w="0" w:type="auto"/>
            <w:hideMark/>
          </w:tcPr>
          <w:p w14:paraId="6279536D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Check for missing measurable criteria (codes, UI messages, DB updates).</w:t>
            </w:r>
          </w:p>
        </w:tc>
      </w:tr>
    </w:tbl>
    <w:p w14:paraId="4806800C" w14:textId="77777777" w:rsidR="003411AC" w:rsidRPr="00F22E64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F22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853"/>
    <w:rsid w:val="000D252A"/>
    <w:rsid w:val="00201335"/>
    <w:rsid w:val="0031124E"/>
    <w:rsid w:val="003411AC"/>
    <w:rsid w:val="00487D46"/>
    <w:rsid w:val="006A7853"/>
    <w:rsid w:val="0088207E"/>
    <w:rsid w:val="00B05159"/>
    <w:rsid w:val="00F2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3C95"/>
  <w15:chartTrackingRefBased/>
  <w15:docId w15:val="{87729C1D-2349-4A0E-97A2-9F088488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8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2E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2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2025-10-23T23:07:00Z</dcterms:created>
  <dcterms:modified xsi:type="dcterms:W3CDTF">2025-11-20T08:19:00Z</dcterms:modified>
</cp:coreProperties>
</file>