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D578" w14:textId="526671A4" w:rsidR="003411AC" w:rsidRPr="0097745A" w:rsidRDefault="00032B4C">
      <w:pPr>
        <w:rPr>
          <w:rFonts w:ascii="Calibri" w:hAnsi="Calibri" w:cs="Calibri"/>
          <w:b/>
          <w:bCs/>
        </w:rPr>
      </w:pPr>
      <w:r w:rsidRPr="0097745A">
        <w:rPr>
          <w:rFonts w:ascii="Calibri" w:hAnsi="Calibri" w:cs="Calibri"/>
          <w:b/>
          <w:bCs/>
        </w:rPr>
        <w:t>Prompt:</w:t>
      </w:r>
    </w:p>
    <w:p w14:paraId="2CB2FF06" w14:textId="4A661059" w:rsidR="00032B4C" w:rsidRPr="0097745A" w:rsidRDefault="00032B4C">
      <w:pPr>
        <w:rPr>
          <w:rFonts w:ascii="Calibri" w:hAnsi="Calibri" w:cs="Calibri"/>
        </w:rPr>
      </w:pPr>
      <w:r w:rsidRPr="0097745A">
        <w:rPr>
          <w:rFonts w:ascii="Calibri" w:hAnsi="Calibri" w:cs="Calibri"/>
        </w:rPr>
        <w:t>Generate test cases for the “Real-Time Tracking” system simulating unstable network conditions, GPS signal loss, and database synchronization delays. Ensure tests reflect realistic environmental factors.</w:t>
      </w:r>
    </w:p>
    <w:p w14:paraId="7DA5793B" w14:textId="4846413C" w:rsidR="00032B4C" w:rsidRPr="0097745A" w:rsidRDefault="00032B4C">
      <w:pPr>
        <w:rPr>
          <w:rFonts w:ascii="Calibri" w:hAnsi="Calibri" w:cs="Calibri"/>
          <w:b/>
          <w:bCs/>
        </w:rPr>
      </w:pPr>
      <w:r w:rsidRPr="0097745A">
        <w:rPr>
          <w:rFonts w:ascii="Calibri" w:hAnsi="Calibri" w:cs="Calibri"/>
          <w:b/>
          <w:bCs/>
        </w:rPr>
        <w:t>Summary: (</w:t>
      </w:r>
      <w:r w:rsidRPr="0097745A">
        <w:rPr>
          <w:rFonts w:ascii="Calibri" w:hAnsi="Calibri" w:cs="Calibri"/>
          <w:b/>
          <w:bCs/>
        </w:rPr>
        <w:t>Environmental Realism</w:t>
      </w:r>
      <w:r w:rsidRPr="0097745A">
        <w:rPr>
          <w:rFonts w:ascii="Calibri" w:hAnsi="Calibri" w:cs="Calibri"/>
          <w:b/>
          <w:bCs/>
        </w:rPr>
        <w:t>)</w:t>
      </w:r>
    </w:p>
    <w:p w14:paraId="1BA8B8E4" w14:textId="77777777" w:rsidR="00032B4C" w:rsidRPr="00032B4C" w:rsidRDefault="00032B4C" w:rsidP="00032B4C">
      <w:pPr>
        <w:rPr>
          <w:rFonts w:ascii="Calibri" w:hAnsi="Calibri" w:cs="Calibri"/>
          <w:b/>
          <w:bCs/>
        </w:rPr>
      </w:pPr>
      <w:r w:rsidRPr="00032B4C">
        <w:rPr>
          <w:rFonts w:ascii="Calibri" w:hAnsi="Calibri" w:cs="Calibri"/>
          <w:b/>
          <w:bCs/>
        </w:rPr>
        <w:t>User Analysis</w:t>
      </w:r>
    </w:p>
    <w:p w14:paraId="32C9D04E" w14:textId="77777777" w:rsidR="00032B4C" w:rsidRPr="00032B4C" w:rsidRDefault="00032B4C" w:rsidP="00032B4C">
      <w:pPr>
        <w:rPr>
          <w:rFonts w:ascii="Calibri" w:hAnsi="Calibri" w:cs="Calibri"/>
        </w:rPr>
      </w:pPr>
      <w:r w:rsidRPr="00032B4C">
        <w:rPr>
          <w:rFonts w:ascii="Calibri" w:hAnsi="Calibri" w:cs="Calibri"/>
        </w:rPr>
        <w:t>The AI-generated test suite demonstrates strong domain awareness and breadth, providing comprehensive, realistic scenarios for unstable networks, GPS loss, and database sync delays while including detailed preconditions, steps, and measurable expected results; however, it occasionally asserts behaviors not specified in the SRS (for example exact UI messages, automatic retries, or specific caching mechanisms) which indicates hallucination risk that reduces trust in absolute accuracy even though the cases are highly useful for uncovering edge failures.</w:t>
      </w:r>
    </w:p>
    <w:p w14:paraId="03491323" w14:textId="77777777" w:rsidR="00032B4C" w:rsidRPr="00032B4C" w:rsidRDefault="00032B4C" w:rsidP="00032B4C">
      <w:pPr>
        <w:rPr>
          <w:rFonts w:ascii="Calibri" w:hAnsi="Calibri" w:cs="Calibri"/>
          <w:b/>
          <w:bCs/>
        </w:rPr>
      </w:pPr>
      <w:r w:rsidRPr="00032B4C">
        <w:rPr>
          <w:rFonts w:ascii="Calibri" w:hAnsi="Calibri" w:cs="Calibri"/>
          <w:b/>
          <w:bCs/>
        </w:rPr>
        <w:t>Assistant Analysis</w:t>
      </w:r>
    </w:p>
    <w:p w14:paraId="256FCE2E" w14:textId="77777777" w:rsidR="00032B4C" w:rsidRPr="00032B4C" w:rsidRDefault="00032B4C" w:rsidP="00032B4C">
      <w:pPr>
        <w:rPr>
          <w:rFonts w:ascii="Calibri" w:hAnsi="Calibri" w:cs="Calibri"/>
        </w:rPr>
      </w:pPr>
      <w:r w:rsidRPr="00032B4C">
        <w:rPr>
          <w:rFonts w:ascii="Calibri" w:hAnsi="Calibri" w:cs="Calibri"/>
        </w:rPr>
        <w:t>As a Principal Quality Engineer I find the AI test cases high in scenario coverage and actionable detail, appropriate for exploration and stress testing, but they require alignment to SRS-mandated behaviors and explicit system design (for example confirming retry/backoff policies, storage formats, and authoritative timestamp sources) before being used as normative acceptance tests; the human-written suite is well-structured for functional verification of UI and basic flows but lacks the environmental realism, variability, and failure-mode depth present in the AI output, so the optimal approach is to merge the strengths of both: adopt the AI cases for resilience testing after SRS validation and retain human cases for deterministic functional regression.</w:t>
      </w:r>
    </w:p>
    <w:p w14:paraId="4D45717C" w14:textId="77777777" w:rsidR="00032B4C" w:rsidRPr="00032B4C" w:rsidRDefault="00032B4C" w:rsidP="00032B4C">
      <w:pPr>
        <w:rPr>
          <w:rFonts w:ascii="Calibri" w:hAnsi="Calibri" w:cs="Calibri"/>
          <w:b/>
          <w:bCs/>
        </w:rPr>
      </w:pPr>
      <w:r w:rsidRPr="00032B4C">
        <w:rPr>
          <w:rFonts w:ascii="Calibri" w:hAnsi="Calibri" w:cs="Calibri"/>
          <w:b/>
          <w:bCs/>
        </w:rPr>
        <w:t>Functional Analysis (AI vs Human)</w:t>
      </w:r>
    </w:p>
    <w:tbl>
      <w:tblPr>
        <w:tblStyle w:val="TableGrid"/>
        <w:tblW w:w="0" w:type="auto"/>
        <w:tblLook w:val="04A0" w:firstRow="1" w:lastRow="0" w:firstColumn="1" w:lastColumn="0" w:noHBand="0" w:noVBand="1"/>
      </w:tblPr>
      <w:tblGrid>
        <w:gridCol w:w="2328"/>
        <w:gridCol w:w="1333"/>
        <w:gridCol w:w="1846"/>
        <w:gridCol w:w="1364"/>
        <w:gridCol w:w="1510"/>
      </w:tblGrid>
      <w:tr w:rsidR="00032B4C" w:rsidRPr="00032B4C" w14:paraId="1A4ACDC0" w14:textId="77777777" w:rsidTr="000B2DA2">
        <w:tc>
          <w:tcPr>
            <w:tcW w:w="0" w:type="auto"/>
            <w:hideMark/>
          </w:tcPr>
          <w:p w14:paraId="7C1F8A6B" w14:textId="77777777" w:rsidR="00032B4C" w:rsidRPr="00032B4C" w:rsidRDefault="00032B4C" w:rsidP="00032B4C">
            <w:pPr>
              <w:spacing w:after="160" w:line="278" w:lineRule="auto"/>
              <w:rPr>
                <w:rFonts w:ascii="Calibri" w:hAnsi="Calibri" w:cs="Calibri"/>
                <w:b/>
                <w:bCs/>
              </w:rPr>
            </w:pPr>
            <w:r w:rsidRPr="00032B4C">
              <w:rPr>
                <w:rFonts w:ascii="Calibri" w:hAnsi="Calibri" w:cs="Calibri"/>
                <w:b/>
                <w:bCs/>
              </w:rPr>
              <w:t>Item</w:t>
            </w:r>
          </w:p>
        </w:tc>
        <w:tc>
          <w:tcPr>
            <w:tcW w:w="0" w:type="auto"/>
            <w:hideMark/>
          </w:tcPr>
          <w:p w14:paraId="610E2C0C" w14:textId="77777777" w:rsidR="00032B4C" w:rsidRPr="00032B4C" w:rsidRDefault="00032B4C" w:rsidP="00032B4C">
            <w:pPr>
              <w:spacing w:after="160" w:line="278" w:lineRule="auto"/>
              <w:rPr>
                <w:rFonts w:ascii="Calibri" w:hAnsi="Calibri" w:cs="Calibri"/>
                <w:b/>
                <w:bCs/>
              </w:rPr>
            </w:pPr>
            <w:r w:rsidRPr="00032B4C">
              <w:rPr>
                <w:rFonts w:ascii="Calibri" w:hAnsi="Calibri" w:cs="Calibri"/>
                <w:b/>
                <w:bCs/>
              </w:rPr>
              <w:t>Accuracy %</w:t>
            </w:r>
          </w:p>
        </w:tc>
        <w:tc>
          <w:tcPr>
            <w:tcW w:w="0" w:type="auto"/>
            <w:hideMark/>
          </w:tcPr>
          <w:p w14:paraId="77BCA7E4" w14:textId="77777777" w:rsidR="00032B4C" w:rsidRPr="00032B4C" w:rsidRDefault="00032B4C" w:rsidP="00032B4C">
            <w:pPr>
              <w:spacing w:after="160" w:line="278" w:lineRule="auto"/>
              <w:rPr>
                <w:rFonts w:ascii="Calibri" w:hAnsi="Calibri" w:cs="Calibri"/>
                <w:b/>
                <w:bCs/>
              </w:rPr>
            </w:pPr>
            <w:r w:rsidRPr="00032B4C">
              <w:rPr>
                <w:rFonts w:ascii="Calibri" w:hAnsi="Calibri" w:cs="Calibri"/>
                <w:b/>
                <w:bCs/>
              </w:rPr>
              <w:t>Completeness %</w:t>
            </w:r>
          </w:p>
        </w:tc>
        <w:tc>
          <w:tcPr>
            <w:tcW w:w="0" w:type="auto"/>
            <w:hideMark/>
          </w:tcPr>
          <w:p w14:paraId="1B81C65F" w14:textId="77777777" w:rsidR="00032B4C" w:rsidRPr="00032B4C" w:rsidRDefault="00032B4C" w:rsidP="00032B4C">
            <w:pPr>
              <w:spacing w:after="160" w:line="278" w:lineRule="auto"/>
              <w:rPr>
                <w:rFonts w:ascii="Calibri" w:hAnsi="Calibri" w:cs="Calibri"/>
                <w:b/>
                <w:bCs/>
              </w:rPr>
            </w:pPr>
            <w:r w:rsidRPr="00032B4C">
              <w:rPr>
                <w:rFonts w:ascii="Calibri" w:hAnsi="Calibri" w:cs="Calibri"/>
                <w:b/>
                <w:bCs/>
              </w:rPr>
              <w:t>Coverage %</w:t>
            </w:r>
          </w:p>
        </w:tc>
        <w:tc>
          <w:tcPr>
            <w:tcW w:w="0" w:type="auto"/>
            <w:hideMark/>
          </w:tcPr>
          <w:p w14:paraId="5CA3FDC1" w14:textId="77777777" w:rsidR="00032B4C" w:rsidRPr="00032B4C" w:rsidRDefault="00032B4C" w:rsidP="00032B4C">
            <w:pPr>
              <w:spacing w:after="160" w:line="278" w:lineRule="auto"/>
              <w:rPr>
                <w:rFonts w:ascii="Calibri" w:hAnsi="Calibri" w:cs="Calibri"/>
                <w:b/>
                <w:bCs/>
              </w:rPr>
            </w:pPr>
            <w:r w:rsidRPr="00032B4C">
              <w:rPr>
                <w:rFonts w:ascii="Calibri" w:hAnsi="Calibri" w:cs="Calibri"/>
                <w:b/>
                <w:bCs/>
              </w:rPr>
              <w:t>Quality (1–5)</w:t>
            </w:r>
          </w:p>
        </w:tc>
      </w:tr>
      <w:tr w:rsidR="00032B4C" w:rsidRPr="00032B4C" w14:paraId="489F4772" w14:textId="77777777" w:rsidTr="000B2DA2">
        <w:tc>
          <w:tcPr>
            <w:tcW w:w="0" w:type="auto"/>
            <w:hideMark/>
          </w:tcPr>
          <w:p w14:paraId="42C40329" w14:textId="77777777" w:rsidR="00032B4C" w:rsidRPr="00032B4C" w:rsidRDefault="00032B4C" w:rsidP="00032B4C">
            <w:pPr>
              <w:spacing w:after="160" w:line="278" w:lineRule="auto"/>
              <w:rPr>
                <w:rFonts w:ascii="Calibri" w:hAnsi="Calibri" w:cs="Calibri"/>
              </w:rPr>
            </w:pPr>
            <w:r w:rsidRPr="00032B4C">
              <w:rPr>
                <w:rFonts w:ascii="Calibri" w:hAnsi="Calibri" w:cs="Calibri"/>
                <w:b/>
                <w:bCs/>
              </w:rPr>
              <w:t>AI (Claude) test cases</w:t>
            </w:r>
          </w:p>
        </w:tc>
        <w:tc>
          <w:tcPr>
            <w:tcW w:w="0" w:type="auto"/>
            <w:hideMark/>
          </w:tcPr>
          <w:p w14:paraId="74BA0F83" w14:textId="77777777" w:rsidR="00032B4C" w:rsidRPr="00032B4C" w:rsidRDefault="00032B4C" w:rsidP="00032B4C">
            <w:pPr>
              <w:spacing w:after="160" w:line="278" w:lineRule="auto"/>
              <w:rPr>
                <w:rFonts w:ascii="Calibri" w:hAnsi="Calibri" w:cs="Calibri"/>
              </w:rPr>
            </w:pPr>
            <w:r w:rsidRPr="00032B4C">
              <w:rPr>
                <w:rFonts w:ascii="Calibri" w:hAnsi="Calibri" w:cs="Calibri"/>
              </w:rPr>
              <w:t>78%</w:t>
            </w:r>
          </w:p>
        </w:tc>
        <w:tc>
          <w:tcPr>
            <w:tcW w:w="0" w:type="auto"/>
            <w:hideMark/>
          </w:tcPr>
          <w:p w14:paraId="20F209B4" w14:textId="77777777" w:rsidR="00032B4C" w:rsidRPr="00032B4C" w:rsidRDefault="00032B4C" w:rsidP="00032B4C">
            <w:pPr>
              <w:spacing w:after="160" w:line="278" w:lineRule="auto"/>
              <w:rPr>
                <w:rFonts w:ascii="Calibri" w:hAnsi="Calibri" w:cs="Calibri"/>
              </w:rPr>
            </w:pPr>
            <w:r w:rsidRPr="00032B4C">
              <w:rPr>
                <w:rFonts w:ascii="Calibri" w:hAnsi="Calibri" w:cs="Calibri"/>
              </w:rPr>
              <w:t>95%</w:t>
            </w:r>
          </w:p>
        </w:tc>
        <w:tc>
          <w:tcPr>
            <w:tcW w:w="0" w:type="auto"/>
            <w:hideMark/>
          </w:tcPr>
          <w:p w14:paraId="006B14A3" w14:textId="77777777" w:rsidR="00032B4C" w:rsidRPr="00032B4C" w:rsidRDefault="00032B4C" w:rsidP="00032B4C">
            <w:pPr>
              <w:spacing w:after="160" w:line="278" w:lineRule="auto"/>
              <w:rPr>
                <w:rFonts w:ascii="Calibri" w:hAnsi="Calibri" w:cs="Calibri"/>
              </w:rPr>
            </w:pPr>
            <w:r w:rsidRPr="00032B4C">
              <w:rPr>
                <w:rFonts w:ascii="Calibri" w:hAnsi="Calibri" w:cs="Calibri"/>
              </w:rPr>
              <w:t>98%</w:t>
            </w:r>
          </w:p>
        </w:tc>
        <w:tc>
          <w:tcPr>
            <w:tcW w:w="0" w:type="auto"/>
            <w:hideMark/>
          </w:tcPr>
          <w:p w14:paraId="27036751" w14:textId="77777777" w:rsidR="00032B4C" w:rsidRPr="00032B4C" w:rsidRDefault="00032B4C" w:rsidP="00032B4C">
            <w:pPr>
              <w:spacing w:after="160" w:line="278" w:lineRule="auto"/>
              <w:rPr>
                <w:rFonts w:ascii="Calibri" w:hAnsi="Calibri" w:cs="Calibri"/>
              </w:rPr>
            </w:pPr>
            <w:r w:rsidRPr="00032B4C">
              <w:rPr>
                <w:rFonts w:ascii="Calibri" w:hAnsi="Calibri" w:cs="Calibri"/>
              </w:rPr>
              <w:t>4</w:t>
            </w:r>
          </w:p>
        </w:tc>
      </w:tr>
      <w:tr w:rsidR="00032B4C" w:rsidRPr="00032B4C" w14:paraId="6235CF94" w14:textId="77777777" w:rsidTr="000B2DA2">
        <w:tc>
          <w:tcPr>
            <w:tcW w:w="0" w:type="auto"/>
            <w:hideMark/>
          </w:tcPr>
          <w:p w14:paraId="2184CE86" w14:textId="77777777" w:rsidR="00032B4C" w:rsidRPr="00032B4C" w:rsidRDefault="00032B4C" w:rsidP="00032B4C">
            <w:pPr>
              <w:spacing w:after="160" w:line="278" w:lineRule="auto"/>
              <w:rPr>
                <w:rFonts w:ascii="Calibri" w:hAnsi="Calibri" w:cs="Calibri"/>
              </w:rPr>
            </w:pPr>
            <w:r w:rsidRPr="00032B4C">
              <w:rPr>
                <w:rFonts w:ascii="Calibri" w:hAnsi="Calibri" w:cs="Calibri"/>
                <w:b/>
                <w:bCs/>
              </w:rPr>
              <w:t>Human test cases</w:t>
            </w:r>
          </w:p>
        </w:tc>
        <w:tc>
          <w:tcPr>
            <w:tcW w:w="0" w:type="auto"/>
            <w:hideMark/>
          </w:tcPr>
          <w:p w14:paraId="7EF3AE43" w14:textId="77777777" w:rsidR="00032B4C" w:rsidRPr="00032B4C" w:rsidRDefault="00032B4C" w:rsidP="00032B4C">
            <w:pPr>
              <w:spacing w:after="160" w:line="278" w:lineRule="auto"/>
              <w:rPr>
                <w:rFonts w:ascii="Calibri" w:hAnsi="Calibri" w:cs="Calibri"/>
              </w:rPr>
            </w:pPr>
            <w:r w:rsidRPr="00032B4C">
              <w:rPr>
                <w:rFonts w:ascii="Calibri" w:hAnsi="Calibri" w:cs="Calibri"/>
              </w:rPr>
              <w:t>92%</w:t>
            </w:r>
          </w:p>
        </w:tc>
        <w:tc>
          <w:tcPr>
            <w:tcW w:w="0" w:type="auto"/>
            <w:hideMark/>
          </w:tcPr>
          <w:p w14:paraId="65713A65" w14:textId="77777777" w:rsidR="00032B4C" w:rsidRPr="00032B4C" w:rsidRDefault="00032B4C" w:rsidP="00032B4C">
            <w:pPr>
              <w:spacing w:after="160" w:line="278" w:lineRule="auto"/>
              <w:rPr>
                <w:rFonts w:ascii="Calibri" w:hAnsi="Calibri" w:cs="Calibri"/>
              </w:rPr>
            </w:pPr>
            <w:r w:rsidRPr="00032B4C">
              <w:rPr>
                <w:rFonts w:ascii="Calibri" w:hAnsi="Calibri" w:cs="Calibri"/>
              </w:rPr>
              <w:t>70%</w:t>
            </w:r>
          </w:p>
        </w:tc>
        <w:tc>
          <w:tcPr>
            <w:tcW w:w="0" w:type="auto"/>
            <w:hideMark/>
          </w:tcPr>
          <w:p w14:paraId="43DA30D9" w14:textId="77777777" w:rsidR="00032B4C" w:rsidRPr="00032B4C" w:rsidRDefault="00032B4C" w:rsidP="00032B4C">
            <w:pPr>
              <w:spacing w:after="160" w:line="278" w:lineRule="auto"/>
              <w:rPr>
                <w:rFonts w:ascii="Calibri" w:hAnsi="Calibri" w:cs="Calibri"/>
              </w:rPr>
            </w:pPr>
            <w:r w:rsidRPr="00032B4C">
              <w:rPr>
                <w:rFonts w:ascii="Calibri" w:hAnsi="Calibri" w:cs="Calibri"/>
              </w:rPr>
              <w:t>65%</w:t>
            </w:r>
          </w:p>
        </w:tc>
        <w:tc>
          <w:tcPr>
            <w:tcW w:w="0" w:type="auto"/>
            <w:hideMark/>
          </w:tcPr>
          <w:p w14:paraId="2490CDD9" w14:textId="77777777" w:rsidR="00032B4C" w:rsidRPr="00032B4C" w:rsidRDefault="00032B4C" w:rsidP="00032B4C">
            <w:pPr>
              <w:spacing w:after="160" w:line="278" w:lineRule="auto"/>
              <w:rPr>
                <w:rFonts w:ascii="Calibri" w:hAnsi="Calibri" w:cs="Calibri"/>
              </w:rPr>
            </w:pPr>
            <w:r w:rsidRPr="00032B4C">
              <w:rPr>
                <w:rFonts w:ascii="Calibri" w:hAnsi="Calibri" w:cs="Calibri"/>
              </w:rPr>
              <w:t>3</w:t>
            </w:r>
          </w:p>
        </w:tc>
      </w:tr>
    </w:tbl>
    <w:p w14:paraId="45694120" w14:textId="77777777" w:rsidR="00032B4C" w:rsidRPr="00032B4C" w:rsidRDefault="00032B4C" w:rsidP="00032B4C">
      <w:pPr>
        <w:rPr>
          <w:rFonts w:ascii="Calibri" w:hAnsi="Calibri" w:cs="Calibri"/>
        </w:rPr>
      </w:pPr>
      <w:r w:rsidRPr="00032B4C">
        <w:rPr>
          <w:rFonts w:ascii="Calibri" w:hAnsi="Calibri" w:cs="Calibri"/>
        </w:rPr>
        <w:t>Notes on metrics:</w:t>
      </w:r>
    </w:p>
    <w:p w14:paraId="71F432BA" w14:textId="77777777" w:rsidR="00032B4C" w:rsidRPr="00032B4C" w:rsidRDefault="00032B4C" w:rsidP="00032B4C">
      <w:pPr>
        <w:numPr>
          <w:ilvl w:val="0"/>
          <w:numId w:val="2"/>
        </w:numPr>
        <w:rPr>
          <w:rFonts w:ascii="Calibri" w:hAnsi="Calibri" w:cs="Calibri"/>
        </w:rPr>
      </w:pPr>
      <w:r w:rsidRPr="00032B4C">
        <w:rPr>
          <w:rFonts w:ascii="Calibri" w:hAnsi="Calibri" w:cs="Calibri"/>
          <w:b/>
          <w:bCs/>
        </w:rPr>
        <w:t>Accuracy %</w:t>
      </w:r>
      <w:r w:rsidRPr="00032B4C">
        <w:rPr>
          <w:rFonts w:ascii="Calibri" w:hAnsi="Calibri" w:cs="Calibri"/>
        </w:rPr>
        <w:t xml:space="preserve"> reflects alignment to the SRS and avoidance of unsupported assertions; AI loses points for occasional hallucinated </w:t>
      </w:r>
      <w:proofErr w:type="gramStart"/>
      <w:r w:rsidRPr="00032B4C">
        <w:rPr>
          <w:rFonts w:ascii="Calibri" w:hAnsi="Calibri" w:cs="Calibri"/>
        </w:rPr>
        <w:t>behaviors,</w:t>
      </w:r>
      <w:proofErr w:type="gramEnd"/>
      <w:r w:rsidRPr="00032B4C">
        <w:rPr>
          <w:rFonts w:ascii="Calibri" w:hAnsi="Calibri" w:cs="Calibri"/>
        </w:rPr>
        <w:t xml:space="preserve"> human cases score higher for strict adherence to observed UI and documented features.</w:t>
      </w:r>
    </w:p>
    <w:p w14:paraId="404AFC10" w14:textId="77777777" w:rsidR="00032B4C" w:rsidRPr="00032B4C" w:rsidRDefault="00032B4C" w:rsidP="00032B4C">
      <w:pPr>
        <w:numPr>
          <w:ilvl w:val="0"/>
          <w:numId w:val="2"/>
        </w:numPr>
        <w:rPr>
          <w:rFonts w:ascii="Calibri" w:hAnsi="Calibri" w:cs="Calibri"/>
        </w:rPr>
      </w:pPr>
      <w:r w:rsidRPr="00032B4C">
        <w:rPr>
          <w:rFonts w:ascii="Calibri" w:hAnsi="Calibri" w:cs="Calibri"/>
          <w:b/>
          <w:bCs/>
        </w:rPr>
        <w:lastRenderedPageBreak/>
        <w:t>Completeness %</w:t>
      </w:r>
      <w:r w:rsidRPr="00032B4C">
        <w:rPr>
          <w:rFonts w:ascii="Calibri" w:hAnsi="Calibri" w:cs="Calibri"/>
        </w:rPr>
        <w:t xml:space="preserve"> measures richness of scenario permutations and environmental parameters; AI excels with many adverse-condition permutations, human cases are narrower but solid for positive flows.</w:t>
      </w:r>
    </w:p>
    <w:p w14:paraId="17B4BA45" w14:textId="77777777" w:rsidR="00032B4C" w:rsidRPr="00032B4C" w:rsidRDefault="00032B4C" w:rsidP="00032B4C">
      <w:pPr>
        <w:numPr>
          <w:ilvl w:val="0"/>
          <w:numId w:val="2"/>
        </w:numPr>
        <w:rPr>
          <w:rFonts w:ascii="Calibri" w:hAnsi="Calibri" w:cs="Calibri"/>
        </w:rPr>
      </w:pPr>
      <w:r w:rsidRPr="00032B4C">
        <w:rPr>
          <w:rFonts w:ascii="Calibri" w:hAnsi="Calibri" w:cs="Calibri"/>
          <w:b/>
          <w:bCs/>
        </w:rPr>
        <w:t>Coverage %</w:t>
      </w:r>
      <w:r w:rsidRPr="00032B4C">
        <w:rPr>
          <w:rFonts w:ascii="Calibri" w:hAnsi="Calibri" w:cs="Calibri"/>
        </w:rPr>
        <w:t xml:space="preserve"> measures functional and failure-mode breadth across network, GPS, and DB concerns; AI test set covers near-complete failure modes, human set covers core functional flows.</w:t>
      </w:r>
    </w:p>
    <w:p w14:paraId="0B5AB559" w14:textId="77777777" w:rsidR="00032B4C" w:rsidRPr="00032B4C" w:rsidRDefault="00032B4C" w:rsidP="00032B4C">
      <w:pPr>
        <w:numPr>
          <w:ilvl w:val="0"/>
          <w:numId w:val="2"/>
        </w:numPr>
        <w:rPr>
          <w:rFonts w:ascii="Calibri" w:hAnsi="Calibri" w:cs="Calibri"/>
        </w:rPr>
      </w:pPr>
      <w:r w:rsidRPr="00032B4C">
        <w:rPr>
          <w:rFonts w:ascii="Calibri" w:hAnsi="Calibri" w:cs="Calibri"/>
          <w:b/>
          <w:bCs/>
        </w:rPr>
        <w:t>Quality (1–5)</w:t>
      </w:r>
      <w:r w:rsidRPr="00032B4C">
        <w:rPr>
          <w:rFonts w:ascii="Calibri" w:hAnsi="Calibri" w:cs="Calibri"/>
        </w:rPr>
        <w:t xml:space="preserve"> rates logical clarity and step detail for test execution; AI steps are detailed, logically ordered, and include measurable thresholds, while human steps are simpler and oriented to manual verification.</w:t>
      </w:r>
    </w:p>
    <w:p w14:paraId="1EED9166" w14:textId="77777777" w:rsidR="00032B4C" w:rsidRPr="0097745A" w:rsidRDefault="00032B4C">
      <w:pPr>
        <w:rPr>
          <w:rFonts w:ascii="Calibri" w:hAnsi="Calibri" w:cs="Calibri"/>
        </w:rPr>
      </w:pPr>
    </w:p>
    <w:sectPr w:rsidR="00032B4C" w:rsidRPr="00977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055"/>
    <w:multiLevelType w:val="multilevel"/>
    <w:tmpl w:val="D4B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AC4987"/>
    <w:multiLevelType w:val="multilevel"/>
    <w:tmpl w:val="1AD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508757">
    <w:abstractNumId w:val="1"/>
  </w:num>
  <w:num w:numId="2" w16cid:durableId="135877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E9"/>
    <w:rsid w:val="00032B4C"/>
    <w:rsid w:val="000B2DA2"/>
    <w:rsid w:val="003411AC"/>
    <w:rsid w:val="004A714D"/>
    <w:rsid w:val="008C28E9"/>
    <w:rsid w:val="0097745A"/>
    <w:rsid w:val="00B05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C353"/>
  <w15:chartTrackingRefBased/>
  <w15:docId w15:val="{54AD708E-B8CC-45CE-B8D3-61EF9F13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8E9"/>
    <w:rPr>
      <w:rFonts w:eastAsiaTheme="majorEastAsia" w:cstheme="majorBidi"/>
      <w:color w:val="272727" w:themeColor="text1" w:themeTint="D8"/>
    </w:rPr>
  </w:style>
  <w:style w:type="paragraph" w:styleId="Title">
    <w:name w:val="Title"/>
    <w:basedOn w:val="Normal"/>
    <w:next w:val="Normal"/>
    <w:link w:val="TitleChar"/>
    <w:uiPriority w:val="10"/>
    <w:qFormat/>
    <w:rsid w:val="008C2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8E9"/>
    <w:pPr>
      <w:spacing w:before="160"/>
      <w:jc w:val="center"/>
    </w:pPr>
    <w:rPr>
      <w:i/>
      <w:iCs/>
      <w:color w:val="404040" w:themeColor="text1" w:themeTint="BF"/>
    </w:rPr>
  </w:style>
  <w:style w:type="character" w:customStyle="1" w:styleId="QuoteChar">
    <w:name w:val="Quote Char"/>
    <w:basedOn w:val="DefaultParagraphFont"/>
    <w:link w:val="Quote"/>
    <w:uiPriority w:val="29"/>
    <w:rsid w:val="008C28E9"/>
    <w:rPr>
      <w:i/>
      <w:iCs/>
      <w:color w:val="404040" w:themeColor="text1" w:themeTint="BF"/>
    </w:rPr>
  </w:style>
  <w:style w:type="paragraph" w:styleId="ListParagraph">
    <w:name w:val="List Paragraph"/>
    <w:basedOn w:val="Normal"/>
    <w:uiPriority w:val="34"/>
    <w:qFormat/>
    <w:rsid w:val="008C28E9"/>
    <w:pPr>
      <w:ind w:left="720"/>
      <w:contextualSpacing/>
    </w:pPr>
  </w:style>
  <w:style w:type="character" w:styleId="IntenseEmphasis">
    <w:name w:val="Intense Emphasis"/>
    <w:basedOn w:val="DefaultParagraphFont"/>
    <w:uiPriority w:val="21"/>
    <w:qFormat/>
    <w:rsid w:val="008C28E9"/>
    <w:rPr>
      <w:i/>
      <w:iCs/>
      <w:color w:val="0F4761" w:themeColor="accent1" w:themeShade="BF"/>
    </w:rPr>
  </w:style>
  <w:style w:type="paragraph" w:styleId="IntenseQuote">
    <w:name w:val="Intense Quote"/>
    <w:basedOn w:val="Normal"/>
    <w:next w:val="Normal"/>
    <w:link w:val="IntenseQuoteChar"/>
    <w:uiPriority w:val="30"/>
    <w:qFormat/>
    <w:rsid w:val="008C2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8E9"/>
    <w:rPr>
      <w:i/>
      <w:iCs/>
      <w:color w:val="0F4761" w:themeColor="accent1" w:themeShade="BF"/>
    </w:rPr>
  </w:style>
  <w:style w:type="character" w:styleId="IntenseReference">
    <w:name w:val="Intense Reference"/>
    <w:basedOn w:val="DefaultParagraphFont"/>
    <w:uiPriority w:val="32"/>
    <w:qFormat/>
    <w:rsid w:val="008C28E9"/>
    <w:rPr>
      <w:b/>
      <w:bCs/>
      <w:smallCaps/>
      <w:color w:val="0F4761" w:themeColor="accent1" w:themeShade="BF"/>
      <w:spacing w:val="5"/>
    </w:rPr>
  </w:style>
  <w:style w:type="table" w:styleId="TableGrid">
    <w:name w:val="Table Grid"/>
    <w:basedOn w:val="TableNormal"/>
    <w:uiPriority w:val="39"/>
    <w:rsid w:val="000B2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5608">
      <w:bodyDiv w:val="1"/>
      <w:marLeft w:val="0"/>
      <w:marRight w:val="0"/>
      <w:marTop w:val="0"/>
      <w:marBottom w:val="0"/>
      <w:divBdr>
        <w:top w:val="none" w:sz="0" w:space="0" w:color="auto"/>
        <w:left w:val="none" w:sz="0" w:space="0" w:color="auto"/>
        <w:bottom w:val="none" w:sz="0" w:space="0" w:color="auto"/>
        <w:right w:val="none" w:sz="0" w:space="0" w:color="auto"/>
      </w:divBdr>
      <w:divsChild>
        <w:div w:id="893010144">
          <w:marLeft w:val="0"/>
          <w:marRight w:val="0"/>
          <w:marTop w:val="0"/>
          <w:marBottom w:val="0"/>
          <w:divBdr>
            <w:top w:val="none" w:sz="0" w:space="0" w:color="auto"/>
            <w:left w:val="none" w:sz="0" w:space="0" w:color="auto"/>
            <w:bottom w:val="none" w:sz="0" w:space="0" w:color="auto"/>
            <w:right w:val="none" w:sz="0" w:space="0" w:color="auto"/>
          </w:divBdr>
          <w:divsChild>
            <w:div w:id="202751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6337">
      <w:bodyDiv w:val="1"/>
      <w:marLeft w:val="0"/>
      <w:marRight w:val="0"/>
      <w:marTop w:val="0"/>
      <w:marBottom w:val="0"/>
      <w:divBdr>
        <w:top w:val="none" w:sz="0" w:space="0" w:color="auto"/>
        <w:left w:val="none" w:sz="0" w:space="0" w:color="auto"/>
        <w:bottom w:val="none" w:sz="0" w:space="0" w:color="auto"/>
        <w:right w:val="none" w:sz="0" w:space="0" w:color="auto"/>
      </w:divBdr>
      <w:divsChild>
        <w:div w:id="856430213">
          <w:marLeft w:val="0"/>
          <w:marRight w:val="0"/>
          <w:marTop w:val="0"/>
          <w:marBottom w:val="0"/>
          <w:divBdr>
            <w:top w:val="none" w:sz="0" w:space="0" w:color="auto"/>
            <w:left w:val="none" w:sz="0" w:space="0" w:color="auto"/>
            <w:bottom w:val="none" w:sz="0" w:space="0" w:color="auto"/>
            <w:right w:val="none" w:sz="0" w:space="0" w:color="auto"/>
          </w:divBdr>
          <w:divsChild>
            <w:div w:id="7857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04436">
      <w:bodyDiv w:val="1"/>
      <w:marLeft w:val="0"/>
      <w:marRight w:val="0"/>
      <w:marTop w:val="0"/>
      <w:marBottom w:val="0"/>
      <w:divBdr>
        <w:top w:val="none" w:sz="0" w:space="0" w:color="auto"/>
        <w:left w:val="none" w:sz="0" w:space="0" w:color="auto"/>
        <w:bottom w:val="none" w:sz="0" w:space="0" w:color="auto"/>
        <w:right w:val="none" w:sz="0" w:space="0" w:color="auto"/>
      </w:divBdr>
      <w:divsChild>
        <w:div w:id="126820687">
          <w:marLeft w:val="0"/>
          <w:marRight w:val="0"/>
          <w:marTop w:val="0"/>
          <w:marBottom w:val="0"/>
          <w:divBdr>
            <w:top w:val="none" w:sz="0" w:space="0" w:color="auto"/>
            <w:left w:val="none" w:sz="0" w:space="0" w:color="auto"/>
            <w:bottom w:val="none" w:sz="0" w:space="0" w:color="auto"/>
            <w:right w:val="none" w:sz="0" w:space="0" w:color="auto"/>
          </w:divBdr>
          <w:divsChild>
            <w:div w:id="1539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0045">
      <w:bodyDiv w:val="1"/>
      <w:marLeft w:val="0"/>
      <w:marRight w:val="0"/>
      <w:marTop w:val="0"/>
      <w:marBottom w:val="0"/>
      <w:divBdr>
        <w:top w:val="none" w:sz="0" w:space="0" w:color="auto"/>
        <w:left w:val="none" w:sz="0" w:space="0" w:color="auto"/>
        <w:bottom w:val="none" w:sz="0" w:space="0" w:color="auto"/>
        <w:right w:val="none" w:sz="0" w:space="0" w:color="auto"/>
      </w:divBdr>
      <w:divsChild>
        <w:div w:id="158347747">
          <w:marLeft w:val="0"/>
          <w:marRight w:val="0"/>
          <w:marTop w:val="0"/>
          <w:marBottom w:val="0"/>
          <w:divBdr>
            <w:top w:val="none" w:sz="0" w:space="0" w:color="auto"/>
            <w:left w:val="none" w:sz="0" w:space="0" w:color="auto"/>
            <w:bottom w:val="none" w:sz="0" w:space="0" w:color="auto"/>
            <w:right w:val="none" w:sz="0" w:space="0" w:color="auto"/>
          </w:divBdr>
          <w:divsChild>
            <w:div w:id="20945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7</cp:revision>
  <dcterms:created xsi:type="dcterms:W3CDTF">2025-10-23T23:40:00Z</dcterms:created>
  <dcterms:modified xsi:type="dcterms:W3CDTF">2025-10-23T23:43:00Z</dcterms:modified>
</cp:coreProperties>
</file>