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65A0" w14:textId="77777777" w:rsidR="00BB64C6" w:rsidRPr="00BB64C6" w:rsidRDefault="00BB64C6" w:rsidP="00BB64C6">
      <w:pPr>
        <w:rPr>
          <w:rFonts w:ascii="Calibri" w:hAnsi="Calibri" w:cs="Calibri"/>
          <w:sz w:val="22"/>
          <w:szCs w:val="22"/>
        </w:rPr>
      </w:pPr>
      <w:r w:rsidRPr="00BB64C6">
        <w:rPr>
          <w:rFonts w:ascii="Calibri" w:hAnsi="Calibri" w:cs="Calibri"/>
          <w:sz w:val="22"/>
          <w:szCs w:val="22"/>
        </w:rPr>
        <w:t xml:space="preserve">All three experiments used the same SRS but different prompting methods: (E1) simple happy-path cases, (E2) full positive/negative/boundary suite, and (E3) RTM + tagged suite. Across reports, </w:t>
      </w:r>
      <w:r w:rsidRPr="00BB64C6">
        <w:rPr>
          <w:rFonts w:ascii="Calibri" w:hAnsi="Calibri" w:cs="Calibri"/>
          <w:b/>
          <w:bCs/>
          <w:sz w:val="22"/>
          <w:szCs w:val="22"/>
        </w:rPr>
        <w:t>Claude AI</w:t>
      </w:r>
      <w:r w:rsidRPr="00BB64C6">
        <w:rPr>
          <w:rFonts w:ascii="Calibri" w:hAnsi="Calibri" w:cs="Calibri"/>
          <w:sz w:val="22"/>
          <w:szCs w:val="22"/>
        </w:rPr>
        <w:t xml:space="preserve"> is consistently top for completeness, coverage, and professional QA structure, including RTM where requested. </w:t>
      </w:r>
      <w:r w:rsidRPr="00BB64C6">
        <w:rPr>
          <w:rFonts w:ascii="Calibri" w:hAnsi="Calibri" w:cs="Calibri"/>
          <w:b/>
          <w:bCs/>
          <w:sz w:val="22"/>
          <w:szCs w:val="22"/>
        </w:rPr>
        <w:t>Microsoft Copilot</w:t>
      </w:r>
      <w:r w:rsidRPr="00BB64C6">
        <w:rPr>
          <w:rFonts w:ascii="Calibri" w:hAnsi="Calibri" w:cs="Calibri"/>
          <w:sz w:val="22"/>
          <w:szCs w:val="22"/>
        </w:rPr>
        <w:t xml:space="preserve"> is the most execution-ready (clean steps, strong requirement mapping), narrowly trailing Claude on deep edge-case breadth. </w:t>
      </w:r>
      <w:r w:rsidRPr="00BB64C6">
        <w:rPr>
          <w:rFonts w:ascii="Calibri" w:hAnsi="Calibri" w:cs="Calibri"/>
          <w:b/>
          <w:bCs/>
          <w:sz w:val="22"/>
          <w:szCs w:val="22"/>
        </w:rPr>
        <w:t>ChatGPT</w:t>
      </w:r>
      <w:r w:rsidRPr="00BB64C6">
        <w:rPr>
          <w:rFonts w:ascii="Calibri" w:hAnsi="Calibri" w:cs="Calibri"/>
          <w:sz w:val="22"/>
          <w:szCs w:val="22"/>
        </w:rPr>
        <w:t xml:space="preserve"> shows broad, concise coverage (reported </w:t>
      </w:r>
      <w:r w:rsidRPr="00BB64C6">
        <w:rPr>
          <w:rFonts w:ascii="Calibri" w:hAnsi="Calibri" w:cs="Calibri"/>
          <w:b/>
          <w:bCs/>
          <w:sz w:val="22"/>
          <w:szCs w:val="22"/>
        </w:rPr>
        <w:t>58 cases across 33 modules</w:t>
      </w:r>
      <w:r w:rsidRPr="00BB64C6">
        <w:rPr>
          <w:rFonts w:ascii="Calibri" w:hAnsi="Calibri" w:cs="Calibri"/>
          <w:sz w:val="22"/>
          <w:szCs w:val="22"/>
        </w:rPr>
        <w:t xml:space="preserve">), but with lighter NFR depth/step detail than the leaders. </w:t>
      </w:r>
      <w:r w:rsidRPr="00BB64C6">
        <w:rPr>
          <w:rFonts w:ascii="Calibri" w:hAnsi="Calibri" w:cs="Calibri"/>
          <w:b/>
          <w:bCs/>
          <w:sz w:val="22"/>
          <w:szCs w:val="22"/>
        </w:rPr>
        <w:t>Grok AI</w:t>
      </w:r>
      <w:r w:rsidRPr="00BB64C6">
        <w:rPr>
          <w:rFonts w:ascii="Calibri" w:hAnsi="Calibri" w:cs="Calibri"/>
          <w:sz w:val="22"/>
          <w:szCs w:val="22"/>
        </w:rPr>
        <w:t xml:space="preserve"> is well-formatted yet leans on assumptions outside the SRS and under-represents boundary/NFR scenarios. </w:t>
      </w:r>
      <w:r w:rsidRPr="00BB64C6">
        <w:rPr>
          <w:rFonts w:ascii="Calibri" w:hAnsi="Calibri" w:cs="Calibri"/>
          <w:b/>
          <w:bCs/>
          <w:sz w:val="22"/>
          <w:szCs w:val="22"/>
        </w:rPr>
        <w:t>DeepSeek</w:t>
      </w:r>
      <w:r w:rsidRPr="00BB64C6">
        <w:rPr>
          <w:rFonts w:ascii="Calibri" w:hAnsi="Calibri" w:cs="Calibri"/>
          <w:sz w:val="22"/>
          <w:szCs w:val="22"/>
        </w:rPr>
        <w:t xml:space="preserve"> emphasizes security/performance, but with narrower functional spread and some divergence from the SRS. No experiment provides numeric metric scores; </w:t>
      </w:r>
      <w:proofErr w:type="gramStart"/>
      <w:r w:rsidRPr="00BB64C6">
        <w:rPr>
          <w:rFonts w:ascii="Calibri" w:hAnsi="Calibri" w:cs="Calibri"/>
          <w:sz w:val="22"/>
          <w:szCs w:val="22"/>
        </w:rPr>
        <w:t>therefore</w:t>
      </w:r>
      <w:proofErr w:type="gramEnd"/>
      <w:r w:rsidRPr="00BB64C6">
        <w:rPr>
          <w:rFonts w:ascii="Calibri" w:hAnsi="Calibri" w:cs="Calibri"/>
          <w:sz w:val="22"/>
          <w:szCs w:val="22"/>
        </w:rPr>
        <w:t xml:space="preserve"> I verified the narrative evidence and normalized outcomes to High/Medium/Low per metric, noting gaps and ties. Overall, method choice mainly influenced structure (RTM vs. breadth vs. brevity), while model capability dominated outcomes—</w:t>
      </w:r>
      <w:r w:rsidRPr="00BB64C6">
        <w:rPr>
          <w:rFonts w:ascii="Calibri" w:hAnsi="Calibri" w:cs="Calibri"/>
          <w:b/>
          <w:bCs/>
          <w:sz w:val="22"/>
          <w:szCs w:val="22"/>
        </w:rPr>
        <w:t>Claude first</w:t>
      </w:r>
      <w:r w:rsidRPr="00BB64C6">
        <w:rPr>
          <w:rFonts w:ascii="Calibri" w:hAnsi="Calibri" w:cs="Calibri"/>
          <w:sz w:val="22"/>
          <w:szCs w:val="22"/>
        </w:rPr>
        <w:t xml:space="preserve">, </w:t>
      </w:r>
      <w:r w:rsidRPr="00BB64C6">
        <w:rPr>
          <w:rFonts w:ascii="Calibri" w:hAnsi="Calibri" w:cs="Calibri"/>
          <w:b/>
          <w:bCs/>
          <w:sz w:val="22"/>
          <w:szCs w:val="22"/>
        </w:rPr>
        <w:t>Copilot/ChatGPT</w:t>
      </w:r>
      <w:r w:rsidRPr="00BB64C6">
        <w:rPr>
          <w:rFonts w:ascii="Calibri" w:hAnsi="Calibri" w:cs="Calibri"/>
          <w:sz w:val="22"/>
          <w:szCs w:val="22"/>
        </w:rPr>
        <w:t xml:space="preserve"> close behind; </w:t>
      </w:r>
      <w:r w:rsidRPr="00BB64C6">
        <w:rPr>
          <w:rFonts w:ascii="Calibri" w:hAnsi="Calibri" w:cs="Calibri"/>
          <w:b/>
          <w:bCs/>
          <w:sz w:val="22"/>
          <w:szCs w:val="22"/>
        </w:rPr>
        <w:t>Grok</w:t>
      </w:r>
      <w:r w:rsidRPr="00BB64C6">
        <w:rPr>
          <w:rFonts w:ascii="Calibri" w:hAnsi="Calibri" w:cs="Calibri"/>
          <w:sz w:val="22"/>
          <w:szCs w:val="22"/>
        </w:rPr>
        <w:t xml:space="preserve"> and </w:t>
      </w:r>
      <w:r w:rsidRPr="00BB64C6">
        <w:rPr>
          <w:rFonts w:ascii="Calibri" w:hAnsi="Calibri" w:cs="Calibri"/>
          <w:b/>
          <w:bCs/>
          <w:sz w:val="22"/>
          <w:szCs w:val="22"/>
        </w:rPr>
        <w:t>DeepSeek</w:t>
      </w:r>
      <w:r w:rsidRPr="00BB64C6">
        <w:rPr>
          <w:rFonts w:ascii="Calibri" w:hAnsi="Calibri" w:cs="Calibri"/>
          <w:sz w:val="22"/>
          <w:szCs w:val="22"/>
        </w:rPr>
        <w:t xml:space="preserve"> trail on completeness/coverage. </w:t>
      </w:r>
    </w:p>
    <w:p w14:paraId="133E856B" w14:textId="77777777" w:rsidR="00BB64C6" w:rsidRPr="00BB64C6" w:rsidRDefault="00BB64C6" w:rsidP="00BB64C6">
      <w:pPr>
        <w:rPr>
          <w:rFonts w:ascii="Calibri" w:hAnsi="Calibri" w:cs="Calibri"/>
          <w:b/>
          <w:bCs/>
          <w:sz w:val="22"/>
          <w:szCs w:val="22"/>
        </w:rPr>
      </w:pPr>
      <w:r w:rsidRPr="00BB64C6">
        <w:rPr>
          <w:rFonts w:ascii="Calibri" w:hAnsi="Calibri" w:cs="Calibri"/>
          <w:b/>
          <w:bCs/>
          <w:sz w:val="22"/>
          <w:szCs w:val="22"/>
        </w:rPr>
        <w:t>Comparison table (rows = experiments; columns = metrics)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874"/>
        <w:gridCol w:w="1344"/>
        <w:gridCol w:w="1008"/>
        <w:gridCol w:w="918"/>
        <w:gridCol w:w="815"/>
        <w:gridCol w:w="1051"/>
        <w:gridCol w:w="1044"/>
      </w:tblGrid>
      <w:tr w:rsidR="00BB64C6" w:rsidRPr="00BB64C6" w14:paraId="7B60DF01" w14:textId="77777777" w:rsidTr="00BB64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11669" w14:textId="77777777" w:rsidR="00BB64C6" w:rsidRPr="00BB64C6" w:rsidRDefault="00BB64C6" w:rsidP="00BB64C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Experiment / Method</w:t>
            </w:r>
          </w:p>
        </w:tc>
        <w:tc>
          <w:tcPr>
            <w:tcW w:w="0" w:type="auto"/>
            <w:vAlign w:val="center"/>
            <w:hideMark/>
          </w:tcPr>
          <w:p w14:paraId="3915B15B" w14:textId="77777777" w:rsidR="00BB64C6" w:rsidRPr="00BB64C6" w:rsidRDefault="00BB64C6" w:rsidP="00BB64C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041C987" w14:textId="77777777" w:rsidR="00BB64C6" w:rsidRPr="00BB64C6" w:rsidRDefault="00BB64C6" w:rsidP="00BB64C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46DCEEE0" w14:textId="77777777" w:rsidR="00BB64C6" w:rsidRPr="00BB64C6" w:rsidRDefault="00BB64C6" w:rsidP="00BB64C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24C4CF02" w14:textId="77777777" w:rsidR="00BB64C6" w:rsidRPr="00BB64C6" w:rsidRDefault="00BB64C6" w:rsidP="00BB64C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D464C14" w14:textId="77777777" w:rsidR="00BB64C6" w:rsidRPr="00BB64C6" w:rsidRDefault="00BB64C6" w:rsidP="00BB64C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CE1789F" w14:textId="77777777" w:rsidR="00BB64C6" w:rsidRPr="00BB64C6" w:rsidRDefault="00BB64C6" w:rsidP="00BB64C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vAlign w:val="center"/>
            <w:hideMark/>
          </w:tcPr>
          <w:p w14:paraId="70DD7866" w14:textId="77777777" w:rsidR="00BB64C6" w:rsidRPr="00BB64C6" w:rsidRDefault="00BB64C6" w:rsidP="00BB64C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</w:tr>
      <w:tr w:rsidR="00BB64C6" w:rsidRPr="00BB64C6" w14:paraId="79CA7E81" w14:textId="77777777" w:rsidTr="00BB6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369A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E1 – Happy-path only</w:t>
            </w:r>
            <w:r w:rsidRPr="00BB64C6">
              <w:rPr>
                <w:rFonts w:ascii="Calibri" w:hAnsi="Calibri" w:cs="Calibri"/>
                <w:sz w:val="22"/>
                <w:szCs w:val="22"/>
              </w:rPr>
              <w:t xml:space="preserve"> (simple functional)</w:t>
            </w:r>
          </w:p>
        </w:tc>
        <w:tc>
          <w:tcPr>
            <w:tcW w:w="0" w:type="auto"/>
            <w:vAlign w:val="center"/>
            <w:hideMark/>
          </w:tcPr>
          <w:p w14:paraId="29339AEC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CB1591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07409A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46477D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313D7B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1084EF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C87201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 xml:space="preserve">High </w:t>
            </w:r>
          </w:p>
        </w:tc>
      </w:tr>
      <w:tr w:rsidR="00BB64C6" w:rsidRPr="00BB64C6" w14:paraId="60FC31E6" w14:textId="77777777" w:rsidTr="00BB6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1B83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E2 – Full pos/neg/boundary</w:t>
            </w:r>
          </w:p>
        </w:tc>
        <w:tc>
          <w:tcPr>
            <w:tcW w:w="0" w:type="auto"/>
            <w:vAlign w:val="center"/>
            <w:hideMark/>
          </w:tcPr>
          <w:p w14:paraId="63806C25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C1B56F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5A560A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A39AFE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7DE88C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4F40BC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73727E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 xml:space="preserve">Medium </w:t>
            </w:r>
          </w:p>
        </w:tc>
      </w:tr>
      <w:tr w:rsidR="00BB64C6" w:rsidRPr="00BB64C6" w14:paraId="00DFFF4F" w14:textId="77777777" w:rsidTr="00BB64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347F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E3 – RTM + tags</w:t>
            </w:r>
          </w:p>
        </w:tc>
        <w:tc>
          <w:tcPr>
            <w:tcW w:w="0" w:type="auto"/>
            <w:vAlign w:val="center"/>
            <w:hideMark/>
          </w:tcPr>
          <w:p w14:paraId="69D1D436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C700EC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7B2764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A2F003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DE5DEA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C57DAD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b/>
                <w:bCs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731B02" w14:textId="77777777" w:rsidR="00BB64C6" w:rsidRPr="00BB64C6" w:rsidRDefault="00BB64C6" w:rsidP="00BB64C6">
            <w:pPr>
              <w:rPr>
                <w:rFonts w:ascii="Calibri" w:hAnsi="Calibri" w:cs="Calibri"/>
                <w:sz w:val="22"/>
                <w:szCs w:val="22"/>
              </w:rPr>
            </w:pPr>
            <w:r w:rsidRPr="00BB64C6">
              <w:rPr>
                <w:rFonts w:ascii="Calibri" w:hAnsi="Calibri" w:cs="Calibri"/>
                <w:sz w:val="22"/>
                <w:szCs w:val="22"/>
              </w:rPr>
              <w:t xml:space="preserve">Medium–High </w:t>
            </w:r>
          </w:p>
        </w:tc>
      </w:tr>
    </w:tbl>
    <w:p w14:paraId="2C523C89" w14:textId="77777777" w:rsidR="00BB64C6" w:rsidRPr="00BB64C6" w:rsidRDefault="00BB64C6" w:rsidP="00BB64C6">
      <w:pPr>
        <w:rPr>
          <w:rFonts w:ascii="Calibri" w:hAnsi="Calibri" w:cs="Calibri"/>
          <w:sz w:val="22"/>
          <w:szCs w:val="22"/>
        </w:rPr>
      </w:pPr>
      <w:r w:rsidRPr="00BB64C6">
        <w:rPr>
          <w:rFonts w:ascii="Calibri" w:hAnsi="Calibri" w:cs="Calibri"/>
          <w:b/>
          <w:bCs/>
          <w:sz w:val="22"/>
          <w:szCs w:val="22"/>
        </w:rPr>
        <w:t>How I handled data gaps:</w:t>
      </w:r>
      <w:r w:rsidRPr="00BB64C6">
        <w:rPr>
          <w:rFonts w:ascii="Calibri" w:hAnsi="Calibri" w:cs="Calibri"/>
          <w:sz w:val="22"/>
          <w:szCs w:val="22"/>
        </w:rPr>
        <w:t xml:space="preserve"> No numeric scores were provided; I converted consistent qualitative statements into </w:t>
      </w:r>
      <w:r w:rsidRPr="00BB64C6">
        <w:rPr>
          <w:rFonts w:ascii="Calibri" w:hAnsi="Calibri" w:cs="Calibri"/>
          <w:b/>
          <w:bCs/>
          <w:sz w:val="22"/>
          <w:szCs w:val="22"/>
        </w:rPr>
        <w:t>H/M/L</w:t>
      </w:r>
      <w:r w:rsidRPr="00BB64C6">
        <w:rPr>
          <w:rFonts w:ascii="Calibri" w:hAnsi="Calibri" w:cs="Calibri"/>
          <w:sz w:val="22"/>
          <w:szCs w:val="22"/>
        </w:rPr>
        <w:t xml:space="preserve">. Where statements conflicted, I marked the lower of the two or indicated ties. </w:t>
      </w:r>
    </w:p>
    <w:p w14:paraId="69E92E82" w14:textId="77777777" w:rsidR="00BB64C6" w:rsidRPr="00BB64C6" w:rsidRDefault="00BB64C6" w:rsidP="00BB64C6">
      <w:pPr>
        <w:rPr>
          <w:rFonts w:ascii="Calibri" w:hAnsi="Calibri" w:cs="Calibri"/>
          <w:b/>
          <w:bCs/>
          <w:sz w:val="22"/>
          <w:szCs w:val="22"/>
        </w:rPr>
      </w:pPr>
      <w:r w:rsidRPr="00BB64C6">
        <w:rPr>
          <w:rFonts w:ascii="Calibri" w:hAnsi="Calibri" w:cs="Calibri"/>
          <w:b/>
          <w:bCs/>
          <w:sz w:val="22"/>
          <w:szCs w:val="22"/>
        </w:rPr>
        <w:t>Ranked list (with brief rationale)</w:t>
      </w:r>
    </w:p>
    <w:p w14:paraId="31AA154B" w14:textId="77777777" w:rsidR="00BB64C6" w:rsidRPr="00BB64C6" w:rsidRDefault="00BB64C6" w:rsidP="00BB64C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B64C6">
        <w:rPr>
          <w:rFonts w:ascii="Calibri" w:hAnsi="Calibri" w:cs="Calibri"/>
          <w:b/>
          <w:bCs/>
          <w:sz w:val="22"/>
          <w:szCs w:val="22"/>
        </w:rPr>
        <w:t>Claude AI</w:t>
      </w:r>
      <w:r w:rsidRPr="00BB64C6">
        <w:rPr>
          <w:rFonts w:ascii="Calibri" w:hAnsi="Calibri" w:cs="Calibri"/>
          <w:sz w:val="22"/>
          <w:szCs w:val="22"/>
        </w:rPr>
        <w:t xml:space="preserve"> — Best completeness/coverage, strongest RTM/traceability; most likely </w:t>
      </w:r>
      <w:proofErr w:type="gramStart"/>
      <w:r w:rsidRPr="00BB64C6">
        <w:rPr>
          <w:rFonts w:ascii="Calibri" w:hAnsi="Calibri" w:cs="Calibri"/>
          <w:sz w:val="22"/>
          <w:szCs w:val="22"/>
        </w:rPr>
        <w:t>to</w:t>
      </w:r>
      <w:proofErr w:type="gramEnd"/>
      <w:r w:rsidRPr="00BB64C6">
        <w:rPr>
          <w:rFonts w:ascii="Calibri" w:hAnsi="Calibri" w:cs="Calibri"/>
          <w:sz w:val="22"/>
          <w:szCs w:val="22"/>
        </w:rPr>
        <w:t xml:space="preserve"> surface defects early. </w:t>
      </w:r>
    </w:p>
    <w:p w14:paraId="64FFBB28" w14:textId="77777777" w:rsidR="00BB64C6" w:rsidRPr="00BB64C6" w:rsidRDefault="00BB64C6" w:rsidP="00BB64C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B64C6">
        <w:rPr>
          <w:rFonts w:ascii="Calibri" w:hAnsi="Calibri" w:cs="Calibri"/>
          <w:b/>
          <w:bCs/>
          <w:sz w:val="22"/>
          <w:szCs w:val="22"/>
        </w:rPr>
        <w:t>Microsoft Copilot</w:t>
      </w:r>
      <w:r w:rsidRPr="00BB64C6">
        <w:rPr>
          <w:rFonts w:ascii="Calibri" w:hAnsi="Calibri" w:cs="Calibri"/>
          <w:sz w:val="22"/>
          <w:szCs w:val="22"/>
        </w:rPr>
        <w:t xml:space="preserve"> — Most step-ready and efficient; strong mapping; slightly fewer deep edge cases. </w:t>
      </w:r>
    </w:p>
    <w:p w14:paraId="41BBD05D" w14:textId="77777777" w:rsidR="00BB64C6" w:rsidRPr="00BB64C6" w:rsidRDefault="00BB64C6" w:rsidP="00BB64C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B64C6">
        <w:rPr>
          <w:rFonts w:ascii="Calibri" w:hAnsi="Calibri" w:cs="Calibri"/>
          <w:b/>
          <w:bCs/>
          <w:sz w:val="22"/>
          <w:szCs w:val="22"/>
        </w:rPr>
        <w:t>ChatGPT</w:t>
      </w:r>
      <w:r w:rsidRPr="00BB64C6">
        <w:rPr>
          <w:rFonts w:ascii="Calibri" w:hAnsi="Calibri" w:cs="Calibri"/>
          <w:sz w:val="22"/>
          <w:szCs w:val="22"/>
        </w:rPr>
        <w:t xml:space="preserve"> — Broad and concise (58 cases, 33 modules) but lighter NFR depth/step detail. </w:t>
      </w:r>
    </w:p>
    <w:p w14:paraId="5D3549AA" w14:textId="77777777" w:rsidR="00BB64C6" w:rsidRPr="00BB64C6" w:rsidRDefault="00BB64C6" w:rsidP="00BB64C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B64C6">
        <w:rPr>
          <w:rFonts w:ascii="Calibri" w:hAnsi="Calibri" w:cs="Calibri"/>
          <w:b/>
          <w:bCs/>
          <w:sz w:val="22"/>
          <w:szCs w:val="22"/>
        </w:rPr>
        <w:t>Grok AI</w:t>
      </w:r>
      <w:r w:rsidRPr="00BB64C6">
        <w:rPr>
          <w:rFonts w:ascii="Calibri" w:hAnsi="Calibri" w:cs="Calibri"/>
          <w:sz w:val="22"/>
          <w:szCs w:val="22"/>
        </w:rPr>
        <w:t xml:space="preserve"> — Balanced/clean output; some assumptions beyond SRS; fewer </w:t>
      </w:r>
      <w:proofErr w:type="gramStart"/>
      <w:r w:rsidRPr="00BB64C6">
        <w:rPr>
          <w:rFonts w:ascii="Calibri" w:hAnsi="Calibri" w:cs="Calibri"/>
          <w:sz w:val="22"/>
          <w:szCs w:val="22"/>
        </w:rPr>
        <w:t>boundary</w:t>
      </w:r>
      <w:proofErr w:type="gramEnd"/>
      <w:r w:rsidRPr="00BB64C6">
        <w:rPr>
          <w:rFonts w:ascii="Calibri" w:hAnsi="Calibri" w:cs="Calibri"/>
          <w:sz w:val="22"/>
          <w:szCs w:val="22"/>
        </w:rPr>
        <w:t xml:space="preserve">/NFRs. </w:t>
      </w:r>
    </w:p>
    <w:p w14:paraId="6057DC57" w14:textId="77777777" w:rsidR="00BB64C6" w:rsidRDefault="00BB64C6" w:rsidP="00BB64C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BB64C6">
        <w:rPr>
          <w:rFonts w:ascii="Calibri" w:hAnsi="Calibri" w:cs="Calibri"/>
          <w:b/>
          <w:bCs/>
          <w:sz w:val="22"/>
          <w:szCs w:val="22"/>
        </w:rPr>
        <w:t>DeepSeek</w:t>
      </w:r>
      <w:r w:rsidRPr="00BB64C6">
        <w:rPr>
          <w:rFonts w:ascii="Calibri" w:hAnsi="Calibri" w:cs="Calibri"/>
          <w:sz w:val="22"/>
          <w:szCs w:val="22"/>
        </w:rPr>
        <w:t xml:space="preserve"> — Security/perf focus; narrower functional spread; spec divergence. </w:t>
      </w:r>
    </w:p>
    <w:p w14:paraId="17CDCD4E" w14:textId="77777777" w:rsidR="00BB64C6" w:rsidRDefault="00BB64C6" w:rsidP="00BB64C6">
      <w:pPr>
        <w:rPr>
          <w:rFonts w:ascii="Calibri" w:hAnsi="Calibri" w:cs="Calibri"/>
          <w:sz w:val="22"/>
          <w:szCs w:val="22"/>
        </w:rPr>
      </w:pPr>
    </w:p>
    <w:p w14:paraId="2507F07B" w14:textId="77777777" w:rsidR="00BB64C6" w:rsidRDefault="00BB64C6" w:rsidP="00BB64C6">
      <w:pPr>
        <w:rPr>
          <w:rFonts w:ascii="Calibri" w:hAnsi="Calibri" w:cs="Calibri"/>
          <w:sz w:val="22"/>
          <w:szCs w:val="22"/>
        </w:rPr>
      </w:pPr>
    </w:p>
    <w:p w14:paraId="13DF8050" w14:textId="37E77ECF" w:rsidR="00BB64C6" w:rsidRPr="00BB64C6" w:rsidRDefault="00BB64C6" w:rsidP="00BB64C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6F88FE9" wp14:editId="23DA2245">
            <wp:extent cx="5943600" cy="3686810"/>
            <wp:effectExtent l="0" t="0" r="0" b="8890"/>
            <wp:docPr id="1363424100" name="Picture 1" descr="A graph showing a number of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4100" name="Picture 1" descr="A graph showing a number of column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E2EF" w14:textId="712E08EB" w:rsidR="008C20FA" w:rsidRPr="00BB64C6" w:rsidRDefault="008C20FA" w:rsidP="00BB58DD">
      <w:pPr>
        <w:rPr>
          <w:rFonts w:ascii="Calibri" w:hAnsi="Calibri" w:cs="Calibri"/>
          <w:sz w:val="22"/>
          <w:szCs w:val="22"/>
        </w:rPr>
      </w:pPr>
    </w:p>
    <w:sectPr w:rsidR="008C20FA" w:rsidRPr="00BB6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891"/>
    <w:multiLevelType w:val="multilevel"/>
    <w:tmpl w:val="608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9D3"/>
    <w:multiLevelType w:val="hybridMultilevel"/>
    <w:tmpl w:val="2E2C9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D53BB7"/>
    <w:multiLevelType w:val="hybridMultilevel"/>
    <w:tmpl w:val="50B6B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35B39"/>
    <w:multiLevelType w:val="hybridMultilevel"/>
    <w:tmpl w:val="C5D05F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0C20D2"/>
    <w:multiLevelType w:val="multilevel"/>
    <w:tmpl w:val="B4C4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C56C9"/>
    <w:multiLevelType w:val="multilevel"/>
    <w:tmpl w:val="585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E664F"/>
    <w:multiLevelType w:val="hybridMultilevel"/>
    <w:tmpl w:val="5FB887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8E072BD"/>
    <w:multiLevelType w:val="multilevel"/>
    <w:tmpl w:val="0D1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334F6"/>
    <w:multiLevelType w:val="multilevel"/>
    <w:tmpl w:val="0384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D7FC2"/>
    <w:multiLevelType w:val="hybridMultilevel"/>
    <w:tmpl w:val="067283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BD83C20"/>
    <w:multiLevelType w:val="hybridMultilevel"/>
    <w:tmpl w:val="B450E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803758"/>
    <w:multiLevelType w:val="hybridMultilevel"/>
    <w:tmpl w:val="BE929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D6070D"/>
    <w:multiLevelType w:val="multilevel"/>
    <w:tmpl w:val="446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B115D"/>
    <w:multiLevelType w:val="hybridMultilevel"/>
    <w:tmpl w:val="7F44C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F106F5"/>
    <w:multiLevelType w:val="multilevel"/>
    <w:tmpl w:val="2B2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14794">
    <w:abstractNumId w:val="12"/>
  </w:num>
  <w:num w:numId="2" w16cid:durableId="1458792223">
    <w:abstractNumId w:val="7"/>
  </w:num>
  <w:num w:numId="3" w16cid:durableId="1359621691">
    <w:abstractNumId w:val="0"/>
  </w:num>
  <w:num w:numId="4" w16cid:durableId="1834685308">
    <w:abstractNumId w:val="5"/>
  </w:num>
  <w:num w:numId="5" w16cid:durableId="1471164826">
    <w:abstractNumId w:val="2"/>
  </w:num>
  <w:num w:numId="6" w16cid:durableId="822938386">
    <w:abstractNumId w:val="10"/>
  </w:num>
  <w:num w:numId="7" w16cid:durableId="1437481753">
    <w:abstractNumId w:val="11"/>
  </w:num>
  <w:num w:numId="8" w16cid:durableId="1357080785">
    <w:abstractNumId w:val="13"/>
  </w:num>
  <w:num w:numId="9" w16cid:durableId="1628974407">
    <w:abstractNumId w:val="8"/>
  </w:num>
  <w:num w:numId="10" w16cid:durableId="1307009215">
    <w:abstractNumId w:val="14"/>
  </w:num>
  <w:num w:numId="11" w16cid:durableId="286207299">
    <w:abstractNumId w:val="3"/>
  </w:num>
  <w:num w:numId="12" w16cid:durableId="1274096507">
    <w:abstractNumId w:val="9"/>
  </w:num>
  <w:num w:numId="13" w16cid:durableId="959453997">
    <w:abstractNumId w:val="6"/>
  </w:num>
  <w:num w:numId="14" w16cid:durableId="1046489390">
    <w:abstractNumId w:val="1"/>
  </w:num>
  <w:num w:numId="15" w16cid:durableId="1018433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9"/>
    <w:rsid w:val="00042BC1"/>
    <w:rsid w:val="001A5113"/>
    <w:rsid w:val="003411AC"/>
    <w:rsid w:val="003E7DD3"/>
    <w:rsid w:val="00447CC8"/>
    <w:rsid w:val="005F171F"/>
    <w:rsid w:val="006171F4"/>
    <w:rsid w:val="008C20FA"/>
    <w:rsid w:val="0090020D"/>
    <w:rsid w:val="00B05159"/>
    <w:rsid w:val="00BB58DD"/>
    <w:rsid w:val="00BB64C6"/>
    <w:rsid w:val="00C17B4C"/>
    <w:rsid w:val="00F062BD"/>
    <w:rsid w:val="00F324C9"/>
    <w:rsid w:val="00F56BA1"/>
    <w:rsid w:val="00F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FDE3"/>
  <w15:chartTrackingRefBased/>
  <w15:docId w15:val="{3628764E-9F15-47C9-977D-E74838F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E0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9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1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1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2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6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5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8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13</cp:revision>
  <dcterms:created xsi:type="dcterms:W3CDTF">2025-09-06T00:06:00Z</dcterms:created>
  <dcterms:modified xsi:type="dcterms:W3CDTF">2025-09-06T13:31:00Z</dcterms:modified>
</cp:coreProperties>
</file>