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tbl3_1 </w:instrText>
        <w:fldChar w:fldCharType="separate"/>
        <w:t xml:space="preserve">Table 3.1: Transformer Encoder model hyperparameters</w:t>
        <w:fldChar w:fldCharType="end"/>
        <w:tab/>
        <w:fldChar w:fldCharType="begin" w:dirty="true"/>
        <w:instrText xml:space="preserve"> PAGEREF tbl3_1 </w:instrText>
        <w:fldChar w:fldCharType="separate"/>
        <w:t xml:space="preserve">20</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tbl3_2 </w:instrText>
        <w:fldChar w:fldCharType="separate"/>
        <w:t xml:space="preserve">Table 3.2: Scheduler safety-rule thresholds</w:t>
        <w:fldChar w:fldCharType="end"/>
        <w:tab/>
        <w:fldChar w:fldCharType="begin" w:dirty="true"/>
        <w:instrText xml:space="preserve"> PAGEREF tbl3_2 </w:instrText>
        <w:fldChar w:fldCharType="separate"/>
        <w:t xml:space="preserve">21</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fig3_1 </w:instrText>
        <w:fldChar w:fldCharType="separate"/>
        <w:t xml:space="preserve">Fig. 3.1: MaHanya system architecture and process boundaries</w:t>
        <w:fldChar w:fldCharType="end"/>
        <w:tab/>
        <w:fldChar w:fldCharType="begin" w:dirty="true"/>
        <w:instrText xml:space="preserve"> PAGEREF fig3_1 </w:instrText>
        <w:fldChar w:fldCharType="separate"/>
        <w:t xml:space="preserve">15</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fig3_2 </w:instrText>
        <w:fldChar w:fldCharType="separate"/>
        <w:t xml:space="preserve">Fig. 3.2: MaHanya use case diagram</w:t>
        <w:fldChar w:fldCharType="end"/>
        <w:tab/>
        <w:fldChar w:fldCharType="begin" w:dirty="true"/>
        <w:instrText xml:space="preserve"> PAGEREF fig3_2 </w:instrText>
        <w:fldChar w:fldCharType="separate"/>
        <w:t xml:space="preserve">16</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fig3_3 </w:instrText>
        <w:fldChar w:fldCharType="separate"/>
        <w:t xml:space="preserve">Fig. 3.3: Runtime control-loop detail (observe, predict/pre-empt, validate, apply, log)</w:t>
        <w:fldChar w:fldCharType="end"/>
        <w:tab/>
        <w:fldChar w:fldCharType="begin" w:dirty="true"/>
        <w:instrText xml:space="preserve"> PAGEREF fig3_3 </w:instrText>
        <w:fldChar w:fldCharType="separate"/>
        <w:t xml:space="preserve">22</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fig3_4 </w:instrText>
        <w:fldChar w:fldCharType="separate"/>
        <w:t xml:space="preserve">Fig. 3.4: End-to-end pipeline, from field data collection to the dashboard</w:t>
        <w:fldChar w:fldCharType="end"/>
        <w:tab/>
        <w:fldChar w:fldCharType="begin" w:dirty="true"/>
        <w:instrText xml:space="preserve"> PAGEREF fig3_4 </w:instrText>
        <w:fldChar w:fldCharType="separate"/>
        <w:t xml:space="preserve">24</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fig3_5 </w:instrText>
        <w:fldChar w:fldCharType="separate"/>
        <w:t xml:space="preserve">Fig. 3.5: mahanya module dependency graph</w:t>
        <w:fldChar w:fldCharType="end"/>
        <w:tab/>
        <w:fldChar w:fldCharType="begin" w:dirty="true"/>
        <w:instrText xml:space="preserve"> PAGEREF fig3_5 </w:instrText>
        <w:fldChar w:fldCharType="separate"/>
        <w:t xml:space="preserve">25</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Four streams of prior work position MaHanya within the literature, taken up in turn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(drivers and pedestrians learn a consistent pattern)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(SCOOT and its Australian counterpart SCATS being the best known)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(the Transformer architecture, introduced by Vaswani et al. (2017) for natural-language sequence modelling)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and this project,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(including an emergency-vehicle class)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(here, a Poisson distribution per direction and period, following the usual first choice for independent, low-to-moderate-volume arrivals, with a negative binomial distribution as the documented fallback should the data prove over-dispersed)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(the specific contribution this project makes beyond reproducing an existing model architecture on a new junction)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whether it accepted, held, or overrode the model,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How MaHanya was analysed, designed, and built is set out below,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(the deterministic rule engine that is the sole authority over what signal state is actually applied)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(SUMO's own graphical network editor)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(fit, calibrate, generate, train, run, evaluate, serve-api, build-web)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(the system's safety-critical layer)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(structured identically to what a real field survey would produce and documented as such in the repository, so a genuine survey's counts can be substituted as a drop-in file replacement with no code changes) pending an actual field survey at the junction.</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(a four-way junction with one inbound and one outbound lane per approach, meeting at a single traffic-light-controlled node)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(no finite-state-machine library)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(observe, then either pre-empt or predict-and-validate, then apply, then log)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(current junction state, active phase, priority events, the model's recommendation next to the scheduler's actual decision, the historical decision log, and evaluation reports)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described above,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(green grass, dark asphalt, white lane paint, colour-coded per-lane stop-line signals, and flat rectangular vehicles)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(once under the full runtime control loop described in Section 3.7, and once under a fixed-time controller that cycles through the same nine-phase space on fixed, pre-set durations with no model input and no priority pre-emption)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