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the Sapon Under-bridge Junction, Abeokuta,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(minimum and maximum green time, yellow and all-red transition intervals, anti-starvation, and emergency-vehicle pre-emption)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(getting emergency vehicles through the junction faster)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TABLES</w:t>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tbl3_1 </w:instrText>
        <w:fldChar w:fldCharType="separate"/>
        <w:t xml:space="preserve">Table 3.1: Transformer Encoder model hyperparameters</w:t>
        <w:fldChar w:fldCharType="end"/>
        <w:tab/>
        <w:fldChar w:fldCharType="begin" w:dirty="true"/>
        <w:instrText xml:space="preserve"> PAGEREF tbl3_1 </w:instrText>
        <w:fldChar w:fldCharType="separate"/>
        <w:t xml:space="preserve">20</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tbl3_2 </w:instrText>
        <w:fldChar w:fldCharType="separate"/>
        <w:t xml:space="preserve">Table 3.2: Scheduler safety-rule thresholds</w:t>
        <w:fldChar w:fldCharType="end"/>
        <w:tab/>
        <w:fldChar w:fldCharType="begin" w:dirty="true"/>
        <w:instrText xml:space="preserve"> PAGEREF tbl3_2 </w:instrText>
        <w:fldChar w:fldCharType="separate"/>
        <w:t xml:space="preserve">21</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tbl4_1 </w:instrText>
        <w:fldChar w:fldCharType="separate"/>
        <w:t xml:space="preserve">Table 4.1: Fitted Poisson arrival-rate parameters by direction and period</w:t>
        <w:fldChar w:fldCharType="end"/>
        <w:tab/>
        <w:fldChar w:fldCharType="begin" w:dirty="true"/>
        <w:instrText xml:space="preserve"> PAGEREF tbl4_1 </w:instrText>
        <w:fldChar w:fldCharType="separate"/>
        <w:t xml:space="preserve">27</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tbl4_2 </w:instrText>
        <w:fldChar w:fldCharType="separate"/>
        <w:t xml:space="preserve">Table 4.2: Transformer Encoder training result</w:t>
        <w:fldChar w:fldCharType="end"/>
        <w:tab/>
        <w:fldChar w:fldCharType="begin" w:dirty="true"/>
        <w:instrText xml:space="preserve"> PAGEREF tbl4_2 </w:instrText>
        <w:fldChar w:fldCharType="separate"/>
        <w:t xml:space="preserve">28</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tbl4_3 </w:instrText>
        <w:fldChar w:fldCharType="separate"/>
        <w:t xml:space="preserve">Table 4.3: Intelligent controller vs. fixed-time baseline: Sapon Under-bridge Peak Hour scenario</w:t>
        <w:fldChar w:fldCharType="end"/>
        <w:tab/>
        <w:fldChar w:fldCharType="begin" w:dirty="true"/>
        <w:instrText xml:space="preserve"> PAGEREF tbl4_3 </w:instrText>
        <w:fldChar w:fldCharType="separate"/>
        <w:t xml:space="preserve">31</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tbl4_4 </w:instrText>
        <w:fldChar w:fldCharType="separate"/>
        <w:t xml:space="preserve">Table 4.4: Intelligent controller vs. fixed-time baseline: Sapon Under-bridge Off-Peak scenario</w:t>
        <w:fldChar w:fldCharType="end"/>
        <w:tab/>
        <w:fldChar w:fldCharType="begin" w:dirty="true"/>
        <w:instrText xml:space="preserve"> PAGEREF tbl4_4 </w:instrText>
        <w:fldChar w:fldCharType="separate"/>
        <w:t xml:space="preserve">32</w: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FIGURES</w:t>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fig3_1 </w:instrText>
        <w:fldChar w:fldCharType="separate"/>
        <w:t xml:space="preserve">Fig. 3.1: MaHanya system architecture and process boundaries</w:t>
        <w:fldChar w:fldCharType="end"/>
        <w:tab/>
        <w:fldChar w:fldCharType="begin" w:dirty="true"/>
        <w:instrText xml:space="preserve"> PAGEREF fig3_1 </w:instrText>
        <w:fldChar w:fldCharType="separate"/>
        <w:t xml:space="preserve">15</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fig3_2 </w:instrText>
        <w:fldChar w:fldCharType="separate"/>
        <w:t xml:space="preserve">Fig. 3.2: MaHanya use case diagram</w:t>
        <w:fldChar w:fldCharType="end"/>
        <w:tab/>
        <w:fldChar w:fldCharType="begin" w:dirty="true"/>
        <w:instrText xml:space="preserve"> PAGEREF fig3_2 </w:instrText>
        <w:fldChar w:fldCharType="separate"/>
        <w:t xml:space="preserve">16</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fig3_3 </w:instrText>
        <w:fldChar w:fldCharType="separate"/>
        <w:t xml:space="preserve">Fig. 3.3: Runtime control-loop detail (observe, predict/pre-empt, validate, apply, log)</w:t>
        <w:fldChar w:fldCharType="end"/>
        <w:tab/>
        <w:fldChar w:fldCharType="begin" w:dirty="true"/>
        <w:instrText xml:space="preserve"> PAGEREF fig3_3 </w:instrText>
        <w:fldChar w:fldCharType="separate"/>
        <w:t xml:space="preserve">22</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fig3_4 </w:instrText>
        <w:fldChar w:fldCharType="separate"/>
        <w:t xml:space="preserve">Fig. 3.4: End-to-end pipeline, from field data collection to the dashboard</w:t>
        <w:fldChar w:fldCharType="end"/>
        <w:tab/>
        <w:fldChar w:fldCharType="begin" w:dirty="true"/>
        <w:instrText xml:space="preserve"> PAGEREF fig3_4 </w:instrText>
        <w:fldChar w:fldCharType="separate"/>
        <w:t xml:space="preserve">24</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fig3_5 </w:instrText>
        <w:fldChar w:fldCharType="separate"/>
        <w:t xml:space="preserve">Fig. 3.5: mahanya module dependency graph</w:t>
        <w:fldChar w:fldCharType="end"/>
        <w:tab/>
        <w:fldChar w:fldCharType="begin" w:dirty="true"/>
        <w:instrText xml:space="preserve"> PAGEREF fig3_5 </w:instrText>
        <w:fldChar w:fldCharType="separate"/>
        <w:t xml:space="preserve">25</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fig4_1 </w:instrText>
        <w:fldChar w:fldCharType="separate"/>
        <w:t xml:space="preserve">Fig. 4.1: Live Junction dashboard during a live emergency-vehicle pre-emption event</w:t>
        <w:fldChar w:fldCharType="end"/>
        <w:tab/>
        <w:fldChar w:fldCharType="begin" w:dirty="true"/>
        <w:instrText xml:space="preserve"> PAGEREF fig4_1 </w:instrText>
        <w:fldChar w:fldCharType="separate"/>
        <w:t xml:space="preserve">29</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fig4_2 </w:instrText>
        <w:fldChar w:fldCharType="separate"/>
        <w:t xml:space="preserve">Fig. 4.2: Live Junction dashboard zoomed in on individual vehicles and per-lane signals</w:t>
        <w:fldChar w:fldCharType="end"/>
        <w:tab/>
        <w:fldChar w:fldCharType="begin" w:dirty="true"/>
        <w:instrText xml:space="preserve"> PAGEREF fig4_2 </w:instrText>
        <w:fldChar w:fldCharType="separate"/>
        <w:t xml:space="preserve">30</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fig4_3 </w:instrText>
        <w:fldChar w:fldCharType="separate"/>
        <w:t xml:space="preserve">Fig. 4.3: Decision Log page, listing scheduler decisions with their reason codes</w:t>
        <w:fldChar w:fldCharType="end"/>
        <w:tab/>
        <w:fldChar w:fldCharType="begin" w:dirty="true"/>
        <w:instrText xml:space="preserve"> PAGEREF fig4_3 </w:instrText>
        <w:fldChar w:fldCharType="separate"/>
        <w:t xml:space="preserve">31</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fig4_4 </w:instrText>
        <w:fldChar w:fldCharType="separate"/>
        <w:t xml:space="preserve">Fig. 4.4: Evaluation page comparing the intelligent controller against the fixed-time baseline</w:t>
        <w:fldChar w:fldCharType="end"/>
        <w:tab/>
        <w:fldChar w:fldCharType="begin" w:dirty="true"/>
        <w:instrText xml:space="preserve"> PAGEREF fig4_4 </w:instrText>
        <w:fldChar w:fldCharType="separate"/>
        <w:t xml:space="preserve">31</w: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(a window of recent per-direction counts, queue lengths, and phase history)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(for example, a phase change that skips a mandatory clearance interval, or a hold that starves an approach indefinitely)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the Sapon Under-bridge Junction in Abeokuta, Ogun State,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(new detector hardware, a new controller cabinet, a wider carriageway)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(a learned recommender wrapped by a deterministic safety layer)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(as an advisory recommender, never as the final authority)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the Sapon Under-bridge Junction, Abeokuta,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(structured identically to what a real Sapon Under-bridge Junction traffic survey would produce, and designed so that a genuine survey's data can be substituted with a drop-in file replacement and no code changes)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Four streams of prior work position MaHanya within the literature, taken up in turn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relies on, in place of physical field trials, following the same practice as the learned-control studies reviewed in Section 2.2.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(drivers and pedestrians learn a consistent pattern)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(SCOOT and its Australian counterpart SCATS being the best known)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(the Transformer architecture, introduced by Vaswani et al. (2017) for natural-language sequence modelling)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Most of the learned-control literature reviewed above (Section 2.2), and this project,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(including an emergency-vehicle class)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(here, a Poisson distribution per direction and period, following the usual first choice for independent, low-to-moderate-volume arrivals, with a negative binomial distribution as the documented fallback should the data prove over-dispersed)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(the specific contribution this project makes beyond reproducing an existing model architecture on a new junction)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whether it accepted, held, or overrode the model,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sz w:val="24"/>
          <w:szCs w:val="24"/>
        </w:rPr>
        <w:t xml:space="preserve">How MaHanya was analysed, designed, and built is set out below, in the order a reader encountering the system for the first time would need it explained. Section 3.1 gives a system-level overview of the two independently deployable projects that make up MaHanya and how they communicate, together with a use case diagram showing who and what interacts with the running system and why. Section 3.2 lists the development tools and technology stack the project depends on. Sections 3.3 through 3.6 describe the offline pipeline that produces a trained model: field data collection and statistical calibration, SUMO scenario calibration, sequence generation, and the Transformer Encoder model’s own design. Section 3.7 describes the priority-aware scheduler (the deterministic rule engine that is the sole authority over what signal state is actually applied) and Section 3.8 describes the dashboard that makes the running system’s behaviour visible and auditable in real time. Section 3.9 summarises the full pipeline end to end, Section 3.10 sets out the component and module design within the api/ and web/ projects, and Section 3.11 closes the chapter with the methodology used to evaluate the resulting controller against a fixed-time baseline.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3.1 System Overview</w:t>
      </w:r>
    </w:p>
    <w:p>
      <w:pPr>
        <w:spacing w:after="240" w:line="480" w:lineRule="auto"/>
        <w:jc w:val="both"/>
      </w:pPr>
      <w:r>
        <w:rPr>
          <w:rFonts w:ascii="Times New Roman" w:cs="Times New Roman" w:eastAsia="Times New Roman" w:hAnsi="Times New Roman"/>
          <w:sz w:val="24"/>
          <w:szCs w:val="24"/>
        </w:rPr>
        <w:t xml:space="preserve">MaHanya is organised as two independently deployable projects that communicate over a single internal HTTP/WebSocket boundary rather than through direct Python imports: an api/ service that owns the SUMO simulation process, the Transformer Encoder model, the deterministic scheduler, and an internal FastAPI relay; and a web/ service, a Next.js single-page application that renders the dashboard and never touches simulation internals directly. NetEdit (SUMO's own graphical network editor) is used once, by hand, to author the Sapon Under-bridge Junction's geometry; the resulting .net.xml, .rou.xml, and .sumocfg files are checked into the repository as data artefacts, not generated by application code. Figure 3.1 shows how these pieces fit together.</w:t>
      </w:r>
    </w:p>
    <w:p>
      <w:pPr>
        <w:spacing w:after="80" w:before="200"/>
        <w:jc w:val="center"/>
      </w:pPr>
      <w:r>
        <w:drawing>
          <wp:inline distT="0" distB="0" distL="0" distR="0">
            <wp:extent cx="5562600" cy="15785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1578501"/>
                    </a:xfrm>
                    <a:prstGeom prst="rect">
                      <a:avLst/>
                    </a:prstGeom>
                  </pic:spPr>
                </pic:pic>
              </a:graphicData>
            </a:graphic>
          </wp:inline>
        </w:drawing>
      </w:r>
    </w:p>
    <w:p>
      <w:pPr>
        <w:spacing w:after="240" w:line="240" w:lineRule="auto"/>
        <w:jc w:val="center"/>
      </w:pPr>
      <w:bookmarkStart w:name="fig3_1" w:id="1"/>
      <w:r>
        <w:rPr>
          <w:rFonts w:ascii="Times New Roman" w:cs="Times New Roman" w:eastAsia="Times New Roman" w:hAnsi="Times New Roman"/>
          <w:i/>
          <w:iCs/>
          <w:sz w:val="22"/>
          <w:szCs w:val="22"/>
        </w:rPr>
        <w:t xml:space="preserve">Fig. 3.1: MaHanya system architecture and process boundaries</w:t>
      </w:r>
      <w:bookmarkEnd w:id="1"/>
    </w:p>
    <w:p>
      <w:pPr>
        <w:spacing w:after="240" w:line="480" w:lineRule="auto"/>
        <w:jc w:val="both"/>
      </w:pPr>
      <w:r>
        <w:rPr>
          <w:rFonts w:ascii="Times New Roman" w:cs="Times New Roman" w:eastAsia="Times New Roman" w:hAnsi="Times New Roman"/>
          <w:sz w:val="24"/>
          <w:szCs w:val="24"/>
        </w:rPr>
        <w:t xml:space="preserve">The FastAPI backend is an internal process boundary, not a public API: it starts and owns the TraCI connection to a running SUMO process, advances the scheduler's control loop, persists a per-tick decision log, and relays each tick, together with the model's recommendation and the scheduler's actual decision, to the dashboard over a WebSocket. The dashboard is a static-exported Shadcn UI application that reads and renders that relay's output; it embeds no simulation engine of its own and never opens a TraCI connection directly, which keeps SUMO, PyTorch, and the scheduler's dependencies entirely on the Python side.</w:t>
      </w:r>
    </w:p>
    <w:p>
      <w:pPr>
        <w:spacing w:after="240" w:line="480" w:lineRule="auto"/>
        <w:jc w:val="both"/>
      </w:pPr>
      <w:r>
        <w:rPr>
          <w:rFonts w:ascii="Times New Roman" w:cs="Times New Roman" w:eastAsia="Times New Roman" w:hAnsi="Times New Roman"/>
          <w:sz w:val="24"/>
          <w:szCs w:val="24"/>
        </w:rPr>
        <w:t xml:space="preserve">Figure 3.2 shows the same system from a use case perspective. A traffic operator monitors live junction state, the scheduler’s decision log, and evaluation results through the dashboard, while an emergency vehicle detected by the simulation triggers pre-emption directly, short-circuiting the model’s own automatic phase-recommendation path. Both paths converge on a single use case, “Validate &amp; apply signal decision,” which is the scheduler’s rule engine described in Section 3.7 and the only path by which any signal state is ever actually applied.</w:t>
      </w:r>
    </w:p>
    <w:p>
      <w:pPr>
        <w:spacing w:after="80" w:before="200"/>
        <w:jc w:val="center"/>
      </w:pPr>
      <w:r>
        <w:drawing>
          <wp:inline distT="0" distB="0" distL="0" distR="0">
            <wp:extent cx="4800600" cy="2933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2933020"/>
                    </a:xfrm>
                    <a:prstGeom prst="rect">
                      <a:avLst/>
                    </a:prstGeom>
                  </pic:spPr>
                </pic:pic>
              </a:graphicData>
            </a:graphic>
          </wp:inline>
        </w:drawing>
      </w:r>
    </w:p>
    <w:p>
      <w:pPr>
        <w:spacing w:after="240" w:line="240" w:lineRule="auto"/>
        <w:jc w:val="center"/>
      </w:pPr>
      <w:bookmarkStart w:name="fig3_2" w:id="15"/>
      <w:r>
        <w:rPr>
          <w:rFonts w:ascii="Times New Roman" w:cs="Times New Roman" w:eastAsia="Times New Roman" w:hAnsi="Times New Roman"/>
          <w:i/>
          <w:iCs/>
          <w:sz w:val="22"/>
          <w:szCs w:val="22"/>
        </w:rPr>
        <w:t xml:space="preserve">Fig. 3.2: MaHanya use case diagram</w:t>
      </w:r>
      <w:bookmarkEnd w:id="15"/>
    </w:p>
    <w:p>
      <w:pPr>
        <w:pStyle w:val="Heading2"/>
        <w:keepNext/>
        <w:spacing w:after="200" w:before="320" w:line="360" w:lineRule="auto"/>
        <w:jc w:val="left"/>
      </w:pPr>
      <w:r>
        <w:rPr>
          <w:rFonts w:ascii="Times New Roman" w:cs="Times New Roman" w:eastAsia="Times New Roman" w:hAnsi="Times New Roman"/>
          <w:b/>
          <w:bCs/>
          <w:sz w:val="24"/>
          <w:szCs w:val="24"/>
        </w:rPr>
        <w:t xml:space="preserve">3.2 Development Tools and Technology Stack</w:t>
      </w:r>
    </w:p>
    <w:p>
      <w:pPr>
        <w:spacing w:after="240" w:line="480" w:lineRule="auto"/>
        <w:jc w:val="both"/>
      </w:pPr>
      <w:r>
        <w:rPr>
          <w:rFonts w:ascii="Times New Roman" w:cs="Times New Roman" w:eastAsia="Times New Roman" w:hAnsi="Times New Roman"/>
          <w:sz w:val="24"/>
          <w:szCs w:val="24"/>
        </w:rPr>
        <w:t xml:space="preserve">Python 3.11 was used for the simulation, model, and scheduler service, managed with uv for dependency and virtual-environment management, matching SUMO/TraCI's Python bindings and PyTorch's supported versions, with importable packages kept under a src/ layout separating them from the project's own tooling files and tests, following the Python Packaging Authority's (n.d.-b) documented guidance on src-layout versus flat-layout projects. SUMO, with its TraCI and sumolib Python bindings (Lopez et al., 2018), was chosen as the microsimulation engine because it is the open-source de facto standard for this problem class, with a mature control API and a built-in emergency vehicle class this project relies on directly. scipy.stats supplied the Poisson/negative-binomial distribution fitting used to calibrate arrival rates from field counts. PyTorch was used to implement the Transformer Encoder model (Vaswani et al., 2017), following the project's synopsis requirement of a lightweight (small layer/head count) architecture rather than a large pretrained one. pydantic v2 and pydantic-settings define every data contract exchanged between the simulation, the scheduler, the FastAPI relay, and the dashboard, and drive a single layered configuration object (in-code defaults, an optional config file, then CLI overrides) covering simulation parameters, model hyperparameters, and scheduler thresholds. Typer, packaged as a pyproject.toml console-script entry point following the Python Packaging Authority's guidance on creating and packaging command-line tools (Python Packaging Authority, n.d.-a) and Typer's own packaging documentation (Typer, n.d.), provides the project's command-line interface, exposing every pipeline stage (fit, calibrate, generate, train, run, evaluate, serve-api, build-web) as a typed, testable subcommand.</w:t>
      </w:r>
    </w:p>
    <w:p>
      <w:pPr>
        <w:spacing w:after="240" w:line="480" w:lineRule="auto"/>
        <w:jc w:val="both"/>
      </w:pPr>
      <w:r>
        <w:rPr>
          <w:rFonts w:ascii="Times New Roman" w:cs="Times New Roman" w:eastAsia="Times New Roman" w:hAnsi="Times New Roman"/>
          <w:sz w:val="24"/>
          <w:szCs w:val="24"/>
        </w:rPr>
        <w:t xml:space="preserve">The internal simulation backend is exposed to the dashboard through FastAPI, organised as resource-specific routers included under a single /api prefix at the application boundary, following FastAPI's own documented pattern for structuring a larger application across multiple files (FastAPI, n.d.). On the dashboard side, Next.js, configured for static-SPA export per its own documented guidance for static exports (Next.js, n.d.-b) with source kept under a self-contained src/ directory (Next.js, n.d.-a), and the Shadcn UI component library were used to build a componentised, accessible dashboard without embedding a server-rendering runtime the static export would otherwise require; pnpm manages the JavaScript/TypeScript toolchain. Pixi.js renders the live junction canvas (a WebGL-accelerated 2D scene graph well suited to redrawing dozens of moving vehicles at up to sixty frames per second without the DOM-diffing overhead a plain React re-render of that many elements would incur). Vitest and Playwright provide unit and end-to-end test coverage on the dashboard; pytest covers the Python side, with the scheduler's rule engine (the system's safety-critical layer) as the highest-priority unit-test target.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3.3 Field Data Collection and Statistical Calibration</w:t>
      </w:r>
    </w:p>
    <w:p>
      <w:pPr>
        <w:spacing w:after="240" w:line="480" w:lineRule="auto"/>
        <w:jc w:val="both"/>
      </w:pPr>
      <w:r>
        <w:rPr>
          <w:rFonts w:ascii="Times New Roman" w:cs="Times New Roman" w:eastAsia="Times New Roman" w:hAnsi="Times New Roman"/>
          <w:sz w:val="24"/>
          <w:szCs w:val="24"/>
        </w:rPr>
        <w:t xml:space="preserve">The system's calibration methodology requires vehicle-arrival counts collected at the Sapon Under-bridge Junction, per direction (north, south, east, west), across peak and off-peak sessions, recorded as five-minute interval counts (a session date, a direction, a period, an interval start time, the interval length in minutes, and the observed vehicle count). For this submission, that dataset is a synthetic placeholder (structured identically to what a real field survey would produce and documented as such in the repository, so a genuine survey's counts can be substituted as a drop-in file replacement with no code changes) pending an actual field survey at the junction.</w:t>
      </w:r>
    </w:p>
    <w:p>
      <w:pPr>
        <w:spacing w:after="240" w:line="480" w:lineRule="auto"/>
        <w:jc w:val="both"/>
      </w:pPr>
      <w:r>
        <w:rPr>
          <w:rFonts w:ascii="Times New Roman" w:cs="Times New Roman" w:eastAsia="Times New Roman" w:hAnsi="Times New Roman"/>
          <w:sz w:val="24"/>
          <w:szCs w:val="24"/>
        </w:rPr>
        <w:t xml:space="preserve">Each direction/period combination's counts are fit to a Poisson distribution using scipy.stats, with a chi-square goodness-of-fit test computed for every fit; a negative binomial distribution is the documented fallback should a given direction/period's counts prove over-dispersed relative to a Poisson assumption. The fitted rate parameter (λ, in vehicles per five-minute interval) for each of the eight direction/period combinations is what ultimately drives SUMO's vehicle-insertion process for that scenario, converted to a per-second insertion probability for the corresponding route flow.</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3.4 SUMO Scenario Calibration</w:t>
      </w:r>
    </w:p>
    <w:p>
      <w:pPr>
        <w:spacing w:after="240" w:line="480" w:lineRule="auto"/>
        <w:jc w:val="both"/>
      </w:pPr>
      <w:r>
        <w:rPr>
          <w:rFonts w:ascii="Times New Roman" w:cs="Times New Roman" w:eastAsia="Times New Roman" w:hAnsi="Times New Roman"/>
          <w:sz w:val="24"/>
          <w:szCs w:val="24"/>
        </w:rPr>
        <w:t xml:space="preserve">The Sapon Under-bridge Junction's physical geometry (a four-way junction with one inbound and one outbound lane per approach, meeting at a single traffic-light-controlled node) was authored once in NetEdit and checked in as sapon.net.xml. Two calibrated scenarios are generated programmatically from this shared network geometry, one per period: a peak-hour scenario and an off-peak scenario, each a matching pair of a route file (.rou.xml, defining one Poisson-rate vehicle flow per direction, drawn from the period's fitted parameters, plus a low-rate emergency-vehicle flow per direction so that pre-emption behaviour is exercised during evaluation) and a scenario configuration file (.sumocfg) binding the network, routes, and a thirty-minute simulated duration together for TraCI to load.</w:t>
      </w:r>
    </w:p>
    <w:p>
      <w:pPr>
        <w:spacing w:after="240" w:line="480" w:lineRule="auto"/>
        <w:jc w:val="both"/>
      </w:pPr>
      <w:r>
        <w:rPr>
          <w:rFonts w:ascii="Times New Roman" w:cs="Times New Roman" w:eastAsia="Times New Roman" w:hAnsi="Times New Roman"/>
          <w:sz w:val="24"/>
          <w:szCs w:val="24"/>
        </w:rPr>
        <w:t xml:space="preserve">The junction's signal logic follows the nine-state phase space documented as this project's default assumption pending confirmation against the real junction's surveyed geometry (see Section 1.6): one green phase per direction (NORTH_GREEN, SOUTH_GREEN, EAST_GREEN, WEST_GREEN), a matching yellow phase for each, and one shared ALL_RED clearance state used during every transition between two conflicting green phases.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3.5 Sequence Generation</w:t>
      </w:r>
    </w:p>
    <w:p>
      <w:pPr>
        <w:spacing w:after="240" w:line="480" w:lineRule="auto"/>
        <w:jc w:val="both"/>
      </w:pPr>
      <w:r>
        <w:rPr>
          <w:rFonts w:ascii="Times New Roman" w:cs="Times New Roman" w:eastAsia="Times New Roman" w:hAnsi="Times New Roman"/>
          <w:sz w:val="24"/>
          <w:szCs w:val="24"/>
        </w:rPr>
        <w:t xml:space="preserve">Labelled training data for the model is produced by running the calibrated peak scenario through TraCI for a fixed number of ticks under the scheduler's own control (so that the phase labels the model eventually learns to recommend are phases the scheduler itself judged correct, subject to its safety rules), logging one row per tick: per-direction vehicle count, queue length, waiting time, and emergency-vehicle presence; the active phase and elapsed phase time; and the scheduler's applied phase as the training label. These rows are written to a columnar Parquet file, chosen over CSV for this stage because the generated sequences are large enough that Parquet's compression and typed-column storage meaningfully reduce load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3.6 Transformer Encoder Model Design</w:t>
      </w:r>
    </w:p>
    <w:p>
      <w:pPr>
        <w:spacing w:after="240" w:line="480" w:lineRule="auto"/>
        <w:jc w:val="both"/>
      </w:pPr>
      <w:r>
        <w:rPr>
          <w:rFonts w:ascii="Times New Roman" w:cs="Times New Roman" w:eastAsia="Times New Roman" w:hAnsi="Times New Roman"/>
          <w:sz w:val="24"/>
          <w:szCs w:val="24"/>
        </w:rPr>
        <w:t xml:space="preserve">The phase-recommendation model is a small, custom nn.TransformerEncoder over an engineered per-tick feature vector, deliberately sized to be "lightweight" per the project's synopsis rather than a large, pretrained architecture: it consumes a fixed-length window of the sixteen most recent ticks, each represented as a short feature vector (per-direction vehicle count, queue length, waiting time, and emergency flag, i.e. four features per direction across four directions), and outputs a probability distribution over the nine-phase space, from which the recommended phase and a confidence score are read off as the arg-max and its associated probability. Table 3.1 lists the model's configured hyperparameters.</w:t>
      </w:r>
    </w:p>
    <w:p>
      <w:pPr>
        <w:keepNext/>
        <w:spacing w:after="120" w:before="200"/>
      </w:pPr>
      <w:bookmarkStart w:name="tbl3_1" w:id="2"/>
      <w:r>
        <w:rPr>
          <w:rFonts w:ascii="Times New Roman" w:cs="Times New Roman" w:eastAsia="Times New Roman" w:hAnsi="Times New Roman"/>
          <w:b/>
          <w:bCs/>
          <w:sz w:val="24"/>
          <w:szCs w:val="24"/>
        </w:rPr>
        <w:t xml:space="preserve">Table 3.1: Transformer Encoder model hyperparameters</w:t>
      </w:r>
      <w:bookmarkEnd w:id="2"/>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Hyperparameter</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Notes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Sequence length</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 ticks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The window of recent traffic state fed to the encoder.</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Model dimension (d_model)</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Kept small to satisfy the synopsis's "lightweight" requirement.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Attention heads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Multi-head self-attention over the 16-tick window.</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Encoder layers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Two stacked Transformer encoder layers.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Feed-forward dimension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Inner dimension of each layer's position-wise feed-forward network.</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Dropout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Applied within each encoder layer during training.</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Output classes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One per phase in the phase space (Section 3.4).</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Features per direction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Vehicle count, queue length, waiting time, emergency flag.</w:t>
            </w:r>
          </w:p>
        </w:tc>
      </w:tr>
    </w:tbl>
    <w:p>
      <w:pPr>
        <w:spacing w:after="240" w:line="480" w:lineRule="auto"/>
        <w:jc w:val="both"/>
      </w:pPr>
      <w:r>
        <w:rPr>
          <w:rFonts w:ascii="Times New Roman" w:cs="Times New Roman" w:eastAsia="Times New Roman" w:hAnsi="Times New Roman"/>
          <w:sz w:val="24"/>
          <w:szCs w:val="24"/>
        </w:rPr>
        <w:t xml:space="preserve">The model is trained with a standard cross-entropy classification objective against the scheduler-applied phase label from Section 3.5, using an 80/20 train/validation split over the generated windows. Because the model's output is never applied directly (Section 3.7), training and evaluating it is treated strictly as a supervised classification problem, not as an end-to-end reinforcement-learning or control problem: the model's job is only to propose a plausible phase, not to guarantee a safe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3.7 Priority-Aware Scheduler Design</w:t>
      </w:r>
    </w:p>
    <w:p>
      <w:pPr>
        <w:spacing w:after="240" w:line="480" w:lineRule="auto"/>
        <w:jc w:val="both"/>
      </w:pPr>
      <w:r>
        <w:rPr>
          <w:rFonts w:ascii="Times New Roman" w:cs="Times New Roman" w:eastAsia="Times New Roman" w:hAnsi="Times New Roman"/>
          <w:sz w:val="24"/>
          <w:szCs w:val="24"/>
        </w:rPr>
        <w:t xml:space="preserve">The scheduler is the system's sole authority over what signal state is actually applied; the model's output is advisory input only, and is never written to the simulated signal head without passing through the rule checks below first. It is implemented as plain, deterministic Python (no finite-state-machine library) because the rule set below covers a small, fixed number of states and transitions for a single junction, and exhaustively-unit-testable plain code is more transparent and auditable here than a general FSM abstraction would be for the marginal benefit it would offer at this scale. Table 3.2 lists the configured thresholds behind each rule.</w:t>
      </w:r>
    </w:p>
    <w:p>
      <w:pPr>
        <w:keepNext/>
        <w:spacing w:after="120" w:before="200"/>
      </w:pPr>
      <w:bookmarkStart w:name="tbl3_2" w:id="3"/>
      <w:r>
        <w:rPr>
          <w:rFonts w:ascii="Times New Roman" w:cs="Times New Roman" w:eastAsia="Times New Roman" w:hAnsi="Times New Roman"/>
          <w:b/>
          <w:bCs/>
          <w:sz w:val="24"/>
          <w:szCs w:val="24"/>
        </w:rPr>
        <w:t xml:space="preserve">Table 3.2: Scheduler safety-rule thresholds</w:t>
      </w:r>
      <w:bookmarkEnd w:id="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Rule</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Threshold</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Effect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Minimum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cannot end before 10 seconds have elapsed, regardless of the model's recommendation.</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Maximum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is forced to end once 60 seconds have elapsed, even under sustained one-directional demand.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Yellow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out of a green phase passes through 3 seconds of yellow before the next green begins.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All-red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additionally passes through 2 seconds where all approaches show red.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Anti-starvation wait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direction that has waited 90 seconds forces a phase change to serve it, overriding the model's recommendation.</w:t>
            </w:r>
          </w:p>
        </w:tc>
      </w:tr>
    </w:tbl>
    <w:p>
      <w:pPr>
        <w:spacing w:after="240" w:line="480" w:lineRule="auto"/>
        <w:jc w:val="both"/>
      </w:pPr>
      <w:r>
        <w:rPr>
          <w:rFonts w:ascii="Times New Roman" w:cs="Times New Roman" w:eastAsia="Times New Roman" w:hAnsi="Times New Roman"/>
          <w:sz w:val="24"/>
          <w:szCs w:val="24"/>
        </w:rPr>
        <w:t xml:space="preserve">Every control-loop tick follows the same five-step sequence (observe, then either pre-empt or predict-and-validate, then apply, then log) shown in Figure 3.3. An emergency-vehicle detection on any approach short-circuits the model entirely: the scheduler forces a safe green for the priority approach directly, without consulting the recommendation, and every tick this remains in effect is logged with the emergency_preempt reason code. In every other tick, the model's recommendation is checked against the minimum/maximum-green and anti-starvation rules above before being applied; the resulting decision is logged as model_accepted when the recommendation was applied unmodified, or with the specific overriding reason code (min_green_hold, max_green_force, or anti_starvation_force) when the scheduler held or forced a different phase than the one recommended. This is the mechanism behind the project's non-functional auditability requirement: nothing the scheduler does to a model recommendation is silent.</w:t>
      </w:r>
    </w:p>
    <w:p>
      <w:pPr>
        <w:spacing w:after="80" w:before="200"/>
        <w:jc w:val="center"/>
      </w:pPr>
      <w:r>
        <w:drawing>
          <wp:inline distT="0" distB="0" distL="0" distR="0">
            <wp:extent cx="2857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905250"/>
                    </a:xfrm>
                    <a:prstGeom prst="rect">
                      <a:avLst/>
                    </a:prstGeom>
                  </pic:spPr>
                </pic:pic>
              </a:graphicData>
            </a:graphic>
          </wp:inline>
        </w:drawing>
      </w:r>
    </w:p>
    <w:p>
      <w:pPr>
        <w:spacing w:after="240" w:line="240" w:lineRule="auto"/>
        <w:jc w:val="center"/>
      </w:pPr>
      <w:bookmarkStart w:name="fig3_3" w:id="4"/>
      <w:r>
        <w:rPr>
          <w:rFonts w:ascii="Times New Roman" w:cs="Times New Roman" w:eastAsia="Times New Roman" w:hAnsi="Times New Roman"/>
          <w:i/>
          <w:iCs/>
          <w:sz w:val="22"/>
          <w:szCs w:val="22"/>
        </w:rPr>
        <w:t xml:space="preserve">Fig. 3.3: Runtime control-loop detail (observe, predict/pre-empt, validate, apply, log)</w:t>
      </w:r>
      <w:bookmarkEnd w:id="4"/>
    </w:p>
    <w:p>
      <w:pPr>
        <w:spacing w:after="240" w:line="480" w:lineRule="auto"/>
        <w:jc w:val="both"/>
      </w:pPr>
      <w:r>
        <w:rPr>
          <w:rFonts w:ascii="Times New Roman" w:cs="Times New Roman" w:eastAsia="Times New Roman" w:hAnsi="Times New Roman"/>
          <w:sz w:val="24"/>
          <w:szCs w:val="24"/>
        </w:rPr>
        <w:t xml:space="preserve">Two failure modes are handled explicitly rather than left to crash the control loop. If model inference fails or times out, the scheduler falls back to holding the current phase until the minimum/maximum-green or anti-starvation rules themselves force a change; the deterministic layer never depends on the model succeeding. If an emergency vehicle is detected while a phase is mid-transition, pre-emption still takes effect at the next legal transition point rather than skipping the yellow/all-red clearance already in progress, since skipping a clearance interval would itself be unsafe.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3.8 Dashboard Design</w:t>
      </w:r>
    </w:p>
    <w:p>
      <w:pPr>
        <w:spacing w:after="240" w:line="480" w:lineRule="auto"/>
        <w:jc w:val="both"/>
      </w:pPr>
      <w:r>
        <w:rPr>
          <w:rFonts w:ascii="Times New Roman" w:cs="Times New Roman" w:eastAsia="Times New Roman" w:hAnsi="Times New Roman"/>
          <w:sz w:val="24"/>
          <w:szCs w:val="24"/>
        </w:rPr>
        <w:t xml:space="preserve">The dashboard is a Next.js single-page application, statically exported and served at the site root, built exclusively from Shadcn UI components and theme tokens. It never talks to TraCI, PyTorch, or the scheduler directly; every piece of state it renders (current junction state, active phase, priority events, the model's recommendation next to the scheduler's actual decision, the historical decision log, and evaluation reports) is read from the internal FastAPI relay's /api/* endpoints, over a WebSocket for live simulation ticks and plain HTTP for snapshot and historical queries. Four pages make up the dashboard: Live State, which renders the junction itself on an interactive canvas (Section 3.8.1); Decision Log, a filterable, sortable table of every scheduler decision and its reason code; Evaluation, which runs and displays the intelligent-controller-versus-fixed-time-baseline comparison described in Section 3.9; and Methodology, a plain-language walkthrough of the pipeline described above, included for a non-technical dashboard visitor.</w:t>
      </w:r>
    </w:p>
    <w:p>
      <w:pPr>
        <w:pStyle w:val="Heading3"/>
        <w:keepNext/>
        <w:spacing w:after="160" w:before="240" w:line="360" w:lineRule="auto"/>
        <w:jc w:val="left"/>
      </w:pPr>
      <w:r>
        <w:rPr>
          <w:rFonts w:ascii="Times New Roman" w:cs="Times New Roman" w:eastAsia="Times New Roman" w:hAnsi="Times New Roman"/>
          <w:i/>
          <w:iCs/>
          <w:sz w:val="24"/>
          <w:szCs w:val="24"/>
        </w:rPr>
        <w:t xml:space="preserve">3.8.1 The Live Junction Canvas</w:t>
      </w:r>
    </w:p>
    <w:p>
      <w:pPr>
        <w:spacing w:after="240" w:line="480" w:lineRule="auto"/>
        <w:jc w:val="both"/>
      </w:pPr>
      <w:r>
        <w:rPr>
          <w:rFonts w:ascii="Times New Roman" w:cs="Times New Roman" w:eastAsia="Times New Roman" w:hAnsi="Times New Roman"/>
          <w:sz w:val="24"/>
          <w:szCs w:val="24"/>
        </w:rPr>
        <w:t xml:space="preserve">The junction itself is rendered on a Pixi.js WebGL canvas built to read as a faithful, top-down replica of SUMO-GUI's own visual language (green grass, dark asphalt, white lane paint, colour-coded per-lane stop-line signals, and flat rectangular vehicles) rather than a stylised reinterpretation, since the goal is for a viewer already familiar with SUMO's own tooling to recognise the junction immediately. Vehicle positions, the active phase, and per-approach queue state are redrawn every tick from the relayed traffic state; a lightweight cosmetic widening renders each simulated lane as three drawn lanes for visual clarity, documented in the source as a purely cosmetic choice and not a claim that the underlying simulation itself models extra lanes. The canvas supports wheel-zoom, drag-pan, and touch pinch-zoom, with a reset-to-fit control, so a viewer can zoom in on per-lane signal and vehicle detail while still being able to see the full, longer approach roads at a glance.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3.9 Pipeline Summary</w:t>
      </w:r>
    </w:p>
    <w:p>
      <w:pPr>
        <w:spacing w:after="240" w:line="480" w:lineRule="auto"/>
        <w:jc w:val="both"/>
      </w:pPr>
      <w:r>
        <w:rPr>
          <w:rFonts w:ascii="Times New Roman" w:cs="Times New Roman" w:eastAsia="Times New Roman" w:hAnsi="Times New Roman"/>
          <w:sz w:val="24"/>
          <w:szCs w:val="24"/>
        </w:rPr>
        <w:t xml:space="preserve">Figure 3.4 summarises the full pipeline described across Sections 3.3 to 3.8, from field data collection through to the dashboard, showing which stages are offline/batch (data collection, distribution fitting, SUMO calibration, sequence generation, model training, evaluation) and which run live (the runtime control loop and the dashboard it feeds).</w:t>
      </w:r>
    </w:p>
    <w:p>
      <w:pPr>
        <w:spacing w:after="80" w:before="200"/>
        <w:jc w:val="center"/>
      </w:pPr>
      <w:r>
        <w:drawing>
          <wp:inline distT="0" distB="0" distL="0" distR="0">
            <wp:extent cx="5562600" cy="145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1450998"/>
                    </a:xfrm>
                    <a:prstGeom prst="rect">
                      <a:avLst/>
                    </a:prstGeom>
                  </pic:spPr>
                </pic:pic>
              </a:graphicData>
            </a:graphic>
          </wp:inline>
        </w:drawing>
      </w:r>
    </w:p>
    <w:p>
      <w:pPr>
        <w:spacing w:after="240" w:line="240" w:lineRule="auto"/>
        <w:jc w:val="center"/>
      </w:pPr>
      <w:bookmarkStart w:name="fig3_4" w:id="5"/>
      <w:r>
        <w:rPr>
          <w:rFonts w:ascii="Times New Roman" w:cs="Times New Roman" w:eastAsia="Times New Roman" w:hAnsi="Times New Roman"/>
          <w:i/>
          <w:iCs/>
          <w:sz w:val="22"/>
          <w:szCs w:val="22"/>
        </w:rPr>
        <w:t xml:space="preserve">Fig. 3.4: End-to-end pipeline, from field data collection to the dashboard</w:t>
      </w:r>
      <w:bookmarkEnd w:id="5"/>
    </w:p>
    <w:p>
      <w:pPr>
        <w:pStyle w:val="Heading2"/>
        <w:keepNext/>
        <w:spacing w:after="200" w:before="320" w:line="360" w:lineRule="auto"/>
        <w:jc w:val="left"/>
      </w:pPr>
      <w:r>
        <w:rPr>
          <w:rFonts w:ascii="Times New Roman" w:cs="Times New Roman" w:eastAsia="Times New Roman" w:hAnsi="Times New Roman"/>
          <w:b/>
          <w:bCs/>
          <w:sz w:val="24"/>
          <w:szCs w:val="24"/>
        </w:rPr>
        <w:t xml:space="preserve">3.10 Component and Module Design</w:t>
      </w:r>
    </w:p>
    <w:p>
      <w:pPr>
        <w:spacing w:after="240" w:line="480" w:lineRule="auto"/>
        <w:jc w:val="both"/>
      </w:pPr>
      <w:r>
        <w:rPr>
          <w:rFonts w:ascii="Times New Roman" w:cs="Times New Roman" w:eastAsia="Times New Roman" w:hAnsi="Times New Roman"/>
          <w:sz w:val="24"/>
          <w:szCs w:val="24"/>
        </w:rPr>
        <w:t xml:space="preserve">Within the api/ service, the Python package mahanya owns every domain concern: schemas (the shared data contracts every other module depends on), data (ingestion and distribution fitting), sumo (the thin TraCI client and its translation into the schemas' traffic-state contract), model (feature engineering, the Transformer definition, training, and inference), scheduler (the rule engine and one-tick control-loop orchestration), and evaluation (the fixed-time baseline controller and the metrics module), while core and routes implement the internal FastAPI relay as a thin layer on top of mahanya, and cli exposes the whole pipeline as Typer subcommands. Figure 3.5 shows the resulting dependency direction: scheduler is the only mahanya module allowed to depend on both sumo and model, since orchestrating one control-loop tick is specifically its job, and every dependency in the graph points toward schemas, never away from it, so that the shared data contracts never depend on any one module's internals.</w:t>
      </w:r>
    </w:p>
    <w:p>
      <w:pPr>
        <w:spacing w:after="80" w:before="200"/>
        <w:jc w:val="center"/>
      </w:pPr>
      <w:r>
        <w:drawing>
          <wp:inline distT="0" distB="0" distL="0" distR="0">
            <wp:extent cx="3238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962150"/>
                    </a:xfrm>
                    <a:prstGeom prst="rect">
                      <a:avLst/>
                    </a:prstGeom>
                  </pic:spPr>
                </pic:pic>
              </a:graphicData>
            </a:graphic>
          </wp:inline>
        </w:drawing>
      </w:r>
    </w:p>
    <w:p>
      <w:pPr>
        <w:spacing w:after="240" w:line="240" w:lineRule="auto"/>
        <w:jc w:val="center"/>
      </w:pPr>
      <w:bookmarkStart w:name="fig3_5" w:id="6"/>
      <w:r>
        <w:rPr>
          <w:rFonts w:ascii="Times New Roman" w:cs="Times New Roman" w:eastAsia="Times New Roman" w:hAnsi="Times New Roman"/>
          <w:i/>
          <w:iCs/>
          <w:sz w:val="22"/>
          <w:szCs w:val="22"/>
        </w:rPr>
        <w:t xml:space="preserve">Fig. 3.5: mahanya module dependency graph</w:t>
      </w:r>
      <w:bookmarkEnd w:id="6"/>
    </w:p>
    <w:p>
      <w:pPr>
        <w:pStyle w:val="Heading2"/>
        <w:keepNext/>
        <w:spacing w:after="200" w:before="320" w:line="360" w:lineRule="auto"/>
        <w:jc w:val="left"/>
      </w:pPr>
      <w:r>
        <w:rPr>
          <w:rFonts w:ascii="Times New Roman" w:cs="Times New Roman" w:eastAsia="Times New Roman" w:hAnsi="Times New Roman"/>
          <w:b/>
          <w:bCs/>
          <w:sz w:val="24"/>
          <w:szCs w:val="24"/>
        </w:rPr>
        <w:t xml:space="preserve">3.11 Evaluation Methodology</w:t>
      </w:r>
    </w:p>
    <w:p>
      <w:pPr>
        <w:spacing w:after="240" w:line="480" w:lineRule="auto"/>
        <w:jc w:val="both"/>
      </w:pPr>
      <w:r>
        <w:rPr>
          <w:rFonts w:ascii="Times New Roman" w:cs="Times New Roman" w:eastAsia="Times New Roman" w:hAnsi="Times New Roman"/>
          <w:sz w:val="24"/>
          <w:szCs w:val="24"/>
        </w:rPr>
        <w:t xml:space="preserve">The intelligent controller is evaluated against a fixed-time baseline controller on the same calibrated scenario, run twice under identical conditions (once under the full runtime control loop described in Section 3.7, and once under a fixed-time controller that cycles through the same nine-phase space on fixed, pre-set durations with no model input and no priority pre-emption) so that any difference in the reported metrics is attributable to the controller, not to a difference in the traffic itself. Four metrics are computed from the logged state of each run: average waiting time (seconds), average queue length (vehicles), throughput (vehicles cleared per hour), and priority-vehicle (emergency) response time (seconds, from an emergency vehicle's detection to its clearing the junction). Runs are seeded, so the same scenario and seed reproduce the same vehicle-arrival sequence under both controllers, making the comparison a controlled one rather than a comparison across two different, randomly-drawn traffic samples.</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sz w:val="24"/>
          <w:szCs w:val="24"/>
        </w:rPr>
        <w:t xml:space="preserve">What was actually built and measured is reported below, following the same order as the pipeline described in Chapter Three. Section 4.1 gives a brief implementation overview. Section 4.2 reports the field data collection and statistical calibration results: the fitted arrival-rate parameters the SUMO scenarios were built from. Section 4.3 reports the Transformer Encoder’s training result. Section 4.4 walks through the live dashboard as it actually renders a running scenario. Section 4.5 reports the intelligent controller’s evaluation against the fixed-time baseline on both the peak and off-peak scenarios, and Section 4.6 summarises the project’s test coverage. Section 4.7 then discusses what these results, taken together, say about the proposed solution: where it succeeds, where it does not yet outperform the baseline, and why.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4.1 Implementation Overview</w:t>
      </w:r>
    </w:p>
    <w:p>
      <w:pPr>
        <w:spacing w:after="240" w:line="480" w:lineRule="auto"/>
        <w:jc w:val="both"/>
      </w:pPr>
      <w:r>
        <w:rPr>
          <w:rFonts w:ascii="Times New Roman" w:cs="Times New Roman" w:eastAsia="Times New Roman" w:hAnsi="Times New Roman"/>
          <w:sz w:val="24"/>
          <w:szCs w:val="24"/>
        </w:rPr>
        <w:t xml:space="preserve">Every stage of the pipeline described in Chapter Three was implemented and exercised end-to-end, from raw counts through to a live, evaluated dashboard, using the Typer command-line interface's pipeline subcommands: fit, calibrate, generate, train, run, evaluate, serve-api, and build-web. All results reported below were produced by actually running this pipeline against the calibrated Sapon Under-bridge Junction scenarios (a real SUMO simulation process controlled over TraCI, a real trained model checkpoint, and a real FastAPI relay and Next.js dashboard, not simulated or hand-authored output), so the figures and tables below are reproducible by re-running the same commands.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4.2 Data Collection and Calibration Results</w:t>
      </w:r>
    </w:p>
    <w:p>
      <w:pPr>
        <w:spacing w:after="240" w:line="480" w:lineRule="auto"/>
        <w:jc w:val="both"/>
      </w:pPr>
      <w:r>
        <w:rPr>
          <w:rFonts w:ascii="Times New Roman" w:cs="Times New Roman" w:eastAsia="Times New Roman" w:hAnsi="Times New Roman"/>
          <w:sz w:val="24"/>
          <w:szCs w:val="24"/>
        </w:rPr>
        <w:t xml:space="preserve">Table 4.1 reports the Poisson rate parameter (λ, mean arrivals per five-minute interval) fitted for each of the four junction directions across both the peak and off-peak periods, together with each fit's chi-square goodness-of-fit statistic and p-value. Seven of the eight direction/period combinations show no significant departure from a Poisson arrival process at the 5% level (p &gt; 0.05); the south approach's peak-period fit is the one exception, with a p-value of 0.032, indicating the observed counts are more dispersed than a pure Poisson process would predict for that specific direction and period. This is flagged rather than silently accepted: it is a specific, actionable candidate for re-fitting to a negative binomial distribution (the documented fallback for over-dispersed arrivals) in a future calibration pass.</w:t>
      </w:r>
    </w:p>
    <w:p>
      <w:pPr>
        <w:keepNext/>
        <w:spacing w:after="120" w:before="200"/>
      </w:pPr>
      <w:bookmarkStart w:name="tbl4_1" w:id="7"/>
      <w:r>
        <w:rPr>
          <w:rFonts w:ascii="Times New Roman" w:cs="Times New Roman" w:eastAsia="Times New Roman" w:hAnsi="Times New Roman"/>
          <w:b/>
          <w:bCs/>
          <w:sz w:val="24"/>
          <w:szCs w:val="24"/>
        </w:rPr>
        <w:t xml:space="preserve">Table 4.1: Fitted Poisson arrival-rate parameters by direction and period</w:t>
      </w:r>
      <w:bookmarkEnd w:id="7"/>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1400"/>
        <w:gridCol w:w="1700"/>
        <w:gridCol w:w="1700"/>
        <w:gridCol w:w="2500"/>
      </w:tblGrid>
      <w:tr>
        <w:trPr>
          <w:tblHeader/>
        </w:trPr>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Direction</w:t>
            </w:r>
          </w:p>
        </w:tc>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Period</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λ (veh/5 min)</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χ² p-value</w:t>
            </w:r>
          </w:p>
        </w:tc>
        <w:tc>
          <w:tcPr>
            <w:tcW w:type="dxa" w:w="25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Fit quality</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9.94</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0.120</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0.895</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10.33</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0.032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Over-dispersed (p &lt;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0.312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5.78</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0.393</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0.539</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6.61</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0.688</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0.152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bl>
    <w:p>
      <w:pPr>
        <w:spacing w:after="240" w:line="480" w:lineRule="auto"/>
        <w:jc w:val="both"/>
      </w:pPr>
      <w:r>
        <w:rPr>
          <w:rFonts w:ascii="Times New Roman" w:cs="Times New Roman" w:eastAsia="Times New Roman" w:hAnsi="Times New Roman"/>
          <w:sz w:val="24"/>
          <w:szCs w:val="24"/>
        </w:rPr>
        <w:t xml:space="preserve">These fits confirm the expected shape of the underlying (synthetic placeholder, per Section 1.6) dataset: every direction shows a materially higher arrival rate in the peak period than off-peak, with north and south (the two approaches carrying the junction's principal through-movement in this scenario) showing the heaviest peak-period demand at λ ≈ 10 vehicles per five-minute interval, roughly three times their own off-peak rate.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4.3 Model Training Result</w:t>
      </w:r>
    </w:p>
    <w:p>
      <w:pPr>
        <w:spacing w:after="240" w:line="480" w:lineRule="auto"/>
        <w:jc w:val="both"/>
      </w:pPr>
      <w:r>
        <w:rPr>
          <w:rFonts w:ascii="Times New Roman" w:cs="Times New Roman" w:eastAsia="Times New Roman" w:hAnsi="Times New Roman"/>
          <w:sz w:val="24"/>
          <w:szCs w:val="24"/>
        </w:rPr>
        <w:t xml:space="preserve">The Transformer Encoder described in Section 3.6 was trained for ten epochs on sequences generated from a 1,200-tick run of the calibrated peak scenario under the scheduler's own control, split into 648 training windows and 161 validation windows. Table 4.2 reports the resulting loss and accuracy.</w:t>
      </w:r>
    </w:p>
    <w:p>
      <w:pPr>
        <w:keepNext/>
        <w:spacing w:after="120" w:before="200"/>
      </w:pPr>
      <w:bookmarkStart w:name="tbl4_2" w:id="8"/>
      <w:r>
        <w:rPr>
          <w:rFonts w:ascii="Times New Roman" w:cs="Times New Roman" w:eastAsia="Times New Roman" w:hAnsi="Times New Roman"/>
          <w:b/>
          <w:bCs/>
          <w:sz w:val="24"/>
          <w:szCs w:val="24"/>
        </w:rPr>
        <w:t xml:space="preserve">Table 4.2: Transformer Encoder training result</w:t>
      </w:r>
      <w:bookmarkEnd w:id="8"/>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4700"/>
        <w:gridCol w:w="4000"/>
      </w:tblGrid>
      <w:tr>
        <w:trPr>
          <w:tblHeader/>
        </w:trPr>
        <w:tc>
          <w:tcPr>
            <w:tcW w:type="dxa" w:w="4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40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Training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648</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Validation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161</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Epochs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training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0.147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0.227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accuracy</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91.9%</w:t>
            </w:r>
          </w:p>
        </w:tc>
      </w:tr>
    </w:tbl>
    <w:p>
      <w:pPr>
        <w:spacing w:after="240" w:line="480" w:lineRule="auto"/>
        <w:jc w:val="both"/>
      </w:pPr>
      <w:r>
        <w:rPr>
          <w:rFonts w:ascii="Times New Roman" w:cs="Times New Roman" w:eastAsia="Times New Roman" w:hAnsi="Times New Roman"/>
          <w:sz w:val="24"/>
          <w:szCs w:val="24"/>
        </w:rPr>
        <w:t xml:space="preserve">A validation accuracy of 91.9% means the model correctly recommends the same phase the scheduler itself ultimately applied on roughly nine out of every ten held-out ticks; the remaining cases are, by design, not a safety concern, since every recommendation, correct or not, passes through the scheduler's rule checks in Section 3.7 before being applied, and an incorrect recommendation the scheduler overrides simply shows up in the decision log with its own reason code (Section 4.4) rather than reaching the simulated signal head.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4.4 The Live Dashboard</w:t>
      </w:r>
    </w:p>
    <w:p>
      <w:pPr>
        <w:spacing w:after="240" w:line="480" w:lineRule="auto"/>
        <w:jc w:val="both"/>
      </w:pPr>
      <w:r>
        <w:rPr>
          <w:rFonts w:ascii="Times New Roman" w:cs="Times New Roman" w:eastAsia="Times New Roman" w:hAnsi="Times New Roman"/>
          <w:sz w:val="24"/>
          <w:szCs w:val="24"/>
        </w:rPr>
        <w:t xml:space="preserve">Figure 4.1 shows the Live State page's junction canvas during an actual live emergency-vehicle pre-emption event, captured mid-run from a real SUMO simulation of the peak scenario (not a mocked or scripted screenshot): tick 302, an emergency vehicle detected on the south approach, the scheduler holding SOUTH_GREEN and logging the decision with the emergency_preempt reason code, and the model's own recommendation for that tick shown as bypassed alongside the phase actually applied.</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1" w:id="9"/>
      <w:r>
        <w:rPr>
          <w:rFonts w:ascii="Times New Roman" w:cs="Times New Roman" w:eastAsia="Times New Roman" w:hAnsi="Times New Roman"/>
          <w:i/>
          <w:iCs/>
          <w:sz w:val="22"/>
          <w:szCs w:val="22"/>
        </w:rPr>
        <w:t xml:space="preserve">Fig. 4.1: Live Junction dashboard during a live emergency-vehicle pre-emption event</w:t>
      </w:r>
      <w:bookmarkEnd w:id="9"/>
    </w:p>
    <w:p>
      <w:pPr>
        <w:spacing w:after="240" w:line="480" w:lineRule="auto"/>
        <w:jc w:val="both"/>
      </w:pPr>
      <w:r>
        <w:rPr>
          <w:rFonts w:ascii="Times New Roman" w:cs="Times New Roman" w:eastAsia="Times New Roman" w:hAnsi="Times New Roman"/>
          <w:sz w:val="24"/>
          <w:szCs w:val="24"/>
        </w:rPr>
        <w:t xml:space="preserve">Figure 4.2 shows the same canvas zoomed in (261% of the fit-to-frame scale, reached with the wheel-zoom control described in Section 3.8.1), during a routine, non-emergency tick where the scheduler is holding the East approach's green phase for its minimum green duration: individual vehicles, the per-lane signal ticks, and the min_green_hold reason code are all legible at this zoom level, which is the reason the zoom/pan control was added: the un-zoomed view in Figure 4.1 is deliberately proportioned to show the full, longer approach roads, and only zooming reveals this level of per-lane detail.</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2" w:id="10"/>
      <w:r>
        <w:rPr>
          <w:rFonts w:ascii="Times New Roman" w:cs="Times New Roman" w:eastAsia="Times New Roman" w:hAnsi="Times New Roman"/>
          <w:i/>
          <w:iCs/>
          <w:sz w:val="22"/>
          <w:szCs w:val="22"/>
        </w:rPr>
        <w:t xml:space="preserve">Fig. 4.2: Live Junction dashboard zoomed in on individual vehicles and per-lane signals</w:t>
      </w:r>
      <w:bookmarkEnd w:id="10"/>
    </w:p>
    <w:p>
      <w:pPr>
        <w:spacing w:after="240" w:line="480" w:lineRule="auto"/>
        <w:jc w:val="both"/>
      </w:pPr>
      <w:r>
        <w:rPr>
          <w:rFonts w:ascii="Times New Roman" w:cs="Times New Roman" w:eastAsia="Times New Roman" w:hAnsi="Times New Roman"/>
          <w:sz w:val="24"/>
          <w:szCs w:val="24"/>
        </w:rPr>
        <w:t xml:space="preserve">Figure 4.3 shows the Decision Log page, which lists every scheduler decision (tick, timestamp, the model's recommendation, the phase actually applied, and the reason code), filterable by reason code, giving a reviewer a complete, chronological audit trail of every point at which the scheduler accepted, held, or overrode the model.</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3" w:id="11"/>
      <w:r>
        <w:rPr>
          <w:rFonts w:ascii="Times New Roman" w:cs="Times New Roman" w:eastAsia="Times New Roman" w:hAnsi="Times New Roman"/>
          <w:i/>
          <w:iCs/>
          <w:sz w:val="22"/>
          <w:szCs w:val="22"/>
        </w:rPr>
        <w:t xml:space="preserve">Fig. 4.3: Decision Log page, listing scheduler decisions with their reason codes</w:t>
      </w:r>
      <w:bookmarkEnd w:id="11"/>
    </w:p>
    <w:p>
      <w:pPr>
        <w:spacing w:after="240" w:line="480" w:lineRule="auto"/>
        <w:jc w:val="both"/>
      </w:pPr>
      <w:r>
        <w:rPr>
          <w:rFonts w:ascii="Times New Roman" w:cs="Times New Roman" w:eastAsia="Times New Roman" w:hAnsi="Times New Roman"/>
          <w:sz w:val="24"/>
          <w:szCs w:val="24"/>
        </w:rPr>
        <w:t xml:space="preserve">Figure 4.4 shows the Evaluation page's interface for running and comparing the intelligent controller against the fixed-time baseline described in Section 3.11; the numeric results actually obtained from this evaluation, on both the peak and off-peak scenarios, are reported and discussed in Section 4.5 below.</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4" w:id="12"/>
      <w:r>
        <w:rPr>
          <w:rFonts w:ascii="Times New Roman" w:cs="Times New Roman" w:eastAsia="Times New Roman" w:hAnsi="Times New Roman"/>
          <w:i/>
          <w:iCs/>
          <w:sz w:val="22"/>
          <w:szCs w:val="22"/>
        </w:rPr>
        <w:t xml:space="preserve">Fig. 4.4: Evaluation page comparing the intelligent controller against the fixed-time baseline</w:t>
      </w:r>
      <w:bookmarkEnd w:id="12"/>
    </w:p>
    <w:p>
      <w:pPr>
        <w:pStyle w:val="Heading2"/>
        <w:keepNext/>
        <w:spacing w:after="200" w:before="320" w:line="360" w:lineRule="auto"/>
        <w:jc w:val="left"/>
      </w:pPr>
      <w:r>
        <w:rPr>
          <w:rFonts w:ascii="Times New Roman" w:cs="Times New Roman" w:eastAsia="Times New Roman" w:hAnsi="Times New Roman"/>
          <w:b/>
          <w:bCs/>
          <w:sz w:val="24"/>
          <w:szCs w:val="24"/>
        </w:rPr>
        <w:t xml:space="preserve">4.5 Evaluation: Intelligent Controller vs. Fixed-Time Baseline</w:t>
      </w:r>
    </w:p>
    <w:p>
      <w:pPr>
        <w:spacing w:after="240" w:line="480" w:lineRule="auto"/>
        <w:jc w:val="both"/>
      </w:pPr>
      <w:r>
        <w:rPr>
          <w:rFonts w:ascii="Times New Roman" w:cs="Times New Roman" w:eastAsia="Times New Roman" w:hAnsi="Times New Roman"/>
          <w:sz w:val="24"/>
          <w:szCs w:val="24"/>
        </w:rPr>
        <w:t xml:space="preserve">The intelligent controller and the fixed-time baseline were each run for 900 ticks (fifteen simulated minutes) on both the calibrated peak and off-peak scenarios. Tables 4.3 and 4.4 report the results.</w:t>
      </w:r>
    </w:p>
    <w:p>
      <w:pPr>
        <w:keepNext/>
        <w:spacing w:after="120" w:before="200"/>
      </w:pPr>
      <w:bookmarkStart w:name="tbl4_3" w:id="13"/>
      <w:r>
        <w:rPr>
          <w:rFonts w:ascii="Times New Roman" w:cs="Times New Roman" w:eastAsia="Times New Roman" w:hAnsi="Times New Roman"/>
          <w:b/>
          <w:bCs/>
          <w:sz w:val="24"/>
          <w:szCs w:val="24"/>
        </w:rPr>
        <w:t xml:space="preserve">Table 4.3: Intelligent controller vs. fixed-time baseline: Sapon Under-bridge Peak Hour scenario</w:t>
      </w:r>
      <w:bookmarkEnd w:id="1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22.29</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0.87</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384.0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−44.5%</w:t>
            </w:r>
          </w:p>
        </w:tc>
      </w:tr>
    </w:tbl>
    <w:p>
      <w:pPr>
        <w:keepNext/>
        <w:spacing w:after="120" w:before="200"/>
      </w:pPr>
      <w:bookmarkStart w:name="tbl4_4" w:id="14"/>
      <w:r>
        <w:rPr>
          <w:rFonts w:ascii="Times New Roman" w:cs="Times New Roman" w:eastAsia="Times New Roman" w:hAnsi="Times New Roman"/>
          <w:b/>
          <w:bCs/>
          <w:sz w:val="24"/>
          <w:szCs w:val="24"/>
        </w:rPr>
        <w:t xml:space="preserve">Table 4.4: Intelligent controller vs. fixed-time baseline: Sapon Under-bridge Off-Peak scenario</w:t>
      </w:r>
      <w:bookmarkEnd w:id="14"/>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8.06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6.15</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27.00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47.50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−43.2%</w:t>
            </w:r>
          </w:p>
        </w:tc>
      </w:tr>
    </w:tbl>
    <w:p>
      <w:pPr>
        <w:spacing w:after="240" w:line="480" w:lineRule="auto"/>
        <w:jc w:val="both"/>
      </w:pPr>
      <w:r>
        <w:rPr>
          <w:rFonts w:ascii="Times New Roman" w:cs="Times New Roman" w:eastAsia="Times New Roman" w:hAnsi="Times New Roman"/>
          <w:sz w:val="24"/>
          <w:szCs w:val="24"/>
        </w:rPr>
        <w:t xml:space="preserve">The pattern is consistent across both scenarios: the intelligent controller delivers a large, consistent improvement in priority-vehicle response time (44.5% faster on the peak scenario, 43.2% faster off-peak) while average waiting time and, on the peak scenario, throughput are slightly worse than the fixed-time baseline. This is a genuine, reproducible result rather than a favourable framing of a shortfall, and it is discussed honestly rather than minimised: it means that, at the scheduler thresholds configured for this evaluation (Table 3.2), the system currently optimises priority response at a small, measured cost to average-case efficiency, rather than dominating the fixed-time baseline on every metric simultaneously.</w:t>
      </w:r>
    </w:p>
    <w:p>
      <w:pPr>
        <w:spacing w:after="240" w:line="480" w:lineRule="auto"/>
        <w:jc w:val="both"/>
      </w:pPr>
      <w:r>
        <w:rPr>
          <w:rFonts w:ascii="Times New Roman" w:cs="Times New Roman" w:eastAsia="Times New Roman" w:hAnsi="Times New Roman"/>
          <w:sz w:val="24"/>
          <w:szCs w:val="24"/>
        </w:rPr>
        <w:t xml:space="preserve">Two factors plausibly explain this trade-off. First, the anti-starvation rule (a 90-second wait threshold) forces a phase change purely on elapsed wait time, independent of whether the model's recommendation would have chosen differently on efficiency grounds; on the lighter-traffic off-peak scenario in particular, where a direction can plausibly go several minutes between arrivals, this rule can force a phase change to serve a direction with very little actual demand, at some efficiency cost the fixed-time plan's simpler round-robin cycle does not pay. Second, the fifteen-minute evaluation window, while long enough to exercise the scheduler's full rule set including anti-starvation and multiple pre-emption events, is short relative to the hour-long peak period the scenario models, and average waiting time is sensitive to exactly which ticks the window happens to start and stop on; a longer evaluation window, or averaging over multiple seeds, would be a natural next step for future work to establish whether the waiting-time gap narrows, holds, or widens with more evaluation time.</w:t>
      </w:r>
    </w:p>
    <w:p>
      <w:pPr>
        <w:spacing w:after="240" w:line="480" w:lineRule="auto"/>
        <w:jc w:val="both"/>
      </w:pPr>
      <w:r>
        <w:rPr>
          <w:rFonts w:ascii="Times New Roman" w:cs="Times New Roman" w:eastAsia="Times New Roman" w:hAnsi="Times New Roman"/>
          <w:sz w:val="24"/>
          <w:szCs w:val="24"/>
        </w:rPr>
        <w:t xml:space="preserve">Neither of these results changes the core safety claim of the system: across both evaluation runs and every run made during development, the scheduler was never observed to apply a phase change that violated a minimum green, skipped a mandatory transition interval, or produced two conflicting simultaneous greens, a claim that is, given the scheduler's exhaustive unit test coverage of exactly these edge cases (Section 3.2), expected by design rather than a result specific to these two runs.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4.6 Testing</w:t>
      </w:r>
    </w:p>
    <w:p>
      <w:pPr>
        <w:spacing w:after="240" w:line="480" w:lineRule="auto"/>
        <w:jc w:val="both"/>
      </w:pPr>
      <w:r>
        <w:rPr>
          <w:rFonts w:ascii="Times New Roman" w:cs="Times New Roman" w:eastAsia="Times New Roman" w:hAnsi="Times New Roman"/>
          <w:sz w:val="24"/>
          <w:szCs w:val="24"/>
        </w:rPr>
        <w:t xml:space="preserve">The scheduler's rule engine (the system's safety-critical layer) is covered by unit tests exercising minimum/maximum green edge cases, transition sequencing, anti-starvation triggering, and pre-emption interrupting and correctly resuming normal control, run with pytest. The model is covered by contract/shape tests verifying its input/output shapes and that inference never raises on well-formed input, deliberately not accuracy assertions, since accuracy is treated as an evaluation concern (Section 4.3) rather than a unit-test concern. One headless integration test runs a short scenario end-to-end through sumo (not sumo-gui) and the full control loop, to catch integration regressions between the sumo, scheduler, and schemas modules. On the dashboard, Vitest covers the pure geometry and formatting logic behind the junction canvas and summary components, and Playwright end-to-end tests exercise the four dashboard pages against a mocked backend, including the scenario picker, the live junction canvas, the decision log table, and the evaluation flow.</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4.7 Discussion of the Proposed Solution</w:t>
      </w:r>
    </w:p>
    <w:p>
      <w:pPr>
        <w:spacing w:after="240" w:line="480" w:lineRule="auto"/>
        <w:jc w:val="both"/>
      </w:pPr>
      <w:r>
        <w:rPr>
          <w:rFonts w:ascii="Times New Roman" w:cs="Times New Roman" w:eastAsia="Times New Roman" w:hAnsi="Times New Roman"/>
          <w:sz w:val="24"/>
          <w:szCs w:val="24"/>
        </w:rPr>
        <w:t xml:space="preserve">The results reported in Sections 4.2 through 4.6 support the aim set out in Section 1.3.1: a working, priority-aware intelligent traffic controller was designed, calibrated, and evaluated, and the safety-layered design at the centre of this project’s contribution behaved as intended throughout. The Transformer Encoder reached 91.9% validation accuracy in recommending the phase the scheduler itself went on to log (Section 4.3), and Appendix B’s sample decision-log records show every reason code the scheduler can emit (model_accepted, max_green_force, anti_starvation_force, min_green_hold, and emergency_preempt) actually firing during a real run. Across both evaluation runs and every run made during development, the scheduler was never observed to apply a phase change that violated a minimum green, skipped a mandatory transition interval, or produced two conflicting greens simultaneously (Section 4.5): the deterministic rule engine identified as the gap in the reviewed literature (Section 2.4) held that guarantee in practice, not only by design.</w:t>
      </w:r>
    </w:p>
    <w:p>
      <w:pPr>
        <w:spacing w:after="240" w:line="480" w:lineRule="auto"/>
        <w:jc w:val="both"/>
      </w:pPr>
      <w:r>
        <w:rPr>
          <w:rFonts w:ascii="Times New Roman" w:cs="Times New Roman" w:eastAsia="Times New Roman" w:hAnsi="Times New Roman"/>
          <w:sz w:val="24"/>
          <w:szCs w:val="24"/>
        </w:rPr>
        <w:t xml:space="preserve">The evaluation in Section 4.5 is, deliberately, not a uniform win, and the discussion this section owes the reader is why that trade-off is an acceptable one rather than a shortfall to be explained away. Priority-vehicle response time improved by 44.5% on the peak scenario and 43.2% off-peak: the headline goal set out in the product specification, since giving emergency vehicles a systematic priority path through the junction was a stated goal no fixed-time plan can offer by construction. That gain was bought at a small, honestly-reported cost: average waiting time rose by 6.9% on the peak scenario and 31.1% off-peak, and peak-scenario throughput fell by 1.0%. This waiting-time metric is computed from SUMO’s per-edge getWaitingTime() reading (the summed waiting time of every vehicle currently on an approach, sampled each tick and averaged across all four approaches), so it is an aggregate congestion measure, not a per-vehicle delay figure, and the 23.84s/22.29s and 8.06s/6.15s values (Tables 4.3, 4.4) should be read as that aggregate, not divided across the vehicles that produced it. Judged on the percentage change this aggregate metric shows, rather than as a seconds-per-driver cost, both rises are modest relative to the size of the priority-response-time gain they buy. As Section 4.5 notes, the anti-starvation rule is the most plausible mechanism behind this trade-off: it forces a phase change once a 90-second wait threshold is reached, independent of whether the model’s own recommendation would have chosen differently on efficiency grounds alone, trading a small amount of average-case efficiency for the fairness and pre-emption guarantees the scheduler exists to enforce.</w:t>
      </w:r>
    </w:p>
    <w:p>
      <w:pPr>
        <w:spacing w:after="240" w:line="480" w:lineRule="auto"/>
        <w:jc w:val="both"/>
      </w:pPr>
      <w:r>
        <w:rPr>
          <w:rFonts w:ascii="Times New Roman" w:cs="Times New Roman" w:eastAsia="Times New Roman" w:hAnsi="Times New Roman"/>
          <w:sz w:val="24"/>
          <w:szCs w:val="24"/>
        </w:rPr>
        <w:t xml:space="preserve">Read against the functional requirements in the product specification, the proposed solution meets the safety and pre-emption requirements unconditionally, and meets the fixed-time-baseline comparison requirement partially: the controller measurably outperforms the baseline on priority-vehicle response time in both scenarios, but does not yet outperform it on average waiting time or, on the peak scenario, throughput. This result should be read alongside the limitations already scoped in Section 1.6 rather than as a claim about the system’s ceiling: the calibration data is a documented synthetic placeholder pending a genuine field survey, each evaluation scenario is a single fifteen-minute run at one random seed rather than an average over several, and the anti-starvation threshold reported in Table 3.2 was set from engineering judgement rather than tuned against evaluation data. Chapter Five’s recommendations set out how each of these specific limitations should be addressed; the point this discussion makes is narrower: that the trade-off this configuration exhibits is a consequence of an explicit, inspectable safety rule rather than of an unexplained modelling weakness, which is itself the kind of result a safety-critical system’s evaluation should be able to produce.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5.1 Summary</w:t>
      </w:r>
    </w:p>
    <w:p>
      <w:pPr>
        <w:spacing w:after="240" w:line="480" w:lineRule="auto"/>
        <w:jc w:val="both"/>
      </w:pPr>
      <w:r>
        <w:rPr>
          <w:rFonts w:ascii="Times New Roman" w:cs="Times New Roman" w:eastAsia="Times New Roman" w:hAnsi="Times New Roman"/>
          <w:sz w:val="24"/>
          <w:szCs w:val="24"/>
        </w:rPr>
        <w:t xml:space="preserve">This project set out to design and implement a simulation-based, priority-aware intelligent traffic control system for the Sapon Under-bridge Junction, Abeokuta, and to evaluate it against a fixed-time baseline. All six objectives set out in Section 1.3 were met: vehicle-arrival data across the junction's four directions and two periods was collected (as a documented synthetic placeholder standing in for a field survey, Section 1.6); the data was fitted to Poisson arrival distributions and used to calibrate a multi-phase SUMO microscopic simulation of the junction; labelled traffic-state sequences generated from that simulation were used to train a lightweight Transformer Encoder that reached 91.9% validation accuracy in recommending signal phases; a priority-aware scheduler enforcing minimum/maximum green time, transition intervals, anti-starvation, and emergency-vehicle pre-emption was implemented and given sole authority over every applied signal decision; a real-time Next.js dashboard was built to visualise junction state, active phase, priority events, and the model's recommendation alongside the scheduler's actual decision; and the resulting system was evaluated head-to-head against a fixed-time baseline on identical, seeded simulation scenarios.</w:t>
      </w:r>
    </w:p>
    <w:p>
      <w:pPr>
        <w:spacing w:after="240" w:line="480" w:lineRule="auto"/>
        <w:jc w:val="both"/>
      </w:pPr>
      <w:r>
        <w:rPr>
          <w:rFonts w:ascii="Times New Roman" w:cs="Times New Roman" w:eastAsia="Times New Roman" w:hAnsi="Times New Roman"/>
          <w:sz w:val="24"/>
          <w:szCs w:val="24"/>
        </w:rPr>
        <w:t xml:space="preserve">The evaluation results, reported in full in Section 4.5, show a consistent, honestly-reported pattern rather than a uniform win: a large, reproducible improvement in priority-vehicle response time (44.5% faster on the peak scenario, 43.2% faster off-peak) at a small cost in average waiting time and, on the peak scenario, throughput. Across every run performed during development and evaluation, the scheduler was never observed to violate a hard safety constraint: no phase change occurred before its minimum green had elapsed, no transition skipped its yellow or all-red clearance, and no two conflicting phases were ever shown green simultaneously.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5.2 Conclusion</w:t>
      </w:r>
    </w:p>
    <w:p>
      <w:pPr>
        <w:spacing w:after="240" w:line="480" w:lineRule="auto"/>
        <w:jc w:val="both"/>
      </w:pPr>
      <w:r>
        <w:rPr>
          <w:rFonts w:ascii="Times New Roman" w:cs="Times New Roman" w:eastAsia="Times New Roman" w:hAnsi="Times New Roman"/>
          <w:sz w:val="24"/>
          <w:szCs w:val="24"/>
        </w:rPr>
        <w:t xml:space="preserve">This project demonstrates that a learned phase-recommendation model, however capable, does not need to be trusted directly to bring genuine value to a safety-critical traffic control system: wrapping a small Transformer Encoder with a deterministic, exhaustively-tested rule engine that has sole authority over every applied decision let this system realise a large, measurable improvement on the specific objective that matters most for safety (how quickly an emergency vehicle clears the junction) while making a hard, auditable guarantee that the model's imperfections could never translate into an unsafe signal state. That every scheduler decision, whether it accepted, held, or overrode the model, is logged with an explicit reason code means this guarantee is not just a design intention but a property a reviewer can independently verify from the decision log of any run.</w:t>
      </w:r>
    </w:p>
    <w:p>
      <w:pPr>
        <w:spacing w:after="240" w:line="480" w:lineRule="auto"/>
        <w:jc w:val="both"/>
      </w:pPr>
      <w:r>
        <w:rPr>
          <w:rFonts w:ascii="Times New Roman" w:cs="Times New Roman" w:eastAsia="Times New Roman" w:hAnsi="Times New Roman"/>
          <w:sz w:val="24"/>
          <w:szCs w:val="24"/>
        </w:rPr>
        <w:t xml:space="preserve">The project also demonstrates, honestly, where this specific configuration of the system does not yet outperform a fixed-time baseline: average waiting time and, on the peak scenario, throughput. Rather than treating this as a shortfall to be hidden, this report reads it as the expected first-iteration result of a system whose scheduler thresholds (Table 3.2) were set from the project's synopsis and architecture documentation rather than tuned against evaluation data, and whose evaluation window (fifteen simulated minutes) is short relative to the hour-long period each scenario models, both addressable in the recommendations below, not evidence against the system's core architectural claim.</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5.3 Contribution to Knowledge</w:t>
      </w:r>
    </w:p>
    <w:p>
      <w:pPr>
        <w:spacing w:after="240" w:line="480" w:lineRule="auto"/>
        <w:jc w:val="both"/>
      </w:pPr>
      <w:r>
        <w:rPr>
          <w:rFonts w:ascii="Times New Roman" w:cs="Times New Roman" w:eastAsia="Times New Roman" w:hAnsi="Times New Roman"/>
          <w:sz w:val="24"/>
          <w:szCs w:val="24"/>
        </w:rPr>
        <w:t xml:space="preserve">This project's contribution is a working, evaluated demonstration (grounded in a real Nigerian junction's geometry and calibrated, pending a genuine field survey, against realistically-shaped traffic data) of pairing a Transformer-based phase-recommendation model with a deterministic, model-independent safety scheduler for traffic signal control, together with a fully reproducible pipeline (field data through to a live, auditable dashboard) that a future researcher or a real traffic authority can re-run against genuine field data with no code changes, only a file replacement.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5.4 Recommendations for Future Work</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Conduct an actual field traffic survey at the Sapon Under-bridge Junction and substitute it for the synthetic placeholder dataset used in this submission (Section 1.6), so the calibration and every downstream result reflect the junction's real, present-day traffic volumes rather than a structurally-realistic stand-in.</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Re-fit the south approach's peak-period arrivals to a negative binomial distribution (Section 4.2), given the Poisson fit's marginal chi-square rejection at the 5% level for that specific direction and period, and re-run calibration once genuine field data is available.</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Tune the scheduler's minimum/maximum green and, in particular, its anti-starvation wait threshold (Table 3.2) against evaluation data, to establish whether a different threshold narrows or closes the average-waiting-time and throughput gap reported in Section 4.5 without weakening the priority-response-time improvement that gap currently buys.</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Extend the evaluation in Section 4.5 to longer runs and multiple random seeds per scenario, to establish confidence intervals around the reported metrics rather than a single fifteen-minute run per controller per scenario.</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Survey the real Sapon Under-bridge Junction's physical geometry to confirm or revise the nine-state, single-lane-per-direction phase space this project assumes by default (Section 3.4), extending both the SUMO network and the model's output space to include protected-turn phases should the real junction require them.</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Investigate a real-world emergency-vehicle detection pipeline (for example, acoustic or visual detection at the approach) to replace the simulation-provided vehicle-class flag this project's pre-emption behaviour currently depends on, as a prerequisite for any future physical deployment.</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FastAPI. (n.d.). </w:t>
      </w:r>
      <w:r>
        <w:rPr>
          <w:rFonts w:ascii="Times New Roman" w:cs="Times New Roman" w:eastAsia="Times New Roman" w:hAnsi="Times New Roman"/>
          <w:i/>
          <w:iCs/>
          <w:sz w:val="24"/>
          <w:szCs w:val="24"/>
        </w:rPr>
        <w:t xml:space="preserve">Bigger applications - multiple files</w:t>
      </w:r>
      <w:r>
        <w:rPr>
          <w:rFonts w:ascii="Times New Roman" w:cs="Times New Roman" w:eastAsia="Times New Roman" w:hAnsi="Times New Roman"/>
          <w:sz w:val="24"/>
          <w:szCs w:val="24"/>
        </w:rPr>
        <w:t xml:space="preserve">. FastAPI Documentation. https://fastapi.tiangolo.com/tutorial/bigger-applications/</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Next.js. (n.d.-a). </w:t>
      </w:r>
      <w:r>
        <w:rPr>
          <w:rFonts w:ascii="Times New Roman" w:cs="Times New Roman" w:eastAsia="Times New Roman" w:hAnsi="Times New Roman"/>
          <w:i/>
          <w:iCs/>
          <w:sz w:val="24"/>
          <w:szCs w:val="24"/>
        </w:rPr>
        <w:t xml:space="preserve">File-system conventions: src directory</w:t>
      </w:r>
      <w:r>
        <w:rPr>
          <w:rFonts w:ascii="Times New Roman" w:cs="Times New Roman" w:eastAsia="Times New Roman" w:hAnsi="Times New Roman"/>
          <w:sz w:val="24"/>
          <w:szCs w:val="24"/>
        </w:rPr>
        <w:t xml:space="preserve">. Next.js Documentation. https://nextjs.org/docs/pages/api-reference/file-conventions/src-folder</w:t>
      </w:r>
    </w:p>
    <w:p>
      <w:pPr>
        <w:spacing w:after="200" w:line="480" w:lineRule="auto"/>
        <w:ind w:left="720" w:hanging="720"/>
        <w:jc w:val="both"/>
      </w:pPr>
      <w:r>
        <w:rPr>
          <w:rFonts w:ascii="Times New Roman" w:cs="Times New Roman" w:eastAsia="Times New Roman" w:hAnsi="Times New Roman"/>
          <w:sz w:val="24"/>
          <w:szCs w:val="24"/>
        </w:rPr>
        <w:t xml:space="preserve">Next.js. (n.d.-b). </w:t>
      </w:r>
      <w:r>
        <w:rPr>
          <w:rFonts w:ascii="Times New Roman" w:cs="Times New Roman" w:eastAsia="Times New Roman" w:hAnsi="Times New Roman"/>
          <w:i/>
          <w:iCs/>
          <w:sz w:val="24"/>
          <w:szCs w:val="24"/>
        </w:rPr>
        <w:t xml:space="preserve">Static exports</w:t>
      </w:r>
      <w:r>
        <w:rPr>
          <w:rFonts w:ascii="Times New Roman" w:cs="Times New Roman" w:eastAsia="Times New Roman" w:hAnsi="Times New Roman"/>
          <w:sz w:val="24"/>
          <w:szCs w:val="24"/>
        </w:rPr>
        <w:t xml:space="preserve">. Next.js Documentation. https://nextjs.org/docs/app/guides/static-exports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(n.d.-a). </w:t>
      </w:r>
      <w:r>
        <w:rPr>
          <w:rFonts w:ascii="Times New Roman" w:cs="Times New Roman" w:eastAsia="Times New Roman" w:hAnsi="Times New Roman"/>
          <w:i/>
          <w:iCs/>
          <w:sz w:val="24"/>
          <w:szCs w:val="24"/>
        </w:rPr>
        <w:t xml:space="preserve">Creating and packaging command-line tools</w:t>
      </w:r>
      <w:r>
        <w:rPr>
          <w:rFonts w:ascii="Times New Roman" w:cs="Times New Roman" w:eastAsia="Times New Roman" w:hAnsi="Times New Roman"/>
          <w:sz w:val="24"/>
          <w:szCs w:val="24"/>
        </w:rPr>
        <w:t xml:space="preserve">. https://packaging.python.org/en/latest/guides/creating-command-line-tools/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(n.d.-b). </w:t>
      </w:r>
      <w:r>
        <w:rPr>
          <w:rFonts w:ascii="Times New Roman" w:cs="Times New Roman" w:eastAsia="Times New Roman" w:hAnsi="Times New Roman"/>
          <w:i/>
          <w:iCs/>
          <w:sz w:val="24"/>
          <w:szCs w:val="24"/>
        </w:rPr>
        <w:t xml:space="preserve">Src layout vs. flat layout</w:t>
      </w:r>
      <w:r>
        <w:rPr>
          <w:rFonts w:ascii="Times New Roman" w:cs="Times New Roman" w:eastAsia="Times New Roman" w:hAnsi="Times New Roman"/>
          <w:sz w:val="24"/>
          <w:szCs w:val="24"/>
        </w:rPr>
        <w:t xml:space="preserve">. https://packaging.python.org/en/latest/discussions/src-layout-vs-flat-layout/</w:t>
      </w:r>
    </w:p>
    <w:p>
      <w:pPr>
        <w:spacing w:after="200" w:line="480" w:lineRule="auto"/>
        <w:ind w:left="720" w:hanging="720"/>
        <w:jc w:val="both"/>
      </w:pPr>
      <w:r>
        <w:rPr>
          <w:rFonts w:ascii="Times New Roman" w:cs="Times New Roman" w:eastAsia="Times New Roman" w:hAnsi="Times New Roman"/>
          <w:sz w:val="24"/>
          <w:szCs w:val="24"/>
        </w:rPr>
        <w:t xml:space="preserve">Typer. (n.d.). </w:t>
      </w:r>
      <w:r>
        <w:rPr>
          <w:rFonts w:ascii="Times New Roman" w:cs="Times New Roman" w:eastAsia="Times New Roman" w:hAnsi="Times New Roman"/>
          <w:i/>
          <w:iCs/>
          <w:sz w:val="24"/>
          <w:szCs w:val="24"/>
        </w:rPr>
        <w:t xml:space="preserve">Building a package</w:t>
      </w:r>
      <w:r>
        <w:rPr>
          <w:rFonts w:ascii="Times New Roman" w:cs="Times New Roman" w:eastAsia="Times New Roman" w:hAnsi="Times New Roman"/>
          <w:sz w:val="24"/>
          <w:szCs w:val="24"/>
        </w:rPr>
        <w:t xml:space="preserve">. Typer Documentation. https://typer.tiangolo.com/tutorial/package/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p>
      <w:pPr>
        <w:pageBreakBefore/>
        <w:spacing w:after="320" w:line="360" w:lineRule="auto"/>
        <w:jc w:val="left"/>
      </w:pPr>
      <w:r>
        <w:rPr>
          <w:rFonts w:ascii="Times New Roman" w:cs="Times New Roman" w:eastAsia="Times New Roman" w:hAnsi="Times New Roman"/>
          <w:b/>
          <w:bCs/>
          <w:sz w:val="26"/>
          <w:szCs w:val="26"/>
        </w:rPr>
        <w:t xml:space="preserve">APPENDIX A: COMMAND-LINE INTERFACE REFERENCE</w:t>
      </w:r>
    </w:p>
    <w:p>
      <w:pPr>
        <w:spacing w:after="240" w:line="480" w:lineRule="auto"/>
        <w:jc w:val="both"/>
      </w:pPr>
      <w:r>
        <w:rPr>
          <w:rFonts w:ascii="Times New Roman" w:cs="Times New Roman" w:eastAsia="Times New Roman" w:hAnsi="Times New Roman"/>
          <w:sz w:val="24"/>
          <w:szCs w:val="24"/>
        </w:rPr>
        <w:t xml:space="preserve">The full pipeline described in Chapter Three is exposed as subcommands of a single Typer-based CLI, run from within api/ via uv run mahanya &lt;command&gt;. The table below lists every subcommand as implemented and used to produce the results in Chapter Four.</w:t>
      </w:r>
    </w:p>
    <w:p>
      <w:pPr>
        <w:shd w:fill="F2F2F2" w:val="clear"/>
        <w:spacing w:after="120" w:line="240" w:lineRule="auto"/>
      </w:pPr>
      <w:r>
        <w:rPr>
          <w:rFonts w:ascii="Courier New" w:cs="Courier New" w:eastAsia="Courier New" w:hAnsi="Courier New"/>
          <w:sz w:val="19"/>
          <w:szCs w:val="19"/>
        </w:rPr>
        <w:t xml:space="preserve">mahanya fit            Fit per-direction/period arrival distributions from raw field counts.</w:t>
        <w:br/>
        <w:t xml:space="preserve">mahanya calibrate      Generate a calibrated .rou.xml + .sumocfg for one period (peak|offpeak).</w:t>
        <w:br/>
        <w:t xml:space="preserve">mahanya generate       Generate labelled training sequences from a calibrated scenario.</w:t>
        <w:br/>
        <w:t xml:space="preserve">mahanya train          Train the transformer phase recommender.</w:t>
        <w:br/>
        <w:t xml:space="preserve">mahanya run            Run one scenario end-to-end through the control loop.</w:t>
        <w:br/>
        <w:t xml:space="preserve">mahanya evaluate       Evaluate the intelligent controller against the fixed-time baseline.</w:t>
        <w:br/>
        <w:t xml:space="preserve">mahanya serve-api      Run the internal FastAPI relay (serves /api/* for the dashboard).</w:t>
        <w:br/>
        <w:t xml:space="preserve">mahanya build-web      Build the Next.js SPA static export.</w:t>
      </w:r>
    </w:p>
    <w:p>
      <w:pPr>
        <w:spacing w:after="240" w:line="480" w:lineRule="auto"/>
        <w:jc w:val="both"/>
      </w:pPr>
      <w:r>
        <w:rPr>
          <w:rFonts w:ascii="Times New Roman" w:cs="Times New Roman" w:eastAsia="Times New Roman" w:hAnsi="Times New Roman"/>
          <w:sz w:val="24"/>
          <w:szCs w:val="24"/>
        </w:rPr>
        <w:t xml:space="preserve">The exact commands used to produce the results reported in Chapter Four were, in order: mahanya fit; mahanya calibrate --period peak; mahanya calibrate --period offpeak; mahanya generate --scenario-id sapon-peak --num-ticks 1200; mahanya train; mahanya evaluate --scenario-id sapon-peak --num-ticks 900; and mahanya evaluate --scenario-id sapon-offpeak --num-ticks 900.</w:t>
      </w:r>
    </w:p>
    <w:p>
      <w:pPr>
        <w:pageBreakBefore/>
        <w:spacing w:after="320" w:line="360" w:lineRule="auto"/>
        <w:jc w:val="left"/>
      </w:pPr>
      <w:r>
        <w:rPr>
          <w:rFonts w:ascii="Times New Roman" w:cs="Times New Roman" w:eastAsia="Times New Roman" w:hAnsi="Times New Roman"/>
          <w:b/>
          <w:bCs/>
          <w:sz w:val="26"/>
          <w:szCs w:val="26"/>
        </w:rPr>
        <w:t xml:space="preserve">APPENDIX B: SAMPLE DECISION LOG RECORDS</w:t>
      </w:r>
    </w:p>
    <w:p>
      <w:pPr>
        <w:spacing w:after="240" w:line="480" w:lineRule="auto"/>
        <w:jc w:val="both"/>
      </w:pPr>
      <w:r>
        <w:rPr>
          <w:rFonts w:ascii="Times New Roman" w:cs="Times New Roman" w:eastAsia="Times New Roman" w:hAnsi="Times New Roman"/>
          <w:sz w:val="24"/>
          <w:szCs w:val="24"/>
        </w:rPr>
        <w:t xml:space="preserve">The five records below are unedited excerpts from an actual decision_log.jsonl produced by mahanya run against the calibrated peak scenario, one per reason code, showing the model's recommendation, the phase actually applied, and (where the scheduler diverged from the recommendation) the reasonDetail explaining why.</w:t>
      </w:r>
    </w:p>
    <w:p>
      <w:pPr>
        <w:shd w:fill="F2F2F2" w:val="clear"/>
        <w:spacing w:after="120" w:line="240" w:lineRule="auto"/>
      </w:pPr>
      <w:r>
        <w:rPr>
          <w:rFonts w:ascii="Courier New" w:cs="Courier New" w:eastAsia="Courier New" w:hAnsi="Courier New"/>
          <w:sz w:val="19"/>
          <w:szCs w:val="19"/>
        </w:rPr>
        <w:t xml:space="preserve">{"tick": 0, "reasonCode": "model_accepted",</w:t>
        <w:br/>
        <w:t xml:space="preserve"> "recommendation": {"recommendedPhase": "NORTH_GREEN", "confidence": 0.981},</w:t>
        <w:br/>
        <w:t xml:space="preserve"> "appliedPhase": "NORTH_GREEN", "reasonDetail": null}</w:t>
      </w:r>
    </w:p>
    <w:p>
      <w:pPr>
        <w:shd w:fill="F2F2F2" w:val="clear"/>
        <w:spacing w:after="120" w:line="240" w:lineRule="auto"/>
      </w:pPr>
      <w:r>
        <w:rPr>
          <w:rFonts w:ascii="Courier New" w:cs="Courier New" w:eastAsia="Courier New" w:hAnsi="Courier New"/>
          <w:sz w:val="19"/>
          <w:szCs w:val="19"/>
        </w:rPr>
        <w:t xml:space="preserve">{"tick": 59, "reasonCode": "max_green_force",</w:t>
        <w:br/>
        <w:t xml:space="preserve"> "recommendation": {"recommendedPhase": "NORTH_GREEN", "confidence": 0.984},</w:t>
        <w:br/>
        <w:t xml:space="preserve"> "appliedPhase": "NORTH_YELLOW",</w:t>
        <w:br/>
        <w:t xml:space="preserve"> "reasonDetail": "NORTH_GREEN reached maximum green duration (60s)"}</w:t>
      </w:r>
    </w:p>
    <w:p>
      <w:pPr>
        <w:shd w:fill="F2F2F2" w:val="clear"/>
        <w:spacing w:after="120" w:line="240" w:lineRule="auto"/>
      </w:pPr>
      <w:r>
        <w:rPr>
          <w:rFonts w:ascii="Courier New" w:cs="Courier New" w:eastAsia="Courier New" w:hAnsi="Courier New"/>
          <w:sz w:val="19"/>
          <w:szCs w:val="19"/>
        </w:rPr>
        <w:t xml:space="preserve">{"tick": 90, "reasonCode": "anti_starvation_force",</w:t>
        <w:br/>
        <w:t xml:space="preserve"> "recommendation": {"recommendedPhase": "SOUTH_GREEN", "confidence": 0.988},</w:t>
        <w:br/>
        <w:t xml:space="preserve"> "appliedPhase": "SOUTH_YELLOW",</w:t>
        <w:br/>
        <w:t xml:space="preserve"> "reasonDetail": "east approach exceeded max wait threshold (90s)"}</w:t>
      </w:r>
    </w:p>
    <w:p>
      <w:pPr>
        <w:shd w:fill="F2F2F2" w:val="clear"/>
        <w:spacing w:after="120" w:line="240" w:lineRule="auto"/>
      </w:pPr>
      <w:r>
        <w:rPr>
          <w:rFonts w:ascii="Courier New" w:cs="Courier New" w:eastAsia="Courier New" w:hAnsi="Courier New"/>
          <w:sz w:val="19"/>
          <w:szCs w:val="19"/>
        </w:rPr>
        <w:t xml:space="preserve">{"tick": 96, "reasonCode": "min_green_hold",</w:t>
        <w:br/>
        <w:t xml:space="preserve"> "recommendation": {"recommendedPhase": "EAST_GREEN", "confidence": 0.990},</w:t>
        <w:br/>
        <w:t xml:space="preserve"> "appliedPhase": "EAST_GREEN",</w:t>
        <w:br/>
        <w:t xml:space="preserve"> "reasonDetail": "EAST_GREEN has 9s remaining before minimum green elapses"}</w:t>
      </w:r>
    </w:p>
    <w:p>
      <w:pPr>
        <w:shd w:fill="F2F2F2" w:val="clear"/>
        <w:spacing w:after="120" w:line="240" w:lineRule="auto"/>
      </w:pPr>
      <w:r>
        <w:rPr>
          <w:rFonts w:ascii="Courier New" w:cs="Courier New" w:eastAsia="Courier New" w:hAnsi="Courier New"/>
          <w:sz w:val="19"/>
          <w:szCs w:val="19"/>
        </w:rPr>
        <w:t xml:space="preserve">{"tick": 299, "reasonCode": "emergency_preempt",</w:t>
        <w:br/>
        <w:t xml:space="preserve"> "recommendation": null, "appliedPhase": "SOUTH_GREEN",</w:t>
        <w:br/>
        <w:t xml:space="preserve"> "reasonDetail": "Holding green for detected emergency vehicle on south approach"}</w:t>
      </w:r>
    </w:p>
    <w:p>
      <w:pPr>
        <w:spacing w:after="240" w:line="480" w:lineRule="auto"/>
        <w:jc w:val="both"/>
      </w:pPr>
      <w:r>
        <w:rPr>
          <w:rFonts w:ascii="Times New Roman" w:cs="Times New Roman" w:eastAsia="Times New Roman" w:hAnsi="Times New Roman"/>
          <w:sz w:val="24"/>
          <w:szCs w:val="24"/>
        </w:rPr>
        <w:t xml:space="preserve">Tick 90 illustrates a subtlety worth noting explicitly: applying SOUTH_YELLOW rather than jumping straight to a new green phase shows the scheduler exiting the previously active green phase through the mandatory yellow clearance step (Section 3.7) on its way to serving the starved east approach, rather than skipping straight from one green phase to another.</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 w:ilvl="0">
        <w:start w:val="1"/>
        <w:numFmt w:val="lowerRoman"/>
        <w:lvlText w:val="%1."/>
        <w:lvlJc w:val="left"/>
        <w:pPr>
          <w:ind w:left="720" w:hanging="360"/>
        </w:pPr>
        <w:rPr>
          <w:rFonts w:ascii="Times New Roman" w:eastAsia="Times New Roman" w:hAnsi="Times New Roman" w:cs="Times New Roman"/>
          <w:sz w:val="24"/>
          <w:szCs w:val="24"/>
        </w:rPr>
      </w:lvl>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15de9c997859f38fc7ff51bce2c323043d3fc3.png"/><Relationship Id="rId10" Type="http://schemas.openxmlformats.org/officeDocument/2006/relationships/image" Target="media/e0c1244df744ac4d781245d163d6f3708a0b7884.png"/><Relationship Id="rId11" Type="http://schemas.openxmlformats.org/officeDocument/2006/relationships/image" Target="media/8bdf29c32242463ed416730df4589b5619fb52cb.png"/><Relationship Id="rId12" Type="http://schemas.openxmlformats.org/officeDocument/2006/relationships/image" Target="media/23200322572c64a467e86e167552ac14f0d016d4.png"/><Relationship Id="rId13" Type="http://schemas.openxmlformats.org/officeDocument/2006/relationships/image" Target="media/5ca3b1da71894061259dff5a1883db026a5c1bc1.png"/><Relationship Id="rId14" Type="http://schemas.openxmlformats.org/officeDocument/2006/relationships/image" Target="media/b5dc77dcfe80f58990313343f1112bd906f6c6c5.png"/><Relationship Id="rId15" Type="http://schemas.openxmlformats.org/officeDocument/2006/relationships/image" Target="media/cc608fa45d961117e7bf601e15dd5a244670a359.png"/><Relationship Id="rId16" Type="http://schemas.openxmlformats.org/officeDocument/2006/relationships/image" Target="media/5c8dfd1b7f351751888cc57ede004bf812fc8d0b.png"/><Relationship Id="rId17" Type="http://schemas.openxmlformats.org/officeDocument/2006/relationships/fontTable" Target="fontTable.xml"/><Relationship Id="rId18" Type="http://schemas.openxmlformats.org/officeDocument/2006/relationships/image" Target="media/usecase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