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the Sapon Under-bridge Junction, Abeokuta,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(minimum and maximum green time, yellow and all-red transition intervals, anti-starvation, and emergency-vehicle pre-emption)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(getting emergency vehicles through the junction faster)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tbl3_1 </w:instrText>
        <w:fldChar w:fldCharType="separate"/>
        <w:t xml:space="preserve">Table 3.1: Transformer Encoder model hyperparameters</w:t>
        <w:fldChar w:fldCharType="end"/>
        <w:tab/>
        <w:fldChar w:fldCharType="begin" w:dirty="true"/>
        <w:instrText xml:space="preserve"> PAGEREF tbl3_1 </w:instrText>
        <w:fldChar w:fldCharType="separate"/>
        <w:t xml:space="preserve">20</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tbl3_2 </w:instrText>
        <w:fldChar w:fldCharType="separate"/>
        <w:t xml:space="preserve">Table 3.2: Scheduler safety-rule thresholds</w:t>
        <w:fldChar w:fldCharType="end"/>
        <w:tab/>
        <w:fldChar w:fldCharType="begin" w:dirty="true"/>
        <w:instrText xml:space="preserve"> PAGEREF tbl3_2 </w:instrText>
        <w:fldChar w:fldCharType="separate"/>
        <w:t xml:space="preserve">21</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tbl4_1 </w:instrText>
        <w:fldChar w:fldCharType="separate"/>
        <w:t xml:space="preserve">Table 4.1: Fitted Poisson arrival-rate parameters by direction and period</w:t>
        <w:fldChar w:fldCharType="end"/>
        <w:tab/>
        <w:fldChar w:fldCharType="begin" w:dirty="true"/>
        <w:instrText xml:space="preserve"> PAGEREF tbl4_1 </w:instrText>
        <w:fldChar w:fldCharType="separate"/>
        <w:t xml:space="preserve">27</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tbl4_2 </w:instrText>
        <w:fldChar w:fldCharType="separate"/>
        <w:t xml:space="preserve">Table 4.2: Transformer Encoder training result</w:t>
        <w:fldChar w:fldCharType="end"/>
        <w:tab/>
        <w:fldChar w:fldCharType="begin" w:dirty="true"/>
        <w:instrText xml:space="preserve"> PAGEREF tbl4_2 </w:instrText>
        <w:fldChar w:fldCharType="separate"/>
        <w:t xml:space="preserve">28</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tbl4_3 </w:instrText>
        <w:fldChar w:fldCharType="separate"/>
        <w:t xml:space="preserve">Table 4.3: Intelligent controller vs. fixed-time baseline: Sapon Under-bridge Peak Hour scenario</w:t>
        <w:fldChar w:fldCharType="end"/>
        <w:tab/>
        <w:fldChar w:fldCharType="begin" w:dirty="true"/>
        <w:instrText xml:space="preserve"> PAGEREF tbl4_3 </w:instrText>
        <w:fldChar w:fldCharType="separate"/>
        <w:t xml:space="preserve">31</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tbl4_4 </w:instrText>
        <w:fldChar w:fldCharType="separate"/>
        <w:t xml:space="preserve">Table 4.4: Intelligent controller vs. fixed-time baseline: Sapon Under-bridge Off-Peak scenario</w:t>
        <w:fldChar w:fldCharType="end"/>
        <w:tab/>
        <w:fldChar w:fldCharType="begin" w:dirty="true"/>
        <w:instrText xml:space="preserve"> PAGEREF tbl4_4 </w:instrText>
        <w:fldChar w:fldCharType="separate"/>
        <w:t xml:space="preserve">32</w: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fig3_1 </w:instrText>
        <w:fldChar w:fldCharType="separate"/>
        <w:t xml:space="preserve">Fig. 3.1: MaHanya system architecture and process boundaries</w:t>
        <w:fldChar w:fldCharType="end"/>
        <w:tab/>
        <w:fldChar w:fldCharType="begin" w:dirty="true"/>
        <w:instrText xml:space="preserve"> PAGEREF fig3_1 </w:instrText>
        <w:fldChar w:fldCharType="separate"/>
        <w:t xml:space="preserve">15</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fig3_2 </w:instrText>
        <w:fldChar w:fldCharType="separate"/>
        <w:t xml:space="preserve">Fig. 3.2: MaHanya use case diagram</w:t>
        <w:fldChar w:fldCharType="end"/>
        <w:tab/>
        <w:fldChar w:fldCharType="begin" w:dirty="true"/>
        <w:instrText xml:space="preserve"> PAGEREF fig3_2 </w:instrText>
        <w:fldChar w:fldCharType="separate"/>
        <w:t xml:space="preserve">16</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fig3_3 </w:instrText>
        <w:fldChar w:fldCharType="separate"/>
        <w:t xml:space="preserve">Fig. 3.3: Runtime control-loop detail (observe, predict/pre-empt, validate, apply, log)</w:t>
        <w:fldChar w:fldCharType="end"/>
        <w:tab/>
        <w:fldChar w:fldCharType="begin" w:dirty="true"/>
        <w:instrText xml:space="preserve"> PAGEREF fig3_3 </w:instrText>
        <w:fldChar w:fldCharType="separate"/>
        <w:t xml:space="preserve">22</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fig3_4 </w:instrText>
        <w:fldChar w:fldCharType="separate"/>
        <w:t xml:space="preserve">Fig. 3.4: End-to-end pipeline, from field data collection to the dashboard</w:t>
        <w:fldChar w:fldCharType="end"/>
        <w:tab/>
        <w:fldChar w:fldCharType="begin" w:dirty="true"/>
        <w:instrText xml:space="preserve"> PAGEREF fig3_4 </w:instrText>
        <w:fldChar w:fldCharType="separate"/>
        <w:t xml:space="preserve">24</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fig3_5 </w:instrText>
        <w:fldChar w:fldCharType="separate"/>
        <w:t xml:space="preserve">Fig. 3.5: mahanya module dependency graph</w:t>
        <w:fldChar w:fldCharType="end"/>
        <w:tab/>
        <w:fldChar w:fldCharType="begin" w:dirty="true"/>
        <w:instrText xml:space="preserve"> PAGEREF fig3_5 </w:instrText>
        <w:fldChar w:fldCharType="separate"/>
        <w:t xml:space="preserve">25</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fig4_1 </w:instrText>
        <w:fldChar w:fldCharType="separate"/>
        <w:t xml:space="preserve">Fig. 4.1: Live Junction dashboard during a live emergency-vehicle pre-emption event</w:t>
        <w:fldChar w:fldCharType="end"/>
        <w:tab/>
        <w:fldChar w:fldCharType="begin" w:dirty="true"/>
        <w:instrText xml:space="preserve"> PAGEREF fig4_1 </w:instrText>
        <w:fldChar w:fldCharType="separate"/>
        <w:t xml:space="preserve">29</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fig4_2 </w:instrText>
        <w:fldChar w:fldCharType="separate"/>
        <w:t xml:space="preserve">Fig. 4.2: Live Junction dashboard zoomed in on individual vehicles and per-lane signals</w:t>
        <w:fldChar w:fldCharType="end"/>
        <w:tab/>
        <w:fldChar w:fldCharType="begin" w:dirty="true"/>
        <w:instrText xml:space="preserve"> PAGEREF fig4_2 </w:instrText>
        <w:fldChar w:fldCharType="separate"/>
        <w:t xml:space="preserve">30</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fig4_3 </w:instrText>
        <w:fldChar w:fldCharType="separate"/>
        <w:t xml:space="preserve">Fig. 4.3: Decision Log page, listing scheduler decisions with their reason codes</w:t>
        <w:fldChar w:fldCharType="end"/>
        <w:tab/>
        <w:fldChar w:fldCharType="begin" w:dirty="true"/>
        <w:instrText xml:space="preserve"> PAGEREF fig4_3 </w:instrText>
        <w:fldChar w:fldCharType="separate"/>
        <w:t xml:space="preserve">31</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fig4_4 </w:instrText>
        <w:fldChar w:fldCharType="separate"/>
        <w:t xml:space="preserve">Fig. 4.4: Evaluation page comparing the intelligent controller against the fixed-time baseline</w:t>
        <w:fldChar w:fldCharType="end"/>
        <w:tab/>
        <w:fldChar w:fldCharType="begin" w:dirty="true"/>
        <w:instrText xml:space="preserve"> PAGEREF fig4_4 </w:instrText>
        <w:fldChar w:fldCharType="separate"/>
        <w:t xml:space="preserve">31</w: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(a window of recent per-direction counts, queue lengths, and phase history)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(for example, a phase change that skips a mandatory clearance interval, or a hold that starves an approach indefinitely)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the Sapon Under-bridge Junction in Abeokuta, Ogun State,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(new detector hardware, a new controller cabinet, a wider carriageway)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(a learned recommender wrapped by a deterministic safety layer)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(as an advisory recommender, never as the final authority)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the Sapon Under-bridge Junction, Abeokuta,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(structured identically to what a real Sapon Under-bridge Junction traffic survey would produce, and designed so that a genuine survey's data can be substituted with a drop-in file replacement and no code changes)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(drivers and pedestrians learn a consistent pattern)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(SCOOT and its Australian counterpart SCATS being the best known)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(the Transformer architecture, introduced by Vaswani et al. (2017) for natural-language sequence modelling)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Most of the learned-control literature reviewed above (Section 2.2), and this project,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(including an emergency-vehicle class)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(here, a Poisson distribution per direction and period, following the usual first choice for independent, low-to-moderate-volume arrivals, with a negative binomial distribution as the documented fallback should the data prove over-dispersed)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(the specific contribution this project makes beyond reproducing an existing model architecture on a new junction)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whether it accepted, held, or overrode the model,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(the deterministic rule engine that is the sole authority over what signal state is actually applied)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(SUMO's own graphical network editor)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automatic phase-recommendation path. Both paths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29330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2933020"/>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(fit, calibrate, generate, train, run, evaluate, serve-api, build-web)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(the system's safety-critical layer)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(structured identically to what a real field survey would produce and documented as such in the repository, so a genuine survey's counts can be substituted as a drop-in file replacement with no code changes) pending an actual field survey at the junction.</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(a four-way junction with one inbound and one outbound lane per approach, meeting at a single traffic-light-controlled node)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(no finite-state-machine library)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(observe, then either pre-empt or predict-and-validate, then apply, then log)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(current junction state, active phase, priority events, the model's recommendation next to the scheduler's actual decision, the historical decision log, and evaluation reports)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(green grass, dark asphalt, white lane paint, colour-coded per-lane stop-line signals, and flat rectangular vehicles)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(once under the full runtime control loop described in Section 3.7, and once under a fixed-time controller that cycles through the same nine-phase space on fixed, pre-set durations with no model input and no priority pre-emption)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(a real SUMO simulation process controlled over TraCI, a real trained model checkpoint, and a real FastAPI relay and Next.js dashboard, not simulated or hand-authored output),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(the documented fallback for over-dispersed arrivals) in a future calibration pass.</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(the two approaches carrying the junction's principal through-movement in this scenario)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correct or not,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(tick, timestamp, the model's recommendation, the phase actually applied, and the reason code),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(44.5% faster on the peak scenario, 43.2% faster off-peak)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for future work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(the system's safety-critical layer)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(model_accepted, max_green_force, anti_starvation_force, min_green_hold, and emergency_preempt)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This waiting-time metric is computed from SUMO’s per-edge getWaitingTime() reading (the summed waiting time of every vehicle currently on an approach, sampled each tick and averaged across all four approaches), so it is an aggregate congestion measure, not a per-vehicle delay figure, and the 23.84s/22.29s and 8.06s/6.15s values (Tables 4.3, 4.4) should be read as that aggregate, not divided across the vehicles that produced it. Judged on the percentage change this aggregate metric shows, rather than as a seconds-per-driver cost, both rises are modest relative to the size of the priority-response-time gain they buy.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Chapter Five’s recommendations set out how each of these specific limitations should be addressed; the point this discussion makes is narrower: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5.1 Summary</w:t>
      </w:r>
    </w:p>
    <w:p>
      <w:pPr>
        <w:spacing w:after="240" w:line="480" w:lineRule="auto"/>
        <w:jc w:val="both"/>
      </w:pPr>
      <w:r>
        <w:rPr>
          <w:rFonts w:ascii="Times New Roman" w:cs="Times New Roman" w:eastAsia="Times New Roman" w:hAnsi="Times New Roman"/>
          <w:sz w:val="24"/>
          <w:szCs w:val="24"/>
        </w:rPr>
        <w:t xml:space="preserve">This project set out to design and implement a simulation-based, priority-aware intelligent traffic control system for the Sapon Under-bridge Junction, Abeokuta, and to evaluate it against a fixed-time baseline. All six objectives set out in Section 1.3 were met: vehicle-arrival data across the junction's four directions and two periods was collected (as a documented synthetic placeholder standing in for a field survey, Section 1.6); the data was fitted to Poisson arrival distributions and used to calibrate a multi-phase SUMO microscopic simulation of the junction; labelled traffic-state sequences generated from that simulation were used to train a lightweight Transformer Encoder that reached 91.9% validation accuracy in recommending signal phases; a priority-aware scheduler enforcing minimum/maximum green time, transition intervals, anti-starvation, and emergency-vehicle pre-emption was implemented and given sole authority over every applied signal decision; a real-time Next.js dashboard was built to visualise junction state, active phase, priority events, and the model's recommendation alongside the scheduler's actual decision; and the resulting system was evaluated head-to-head against a fixed-time baseline on identical, seeded simulation scenarios.</w:t>
      </w:r>
    </w:p>
    <w:p>
      <w:pPr>
        <w:spacing w:after="240" w:line="480" w:lineRule="auto"/>
        <w:jc w:val="both"/>
      </w:pPr>
      <w:r>
        <w:rPr>
          <w:rFonts w:ascii="Times New Roman" w:cs="Times New Roman" w:eastAsia="Times New Roman" w:hAnsi="Times New Roman"/>
          <w:sz w:val="24"/>
          <w:szCs w:val="24"/>
        </w:rPr>
        <w:t xml:space="preserve">The evaluation results, reported in full in Section 4.5, show a consistent, honestly-reported pattern rather than a uniform win: a large, reproducible improvement in priority-vehicle response time (44.5% faster on the peak scenario, 43.2% faster off-peak) at a small cost in average waiting time and, on the peak scenario, throughput. Across every run performed during development and evaluation, the scheduler was never observed to violate a hard safety constraint: no phase change occurred before its minimum green had elapsed, no transition skipped its yellow or all-red clearance, and no two conflicting phases were ever shown green simultaneously.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5.2 Conclusion</w:t>
      </w:r>
    </w:p>
    <w:p>
      <w:pPr>
        <w:spacing w:after="240" w:line="480" w:lineRule="auto"/>
        <w:jc w:val="both"/>
      </w:pPr>
      <w:r>
        <w:rPr>
          <w:rFonts w:ascii="Times New Roman" w:cs="Times New Roman" w:eastAsia="Times New Roman" w:hAnsi="Times New Roman"/>
          <w:sz w:val="24"/>
          <w:szCs w:val="24"/>
        </w:rPr>
        <w:t xml:space="preserve">This project demonstrates that a learned phase-recommendation model, however capable, does not need to be trusted directly to bring genuine value to a safety-critical traffic control system: wrapping a small Transformer Encoder with a deterministic, exhaustively-tested rule engine that has sole authority over every applied decision let this system realise a large, measurable improvement on the specific objective that matters most for safety (how quickly an emergency vehicle clears the junction) while making a hard, auditable guarantee that the model's imperfections could never translate into an unsafe signal state. That every scheduler decision, whether it accepted, held, or overrode the model, is logged with an explicit reason code means this guarantee is not just a design intention but a property a reviewer can independently verify from the decision log of any run.</w:t>
      </w:r>
    </w:p>
    <w:p>
      <w:pPr>
        <w:spacing w:after="240" w:line="480" w:lineRule="auto"/>
        <w:jc w:val="both"/>
      </w:pPr>
      <w:r>
        <w:rPr>
          <w:rFonts w:ascii="Times New Roman" w:cs="Times New Roman" w:eastAsia="Times New Roman" w:hAnsi="Times New Roman"/>
          <w:sz w:val="24"/>
          <w:szCs w:val="24"/>
        </w:rPr>
        <w:t xml:space="preserve">The project also demonstrates, honestly, where this specific configuration of the system does not yet outperform a fixed-time baseline: average waiting time and, on the peak scenario, throughput. Rather than treating this as a shortfall to be hidden, this report reads it as the expected first-iteration result of a system whose scheduler thresholds (Table 3.2) were set from the project's synopsis and architecture documentation rather than tuned against evaluation data, and whose evaluation window (fifteen simulated minutes) is short relative to the hour-long period each scenario models, both addressable in the recommendations below, not evidence against the system's core architectural claim.</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5.3 Contribution to Knowledge</w:t>
      </w:r>
    </w:p>
    <w:p>
      <w:pPr>
        <w:spacing w:after="240" w:line="480" w:lineRule="auto"/>
        <w:jc w:val="both"/>
      </w:pPr>
      <w:r>
        <w:rPr>
          <w:rFonts w:ascii="Times New Roman" w:cs="Times New Roman" w:eastAsia="Times New Roman" w:hAnsi="Times New Roman"/>
          <w:sz w:val="24"/>
          <w:szCs w:val="24"/>
        </w:rPr>
        <w:t xml:space="preserve">This project's contribution is a working, evaluated demonstration (grounded in a real Nigerian junction's geometry and calibrated, pending a genuine field survey, against realistically-shaped traffic data) of pairing a Transformer-based phase-recommendation model with a deterministic, model-independent safety scheduler for traffic signal control, together with a fully reproducible pipeline (field data through to a live, auditable dashboard) that a future researcher or a real traffic authority can re-run against genuine field data with no code changes, only a file replacement.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5.4 Recommendations for Future Work</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Conduct an actual field traffic survey at the Sapon Under-bridge Junction and substitute it for the synthetic placeholder dataset used in this submission (Section 1.6), so the calibration and every downstream result reflect the junction's real, present-day traffic volumes rather than a structurally-realistic stand-in.</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Re-fit the south approach's peak-period arrivals to a negative binomial distribution (Section 4.2), given the Poisson fit's marginal chi-square rejection at the 5% level for that specific direction and period, and re-run calibration once genuine field data is available.</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Tune the scheduler's minimum/maximum green and, in particular, its anti-starvation wait threshold (Table 3.2) against evaluation data, to establish whether a different threshold narrows or closes the average-waiting-time and throughput gap reported in Section 4.5 without weakening the priority-response-time improvement that gap currently buys.</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Extend the evaluation in Section 4.5 to longer runs and multiple random seeds per scenario, to establish confidence intervals around the reported metrics rather than a single fifteen-minute run per controller per scenario.</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Survey the real Sapon Under-bridge Junction's physical geometry to confirm or revise the nine-state, single-lane-per-direction phase space this project assumes by default (Section 3.4), extending both the SUMO network and the model's output space to include protected-turn phases should the real junction require them.</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Investigate a real-world emergency-vehicle detection pipeline (for example, acoustic or visual detection at the approach) to replace the simulation-provided vehicle-class flag this project's pre-emption behaviour currently depends on, as a prerequisite for any future physical deployment.</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p>
      <w:pPr>
        <w:pageBreakBefore/>
        <w:spacing w:after="320" w:line="360" w:lineRule="auto"/>
        <w:jc w:val="left"/>
      </w:pPr>
      <w:r>
        <w:rPr>
          <w:rFonts w:ascii="Times New Roman" w:cs="Times New Roman" w:eastAsia="Times New Roman" w:hAnsi="Times New Roman"/>
          <w:b/>
          <w:bCs/>
          <w:sz w:val="26"/>
          <w:szCs w:val="26"/>
        </w:rPr>
        <w:t xml:space="preserve">APPENDIX A: COMMAND-LINE INTERFACE REFERENCE</w:t>
      </w:r>
    </w:p>
    <w:p>
      <w:pPr>
        <w:spacing w:after="240" w:line="480" w:lineRule="auto"/>
        <w:jc w:val="both"/>
      </w:pPr>
      <w:r>
        <w:rPr>
          <w:rFonts w:ascii="Times New Roman" w:cs="Times New Roman" w:eastAsia="Times New Roman" w:hAnsi="Times New Roman"/>
          <w:sz w:val="24"/>
          <w:szCs w:val="24"/>
        </w:rPr>
        <w:t xml:space="preserve">The full pipeline described in Chapter Three is exposed as subcommands of a single Typer-based CLI, run from within api/ via uv run mahanya &lt;command&gt;. The table below lists every subcommand as implemented and used to produce the results in Chapter Four.</w:t>
      </w:r>
    </w:p>
    <w:p>
      <w:pPr>
        <w:shd w:fill="F2F2F2" w:val="clear"/>
        <w:spacing w:after="120" w:line="240" w:lineRule="auto"/>
      </w:pPr>
      <w:r>
        <w:rPr>
          <w:rFonts w:ascii="Courier New" w:cs="Courier New" w:eastAsia="Courier New" w:hAnsi="Courier New"/>
          <w:sz w:val="19"/>
          <w:szCs w:val="19"/>
        </w:rPr>
        <w:t xml:space="preserve">mahanya fit            Fit per-direction/period arrival distributions from raw field counts.</w:t>
        <w:br/>
        <w:t xml:space="preserve">mahanya calibrate      Generate a calibrated .rou.xml + .sumocfg for one period (peak|offpeak).</w:t>
        <w:br/>
        <w:t xml:space="preserve">mahanya generate       Generate labelled training sequences from a calibrated scenario.</w:t>
        <w:br/>
        <w:t xml:space="preserve">mahanya train          Train the transformer phase recommender.</w:t>
        <w:br/>
        <w:t xml:space="preserve">mahanya run            Run one scenario end-to-end through the control loop.</w:t>
        <w:br/>
        <w:t xml:space="preserve">mahanya evaluate       Evaluate the intelligent controller against the fixed-time baseline.</w:t>
        <w:br/>
        <w:t xml:space="preserve">mahanya serve-api      Run the internal FastAPI relay (serves /api/* for the dashboard).</w:t>
        <w:br/>
        <w:t xml:space="preserve">mahanya build-web      Build the Next.js SPA static export.</w:t>
      </w:r>
    </w:p>
    <w:p>
      <w:pPr>
        <w:spacing w:after="240" w:line="480" w:lineRule="auto"/>
        <w:jc w:val="both"/>
      </w:pPr>
      <w:r>
        <w:rPr>
          <w:rFonts w:ascii="Times New Roman" w:cs="Times New Roman" w:eastAsia="Times New Roman" w:hAnsi="Times New Roman"/>
          <w:sz w:val="24"/>
          <w:szCs w:val="24"/>
        </w:rPr>
        <w:t xml:space="preserve">The exact commands used to produce the results reported in Chapter Four were, in order: mahanya fit; mahanya calibrate --period peak; mahanya calibrate --period offpeak; mahanya generate --scenario-id sapon-peak --num-ticks 1200; mahanya train; mahanya evaluate --scenario-id sapon-peak --num-ticks 900; and mahanya evaluate --scenario-id sapon-offpeak --num-ticks 900.</w:t>
      </w:r>
    </w:p>
    <w:p>
      <w:pPr>
        <w:pageBreakBefore/>
        <w:spacing w:after="320" w:line="360" w:lineRule="auto"/>
        <w:jc w:val="left"/>
      </w:pPr>
      <w:r>
        <w:rPr>
          <w:rFonts w:ascii="Times New Roman" w:cs="Times New Roman" w:eastAsia="Times New Roman" w:hAnsi="Times New Roman"/>
          <w:b/>
          <w:bCs/>
          <w:sz w:val="26"/>
          <w:szCs w:val="26"/>
        </w:rPr>
        <w:t xml:space="preserve">APPENDIX B: SAMPLE DECISION LOG RECORDS</w:t>
      </w:r>
    </w:p>
    <w:p>
      <w:pPr>
        <w:spacing w:after="240" w:line="480" w:lineRule="auto"/>
        <w:jc w:val="both"/>
      </w:pPr>
      <w:r>
        <w:rPr>
          <w:rFonts w:ascii="Times New Roman" w:cs="Times New Roman" w:eastAsia="Times New Roman" w:hAnsi="Times New Roman"/>
          <w:sz w:val="24"/>
          <w:szCs w:val="24"/>
        </w:rPr>
        <w:t xml:space="preserve">The five records below are unedited excerpts from an actual decision_log.jsonl produced by mahanya run against the calibrated peak scenario, one per reason code, showing the model's recommendation, the phase actually applied, and (where the scheduler diverged from the recommendation) the reasonDetail explaining why.</w:t>
      </w:r>
    </w:p>
    <w:p>
      <w:pPr>
        <w:shd w:fill="F2F2F2" w:val="clear"/>
        <w:spacing w:after="120" w:line="240" w:lineRule="auto"/>
      </w:pPr>
      <w:r>
        <w:rPr>
          <w:rFonts w:ascii="Courier New" w:cs="Courier New" w:eastAsia="Courier New" w:hAnsi="Courier New"/>
          <w:sz w:val="19"/>
          <w:szCs w:val="19"/>
        </w:rPr>
        <w:t xml:space="preserve">{"tick": 0, "reasonCode": "model_accepted",</w:t>
        <w:br/>
        <w:t xml:space="preserve"> "recommendation": {"recommendedPhase": "NORTH_GREEN", "confidence": 0.981},</w:t>
        <w:br/>
        <w:t xml:space="preserve"> "appliedPhase": "NORTH_GREEN", "reasonDetail": null}</w:t>
      </w:r>
    </w:p>
    <w:p>
      <w:pPr>
        <w:shd w:fill="F2F2F2" w:val="clear"/>
        <w:spacing w:after="120" w:line="240" w:lineRule="auto"/>
      </w:pPr>
      <w:r>
        <w:rPr>
          <w:rFonts w:ascii="Courier New" w:cs="Courier New" w:eastAsia="Courier New" w:hAnsi="Courier New"/>
          <w:sz w:val="19"/>
          <w:szCs w:val="19"/>
        </w:rPr>
        <w:t xml:space="preserve">{"tick": 59, "reasonCode": "max_green_force",</w:t>
        <w:br/>
        <w:t xml:space="preserve"> "recommendation": {"recommendedPhase": "NORTH_GREEN", "confidence": 0.984},</w:t>
        <w:br/>
        <w:t xml:space="preserve"> "appliedPhase": "NORTH_YELLOW",</w:t>
        <w:br/>
        <w:t xml:space="preserve"> "reasonDetail": "NORTH_GREEN reached maximum green duration (60s)"}</w:t>
      </w:r>
    </w:p>
    <w:p>
      <w:pPr>
        <w:shd w:fill="F2F2F2" w:val="clear"/>
        <w:spacing w:after="120" w:line="240" w:lineRule="auto"/>
      </w:pPr>
      <w:r>
        <w:rPr>
          <w:rFonts w:ascii="Courier New" w:cs="Courier New" w:eastAsia="Courier New" w:hAnsi="Courier New"/>
          <w:sz w:val="19"/>
          <w:szCs w:val="19"/>
        </w:rPr>
        <w:t xml:space="preserve">{"tick": 90, "reasonCode": "anti_starvation_force",</w:t>
        <w:br/>
        <w:t xml:space="preserve"> "recommendation": {"recommendedPhase": "SOUTH_GREEN", "confidence": 0.988},</w:t>
        <w:br/>
        <w:t xml:space="preserve"> "appliedPhase": "SOUTH_YELLOW",</w:t>
        <w:br/>
        <w:t xml:space="preserve"> "reasonDetail": "east approach exceeded max wait threshold (90s)"}</w:t>
      </w:r>
    </w:p>
    <w:p>
      <w:pPr>
        <w:shd w:fill="F2F2F2" w:val="clear"/>
        <w:spacing w:after="120" w:line="240" w:lineRule="auto"/>
      </w:pPr>
      <w:r>
        <w:rPr>
          <w:rFonts w:ascii="Courier New" w:cs="Courier New" w:eastAsia="Courier New" w:hAnsi="Courier New"/>
          <w:sz w:val="19"/>
          <w:szCs w:val="19"/>
        </w:rPr>
        <w:t xml:space="preserve">{"tick": 96, "reasonCode": "min_green_hold",</w:t>
        <w:br/>
        <w:t xml:space="preserve"> "recommendation": {"recommendedPhase": "EAST_GREEN", "confidence": 0.990},</w:t>
        <w:br/>
        <w:t xml:space="preserve"> "appliedPhase": "EAST_GREEN",</w:t>
        <w:br/>
        <w:t xml:space="preserve"> "reasonDetail": "EAST_GREEN has 9s remaining before minimum green elapses"}</w:t>
      </w:r>
    </w:p>
    <w:p>
      <w:pPr>
        <w:shd w:fill="F2F2F2" w:val="clear"/>
        <w:spacing w:after="120" w:line="240" w:lineRule="auto"/>
      </w:pPr>
      <w:r>
        <w:rPr>
          <w:rFonts w:ascii="Courier New" w:cs="Courier New" w:eastAsia="Courier New" w:hAnsi="Courier New"/>
          <w:sz w:val="19"/>
          <w:szCs w:val="19"/>
        </w:rPr>
        <w:t xml:space="preserve">{"tick": 299, "reasonCode": "emergency_preempt",</w:t>
        <w:br/>
        <w:t xml:space="preserve"> "recommendation": null, "appliedPhase": "SOUTH_GREEN",</w:t>
        <w:br/>
        <w:t xml:space="preserve"> "reasonDetail": "Holding green for detected emergency vehicle on south approach"}</w:t>
      </w:r>
    </w:p>
    <w:p>
      <w:pPr>
        <w:spacing w:after="240" w:line="480" w:lineRule="auto"/>
        <w:jc w:val="both"/>
      </w:pPr>
      <w:r>
        <w:rPr>
          <w:rFonts w:ascii="Times New Roman" w:cs="Times New Roman" w:eastAsia="Times New Roman" w:hAnsi="Times New Roman"/>
          <w:sz w:val="24"/>
          <w:szCs w:val="24"/>
        </w:rPr>
        <w:t xml:space="preserve">Tick 90 illustrates a subtlety worth noting explicitly: applying SOUTH_YELLOW rather than jumping straight to a new green phase shows the scheduler exiting the previously active green phase through the mandatory yellow clearance step (Section 3.7) on its way to serving the starved east approach, rather than skipping straight from one green phase to another.</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 w:ilvl="0">
        <w:start w:val="1"/>
        <w:numFmt w:val="lowerRoman"/>
        <w:lvlText w:val="%1."/>
        <w:lvlJc w:val="left"/>
        <w:pPr>
          <w:ind w:left="720" w:hanging="360"/>
        </w:pPr>
        <w:rPr>
          <w:rFonts w:ascii="Times New Roman" w:eastAsia="Times New Roman" w:hAnsi="Times New Roman" w:cs="Times New Roman"/>
          <w:sz w:val="24"/>
          <w:szCs w:val="24"/>
        </w:rPr>
      </w:lvl>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