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Monovella Executive Summary</w:t>
      </w:r>
    </w:p>
    <w:p>
      <w:pPr>
        <w:jc w:val="center"/>
      </w:pPr>
      <w:r>
        <w:rPr>
          <w:i/>
        </w:rPr>
        <w:t>Investment summary for a projected connected-care marketplace</w:t>
      </w:r>
    </w:p>
    <w:p>
      <w:r>
        <w:t>September 2026. Planning document. Figures distinguish current evidence, assumptions, and projections.</w:t>
      </w:r>
    </w:p>
    <w:p>
      <w:pPr>
        <w:pStyle w:val="Heading1"/>
      </w:pPr>
      <w:r>
        <w:t>The opportunity</w:t>
      </w:r>
    </w:p>
    <w:p>
      <w:r>
        <w:t>Monovella helps working adults in Nigeria move from a verified GP or gynecology consultation to the next clinical action without personally coordinating referrals, payments, laboratory requests, results, and follow-up. The product connects provider discovery, booking, checkout, consultation, Care Plans, laboratory booking, and result return inside one permission-aware Care Journey.</w:t>
      </w:r>
    </w:p>
    <w:p>
      <w:r>
        <w:t>The team has a built product and three paid, manually coordinated care journeys. Monovella has no live platform revenue, signed patient volume, or contracted capacity. The investment case therefore shows a projected path to company profit rather than presenting planning revenue as traction.</w:t>
      </w:r>
    </w:p>
    <w:p>
      <w:pPr>
        <w:pStyle w:val="Heading1"/>
      </w:pPr>
      <w:r>
        <w:t>Commercial model</w:t>
      </w:r>
    </w:p>
    <w:p>
      <w:r>
        <w:t>The patient pays the provider fee plus a disclosed platform commission. The provider receives the full fee. At the 20% planning case, Monovella retains ₦720 from a ₦4,000 GP consultation and ₦1,800 from a ₦10,000 gynecology consultation after the modelled payment cost. Laboratory and pharmacy revenue are excluded until attachment, basket, refund, and payout data exists.</w:t>
      </w:r>
    </w:p>
    <w:p>
      <w:pPr>
        <w:pStyle w:val="Heading1"/>
      </w:pPr>
      <w:r>
        <w:t>24-month company-profit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55953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484"/>
            <w:shd w:fill="155953"/>
          </w:tcPr>
          <w:p>
            <w:r>
              <w:rPr>
                <w:b/>
                <w:color w:val="FFFFFF"/>
              </w:rPr>
              <w:t>Year 1 validation</w:t>
            </w:r>
          </w:p>
        </w:tc>
        <w:tc>
          <w:tcPr>
            <w:tcW w:type="dxa" w:w="2484"/>
            <w:shd w:fill="155953"/>
          </w:tcPr>
          <w:p>
            <w:r>
              <w:rPr>
                <w:b/>
                <w:color w:val="FFFFFF"/>
              </w:rPr>
              <w:t>Year 2 scale</w:t>
            </w:r>
          </w:p>
        </w:tc>
        <w:tc>
          <w:tcPr>
            <w:tcW w:type="dxa" w:w="2484"/>
            <w:shd w:fill="155953"/>
          </w:tcPr>
          <w:p>
            <w:r>
              <w:rPr>
                <w:b/>
                <w:color w:val="FFFFFF"/>
              </w:rPr>
              <w:t>24-month total</w:t>
            </w:r>
          </w:p>
        </w:tc>
      </w:tr>
      <w:tr>
        <w:tc>
          <w:tcPr>
            <w:tcW w:type="dxa" w:w="2484"/>
            <w:vAlign w:val="center"/>
          </w:tcPr>
          <w:p>
            <w:r>
              <w:t>Completed consultations</w:t>
            </w:r>
          </w:p>
        </w:tc>
        <w:tc>
          <w:tcPr>
            <w:tcW w:type="dxa" w:w="2484"/>
            <w:vAlign w:val="center"/>
          </w:tcPr>
          <w:p>
            <w:r>
              <w:t>1,821</w:t>
            </w:r>
          </w:p>
        </w:tc>
        <w:tc>
          <w:tcPr>
            <w:tcW w:type="dxa" w:w="2484"/>
            <w:vAlign w:val="center"/>
          </w:tcPr>
          <w:p>
            <w:r>
              <w:t>204,707</w:t>
            </w:r>
          </w:p>
        </w:tc>
        <w:tc>
          <w:tcPr>
            <w:tcW w:type="dxa" w:w="2484"/>
            <w:vAlign w:val="center"/>
          </w:tcPr>
          <w:p>
            <w:r>
              <w:t>206,528</w:t>
            </w:r>
          </w:p>
        </w:tc>
      </w:tr>
      <w:tr>
        <w:tc>
          <w:tcPr>
            <w:tcW w:type="dxa" w:w="2484"/>
            <w:vAlign w:val="center"/>
          </w:tcPr>
          <w:p>
            <w:r>
              <w:t>Net platform revenue</w:t>
            </w:r>
          </w:p>
        </w:tc>
        <w:tc>
          <w:tcPr>
            <w:tcW w:type="dxa" w:w="2484"/>
            <w:vAlign w:val="center"/>
          </w:tcPr>
          <w:p>
            <w:r>
              <w:t>₦1.66m</w:t>
            </w:r>
          </w:p>
        </w:tc>
        <w:tc>
          <w:tcPr>
            <w:tcW w:type="dxa" w:w="2484"/>
            <w:vAlign w:val="center"/>
          </w:tcPr>
          <w:p>
            <w:r>
              <w:t>₦186.40m</w:t>
            </w:r>
          </w:p>
        </w:tc>
        <w:tc>
          <w:tcPr>
            <w:tcW w:type="dxa" w:w="2484"/>
            <w:vAlign w:val="center"/>
          </w:tcPr>
          <w:p>
            <w:r>
              <w:t>₦188.06m</w:t>
            </w:r>
          </w:p>
        </w:tc>
      </w:tr>
      <w:tr>
        <w:tc>
          <w:tcPr>
            <w:tcW w:type="dxa" w:w="2484"/>
            <w:vAlign w:val="center"/>
          </w:tcPr>
          <w:p>
            <w:r>
              <w:t>Pre-tax operating profit/(loss)</w:t>
            </w:r>
          </w:p>
        </w:tc>
        <w:tc>
          <w:tcPr>
            <w:tcW w:type="dxa" w:w="2484"/>
            <w:vAlign w:val="center"/>
          </w:tcPr>
          <w:p>
            <w:r>
              <w:t>(₦17.66m)</w:t>
            </w:r>
          </w:p>
        </w:tc>
        <w:tc>
          <w:tcPr>
            <w:tcW w:type="dxa" w:w="2484"/>
            <w:vAlign w:val="center"/>
          </w:tcPr>
          <w:p>
            <w:r>
              <w:t>₦36.56m</w:t>
            </w:r>
          </w:p>
        </w:tc>
        <w:tc>
          <w:tcPr>
            <w:tcW w:type="dxa" w:w="2484"/>
            <w:vAlign w:val="center"/>
          </w:tcPr>
          <w:p>
            <w:r>
              <w:t>₦18.90m</w:t>
            </w:r>
          </w:p>
        </w:tc>
      </w:tr>
    </w:tbl>
    <w:p/>
    <w:p>
      <w:r>
        <w:t>The ₦18.9m ask funds the 12-month validation plan. The Month-24 target is ₦18.9m cumulative pre-tax operating profit for the company. It is not a dividend, investor payout, or claim that the initial ask pays all Year-2 operating costs.</w:t>
      </w:r>
    </w:p>
    <w:p>
      <w:pPr>
        <w:pStyle w:val="Heading1"/>
      </w:pPr>
      <w:r>
        <w:t>Bottom-up market model</w:t>
      </w:r>
    </w:p>
    <w:p>
      <w:r>
        <w:t>The SOM is the 204,707 Year-2 completed consultations required to cover Year-2 fixed operating costs, the Year-1 validation loss, and the ₦18.9m cumulative profit target. This equals 17,059 completed consultations per month. It is a calculated target, not current demand or market share.</w:t>
      </w:r>
    </w:p>
    <w:p>
      <w:r>
        <w:t>SAM is annual consultation capacity in Lagos, Ogun, and FCT. TAM uses the same calculation nationally. Both are built from cited medical-doctor bases, mentor-provided GP and gynecology monthly consultation ranges, a provisional GP/Gyn allocation, and a 5% Monovella-available-capacity assumption. The cited government report does not publish a current specialty split, so a Nigeria Health Workforce Registry export must replace the provisional allocation before external claims of verified specialty capacity.</w:t>
      </w:r>
    </w:p>
    <w:p>
      <w:pPr>
        <w:pStyle w:val="Heading1"/>
      </w:pPr>
      <w:r>
        <w:t>Capital use and proof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55953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4968"/>
            <w:shd w:fill="155953"/>
          </w:tcPr>
          <w:p>
            <w:r>
              <w:rPr>
                <w:b/>
                <w:color w:val="FFFFFF"/>
              </w:rPr>
              <w:t>Capital should produce</w:t>
            </w:r>
          </w:p>
        </w:tc>
      </w:tr>
      <w:tr>
        <w:tc>
          <w:tcPr>
            <w:tcW w:type="dxa" w:w="4968"/>
            <w:vAlign w:val="center"/>
          </w:tcPr>
          <w:p>
            <w:r>
              <w:t>Months 1–3</w:t>
            </w:r>
          </w:p>
        </w:tc>
        <w:tc>
          <w:tcPr>
            <w:tcW w:type="dxa" w:w="4968"/>
            <w:vAlign w:val="center"/>
          </w:tcPr>
          <w:p>
            <w:r>
              <w:t>Provider onboarding, verified checkout, governed handoffs, and the first paid self-service consultations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t>Months 4–12</w:t>
            </w:r>
          </w:p>
        </w:tc>
        <w:tc>
          <w:tcPr>
            <w:tcW w:type="dxa" w:w="4968"/>
            <w:vAlign w:val="center"/>
          </w:tcPr>
          <w:p>
            <w:r>
              <w:t>Observed conversion, attendance, availability, result-return reliability, direct cost, and support-load evidence</w:t>
            </w:r>
          </w:p>
        </w:tc>
      </w:tr>
      <w:tr>
        <w:tc>
          <w:tcPr>
            <w:tcW w:type="dxa" w:w="4968"/>
            <w:vAlign w:val="center"/>
          </w:tcPr>
          <w:p>
            <w:r>
              <w:t>Year 2</w:t>
            </w:r>
          </w:p>
        </w:tc>
        <w:tc>
          <w:tcPr>
            <w:tcW w:type="dxa" w:w="4968"/>
            <w:vAlign w:val="center"/>
          </w:tcPr>
          <w:p>
            <w:r>
              <w:t>A scale decision against the consultation volume and economics required for the Month-24 company-profit target</w:t>
            </w:r>
          </w:p>
        </w:tc>
      </w:tr>
    </w:tbl>
    <w:p/>
    <w:p>
      <w:pPr>
        <w:pStyle w:val="Heading1"/>
      </w:pPr>
      <w:r>
        <w:t>Sources and limitations</w:t>
      </w:r>
    </w:p>
    <w:p>
      <w:r>
        <w:t>Financial model: Financial_Plan.xlsx and Financial_Plan.md. Provider base: Federal Ministry of Health State of Health of the Nation Report 2024. Specialty counts: Nigeria Health Workforce Registry export required. Provider monthly volumes: mentor-provided reference image. The commission rate, payment cost, service cost, provider allocation, availability, and Year-2 fixed costs are adjustable planning assumptions, not verified commercial terms. A licensed accountant or tax adviser must review any tax treatment, statutory reporting, or investor instrument.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