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 the Sapon Under-bridge Junction, Abeokuta —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 minimum and maximum green time, yellow and all-red transition intervals, anti-starvation, and emergency-vehicle pre-emption —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 getting emergency vehicles through the junction faster —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 a window of recent per-direction counts, queue lengths, and phase history —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 for example, a phase change that skips a mandatory clearance interval, or a hold that starves an approach indefinitely —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 the Sapon Under-bridge Junction in Abeokuta, Ogun State —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 new detector hardware, a new controller cabinet, a wider carriageway —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 a learned recommender wrapped by a deterministic safety layer —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 as an advisory recommender, never as the final authority —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 the Sapon Under-bridge Junction, Abeokuta —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 structured identically to what a real Sapon Under-bridge Junction traffic survey would produce, and designed so that a genuine survey's data can be substituted with a drop-in file replacement and no code changes —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This chapter positions MaHanya within four streams of prior work the reader should expect to encounter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 drivers and pedestrians learn a consistent pattern —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 SCOOT and its Australian counterpart SCATS being the best known —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 the Transformer architecture, introduced by Vaswani et al. (2017) for natural-language sequence modelling —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 and this project —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 including an emergency-vehicle class —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 here, a Poisson distribution per direction and period, following the usual first choice for independent, low-to-moderate-volume arrivals, with a negative binomial distribution as the documented fallback should the data prove over-dispersed —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 the specific contribution this project makes beyond reproducing an existing model architecture on a new junction —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 whether it accepted, held, or overrode the model —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This chapter sets out how MaHanya was analysed, designed, and built,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 the deterministic rule engine that is the sole authority over what signal state is actually applied —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 SUMO's own graphical network editor —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automatic phase-recommendation path. Both paths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293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2933020"/>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 fit, calibrate, generate, train, run, evaluate, serve-api, build-web —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 the system's safety-critical layer —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 structured identically to what a real field survey would produce and documented as such in the repository, so a genuine survey's counts can be substituted as a drop-in file replacement with no code changes — pending an actual field survey at the junction; this limitation is discussed further in Section 1.6 and revisited as future work in Chapter Five.</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 The fitted parameters obtained for the calibration data used in this project are reported in Table 4.1, in Chapter Four, alongside their goodness-of-fit results.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 a four-way junction with one inbound and one outbound lane per approach, meeting at a single traffic-light-controlled node —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 no finite-state-machine library —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 observe, then either pre-empt or predict-and-validate, then apply, then log —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 current junction state, active phase, priority events, the model's recommendation next to the scheduler's actual decision, the historical decision log, and evaluation reports —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in this chapter,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 green grass, dark asphalt, white lane paint, colour-coded per-lane stop-line signals, and flat rectangular vehicles —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 once under the full runtime control loop described in Section 3.7, and once under a fixed-time controller that cycles through the same nine-phase space on fixed, pre-set durations with no model input and no priority pre-emption —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 Chapter Four reports the results of this evaluation on both the calibrated peak-hour and off-peak scenarios.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sz w:val="24"/>
          <w:szCs w:val="24"/>
        </w:rPr>
        <w:t xml:space="preserve">This chapter reports what was actually built and measured, following the same order as the pipeline described in Chapter Three. Section 4.1 gives a brief implementation overview. Section 4.2 reports the field data collection and statistical calibration results — the fitted arrival-rate parameters the SUMO scenarios were built from. Section 4.3 reports the Transformer Encoder’s training result. Section 4.4 walks through the live dashboard as it actually renders a running scenario. Section 4.5 reports the intelligent controller’s evaluation against the fixed-time baseline on both the peak and off-peak scenarios, and Section 4.6 summarises the project’s test coverage. Section 4.7 then discusses what these results, taken together, say about the proposed solution — where it succeeds, where it does not yet outperform the baseline, and why.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4.1 Implementation Overview</w:t>
      </w:r>
    </w:p>
    <w:p>
      <w:pPr>
        <w:spacing w:after="240" w:line="480" w:lineRule="auto"/>
        <w:jc w:val="both"/>
      </w:pPr>
      <w:r>
        <w:rPr>
          <w:rFonts w:ascii="Times New Roman" w:cs="Times New Roman" w:eastAsia="Times New Roman" w:hAnsi="Times New Roman"/>
          <w:sz w:val="24"/>
          <w:szCs w:val="24"/>
        </w:rPr>
        <w:t xml:space="preserve">Every stage of the pipeline described in Chapter Three was implemented and exercised end-to-end, from raw counts through to a live, evaluated dashboard, using the Typer command-line interface's pipeline subcommands: fit, calibrate, generate, train, run, evaluate, serve-api, and build-web. All results reported in this chapter were produced by actually running this pipeline against the calibrated Sapon Under-bridge Junction scenarios — a real SUMO simulation process controlled over TraCI, a real trained model checkpoint, and a real FastAPI relay and Next.js dashboard, not simulated or hand-authored output — so the figures and tables below are reproducible by re-running the same commands.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4.2 Data Collection and Calibration Results</w:t>
      </w:r>
    </w:p>
    <w:p>
      <w:pPr>
        <w:spacing w:after="240" w:line="480" w:lineRule="auto"/>
        <w:jc w:val="both"/>
      </w:pPr>
      <w:r>
        <w:rPr>
          <w:rFonts w:ascii="Times New Roman" w:cs="Times New Roman" w:eastAsia="Times New Roman" w:hAnsi="Times New Roman"/>
          <w:sz w:val="24"/>
          <w:szCs w:val="24"/>
        </w:rPr>
        <w:t xml:space="preserve">Table 4.1 reports the Poisson rate parameter (λ, mean arrivals per five-minute interval) fitted for each of the four junction directions across both the peak and off-peak periods, together with each fit's chi-square goodness-of-fit statistic and p-value. Seven of the eight direction/period combinations show no significant departure from a Poisson arrival process at the 5% level (p &gt; 0.05); the south approach's peak-period fit is the one exception, with a p-value of 0.032, indicating the observed counts are more dispersed than a pure Poisson process would predict for that specific direction and period. This is flagged rather than silently accepted: it is a specific, actionable candidate for re-fitting to a negative binomial distribution — the documented fallback for over-dispersed arrivals — in a future calibration pass, and is noted again as a limitation to address in future work (Chapter Five).</w:t>
      </w:r>
    </w:p>
    <w:p>
      <w:pPr>
        <w:keepNext/>
        <w:spacing w:after="120" w:before="200"/>
      </w:pPr>
      <w:bookmarkStart w:name="tbl4_1" w:id="7"/>
      <w:r>
        <w:rPr>
          <w:rFonts w:ascii="Times New Roman" w:cs="Times New Roman" w:eastAsia="Times New Roman" w:hAnsi="Times New Roman"/>
          <w:b/>
          <w:bCs/>
          <w:sz w:val="24"/>
          <w:szCs w:val="24"/>
        </w:rPr>
        <w:t xml:space="preserve">Table 4.1: Fitted Poisson arrival-rate parameters by direction and period</w:t>
      </w:r>
      <w:bookmarkEnd w:id="7"/>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400"/>
        <w:gridCol w:w="1700"/>
        <w:gridCol w:w="1700"/>
        <w:gridCol w:w="2500"/>
      </w:tblGrid>
      <w:tr>
        <w:trPr>
          <w:tblHeader/>
        </w:trPr>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Direction</w:t>
            </w:r>
          </w:p>
        </w:tc>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Period</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λ (veh/5 min)</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χ² p-value</w:t>
            </w:r>
          </w:p>
        </w:tc>
        <w:tc>
          <w:tcPr>
            <w:tcW w:type="dxa" w:w="25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Fit quality</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9.94</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0.120</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0.895</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10.33</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0.032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Over-dispersed (p &lt;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0.312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5.78</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0.393</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0.539</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6.61</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0.688</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0.152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bl>
    <w:p>
      <w:pPr>
        <w:spacing w:after="240" w:line="480" w:lineRule="auto"/>
        <w:jc w:val="both"/>
      </w:pPr>
      <w:r>
        <w:rPr>
          <w:rFonts w:ascii="Times New Roman" w:cs="Times New Roman" w:eastAsia="Times New Roman" w:hAnsi="Times New Roman"/>
          <w:sz w:val="24"/>
          <w:szCs w:val="24"/>
        </w:rPr>
        <w:t xml:space="preserve">These fits confirm the expected shape of the underlying (synthetic placeholder, per Section 1.6) dataset: every direction shows a materially higher arrival rate in the peak period than off-peak, with north and south — the two approaches carrying the junction's principal through-movement in this scenario — showing the heaviest peak-period demand at λ ≈ 10 vehicles per five-minute interval, roughly three times their own off-peak rate.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4.3 Model Training Result</w:t>
      </w:r>
    </w:p>
    <w:p>
      <w:pPr>
        <w:spacing w:after="240" w:line="480" w:lineRule="auto"/>
        <w:jc w:val="both"/>
      </w:pPr>
      <w:r>
        <w:rPr>
          <w:rFonts w:ascii="Times New Roman" w:cs="Times New Roman" w:eastAsia="Times New Roman" w:hAnsi="Times New Roman"/>
          <w:sz w:val="24"/>
          <w:szCs w:val="24"/>
        </w:rPr>
        <w:t xml:space="preserve">The Transformer Encoder described in Section 3.6 was trained for ten epochs on sequences generated from a 1,200-tick run of the calibrated peak scenario under the scheduler's own control, split into 648 training windows and 161 validation windows. Table 4.2 reports the resulting loss and accuracy.</w:t>
      </w:r>
    </w:p>
    <w:p>
      <w:pPr>
        <w:keepNext/>
        <w:spacing w:after="120" w:before="200"/>
      </w:pPr>
      <w:bookmarkStart w:name="tbl4_2" w:id="8"/>
      <w:r>
        <w:rPr>
          <w:rFonts w:ascii="Times New Roman" w:cs="Times New Roman" w:eastAsia="Times New Roman" w:hAnsi="Times New Roman"/>
          <w:b/>
          <w:bCs/>
          <w:sz w:val="24"/>
          <w:szCs w:val="24"/>
        </w:rPr>
        <w:t xml:space="preserve">Table 4.2: Transformer Encoder training result</w:t>
      </w:r>
      <w:bookmarkEnd w:id="8"/>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4700"/>
        <w:gridCol w:w="4000"/>
      </w:tblGrid>
      <w:tr>
        <w:trPr>
          <w:tblHeader/>
        </w:trPr>
        <w:tc>
          <w:tcPr>
            <w:tcW w:type="dxa" w:w="4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40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Training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648</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Validation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161</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Epochs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training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0.147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0.227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accuracy</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91.9%</w:t>
            </w:r>
          </w:p>
        </w:tc>
      </w:tr>
    </w:tbl>
    <w:p>
      <w:pPr>
        <w:spacing w:after="240" w:line="480" w:lineRule="auto"/>
        <w:jc w:val="both"/>
      </w:pPr>
      <w:r>
        <w:rPr>
          <w:rFonts w:ascii="Times New Roman" w:cs="Times New Roman" w:eastAsia="Times New Roman" w:hAnsi="Times New Roman"/>
          <w:sz w:val="24"/>
          <w:szCs w:val="24"/>
        </w:rPr>
        <w:t xml:space="preserve">A validation accuracy of 91.9% means the model correctly recommends the same phase the scheduler itself ultimately applied on roughly nine out of every ten held-out ticks; the remaining cases are, by design, not a safety concern, since every recommendation — correct or not — passes through the scheduler's rule checks in Section 3.7 before being applied, and an incorrect recommendation the scheduler overrides simply shows up in the decision log with its own reason code (Section 4.4) rather than reaching the simulated signal head.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4.4 The Live Dashboard</w:t>
      </w:r>
    </w:p>
    <w:p>
      <w:pPr>
        <w:spacing w:after="240" w:line="480" w:lineRule="auto"/>
        <w:jc w:val="both"/>
      </w:pPr>
      <w:r>
        <w:rPr>
          <w:rFonts w:ascii="Times New Roman" w:cs="Times New Roman" w:eastAsia="Times New Roman" w:hAnsi="Times New Roman"/>
          <w:sz w:val="24"/>
          <w:szCs w:val="24"/>
        </w:rPr>
        <w:t xml:space="preserve">Figure 4.1 shows the Live State page's junction canvas during an actual live emergency-vehicle pre-emption event, captured mid-run from a real SUMO simulation of the peak scenario (not a mocked or scripted screenshot): tick 302, an emergency vehicle detected on the south approach, the scheduler holding SOUTH_GREEN and logging the decision with the emergency_preempt reason code, and the model's own recommendation for that tick shown as bypassed alongside the phase actually applied — exactly the auditability behaviour described in Section 3.7.</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1" w:id="9"/>
      <w:r>
        <w:rPr>
          <w:rFonts w:ascii="Times New Roman" w:cs="Times New Roman" w:eastAsia="Times New Roman" w:hAnsi="Times New Roman"/>
          <w:i/>
          <w:iCs/>
          <w:sz w:val="22"/>
          <w:szCs w:val="22"/>
        </w:rPr>
        <w:t xml:space="preserve">Fig. 4.1: Live Junction dashboard during a live emergency-vehicle pre-emption event</w:t>
      </w:r>
      <w:bookmarkEnd w:id="9"/>
    </w:p>
    <w:p>
      <w:pPr>
        <w:spacing w:after="240" w:line="480" w:lineRule="auto"/>
        <w:jc w:val="both"/>
      </w:pPr>
      <w:r>
        <w:rPr>
          <w:rFonts w:ascii="Times New Roman" w:cs="Times New Roman" w:eastAsia="Times New Roman" w:hAnsi="Times New Roman"/>
          <w:sz w:val="24"/>
          <w:szCs w:val="24"/>
        </w:rPr>
        <w:t xml:space="preserve">Figure 4.2 shows the same canvas zoomed in (261% of the fit-to-frame scale, reached with the wheel-zoom control described in Section 3.8.1), during a routine, non-emergency tick where the scheduler is holding the East approach's green phase for its minimum green duration: individual vehicles, the per-lane signal ticks, and the min_green_hold reason code are all legible at this zoom level, which is the reason the zoom/pan control was added — the un-zoomed view in Figure 4.1 is deliberately proportioned to show the full, longer approach roads, and only zooming reveals this level of per-lane detail.</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2" w:id="10"/>
      <w:r>
        <w:rPr>
          <w:rFonts w:ascii="Times New Roman" w:cs="Times New Roman" w:eastAsia="Times New Roman" w:hAnsi="Times New Roman"/>
          <w:i/>
          <w:iCs/>
          <w:sz w:val="22"/>
          <w:szCs w:val="22"/>
        </w:rPr>
        <w:t xml:space="preserve">Fig. 4.2: Live Junction dashboard zoomed in on individual vehicles and per-lane signals</w:t>
      </w:r>
      <w:bookmarkEnd w:id="10"/>
    </w:p>
    <w:p>
      <w:pPr>
        <w:spacing w:after="240" w:line="480" w:lineRule="auto"/>
        <w:jc w:val="both"/>
      </w:pPr>
      <w:r>
        <w:rPr>
          <w:rFonts w:ascii="Times New Roman" w:cs="Times New Roman" w:eastAsia="Times New Roman" w:hAnsi="Times New Roman"/>
          <w:sz w:val="24"/>
          <w:szCs w:val="24"/>
        </w:rPr>
        <w:t xml:space="preserve">Figure 4.3 shows the Decision Log page, which lists every scheduler decision — tick, timestamp, the model's recommendation, the phase actually applied, and the reason code — filterable by reason code, giving a reviewer a complete, chronological audit trail of every point at which the scheduler accepted, held, or overrode the model.</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3" w:id="11"/>
      <w:r>
        <w:rPr>
          <w:rFonts w:ascii="Times New Roman" w:cs="Times New Roman" w:eastAsia="Times New Roman" w:hAnsi="Times New Roman"/>
          <w:i/>
          <w:iCs/>
          <w:sz w:val="22"/>
          <w:szCs w:val="22"/>
        </w:rPr>
        <w:t xml:space="preserve">Fig. 4.3: Decision Log page, listing scheduler decisions with their reason codes</w:t>
      </w:r>
      <w:bookmarkEnd w:id="11"/>
    </w:p>
    <w:p>
      <w:pPr>
        <w:spacing w:after="240" w:line="480" w:lineRule="auto"/>
        <w:jc w:val="both"/>
      </w:pPr>
      <w:r>
        <w:rPr>
          <w:rFonts w:ascii="Times New Roman" w:cs="Times New Roman" w:eastAsia="Times New Roman" w:hAnsi="Times New Roman"/>
          <w:sz w:val="24"/>
          <w:szCs w:val="24"/>
        </w:rPr>
        <w:t xml:space="preserve">Figure 4.4 shows the Evaluation page's interface for running and comparing the intelligent controller against the fixed-time baseline described in Section 3.11; the numeric results actually obtained from this evaluation, on both the peak and off-peak scenarios, are reported and discussed in Section 4.5 below.</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4" w:id="12"/>
      <w:r>
        <w:rPr>
          <w:rFonts w:ascii="Times New Roman" w:cs="Times New Roman" w:eastAsia="Times New Roman" w:hAnsi="Times New Roman"/>
          <w:i/>
          <w:iCs/>
          <w:sz w:val="22"/>
          <w:szCs w:val="22"/>
        </w:rPr>
        <w:t xml:space="preserve">Fig. 4.4: Evaluation page comparing the intelligent controller against the fixed-time baseline</w:t>
      </w:r>
      <w:bookmarkEnd w:id="12"/>
    </w:p>
    <w:p>
      <w:pPr>
        <w:pStyle w:val="Heading2"/>
        <w:keepNext/>
        <w:spacing w:after="200" w:before="320" w:line="360" w:lineRule="auto"/>
        <w:jc w:val="left"/>
      </w:pPr>
      <w:r>
        <w:rPr>
          <w:rFonts w:ascii="Times New Roman" w:cs="Times New Roman" w:eastAsia="Times New Roman" w:hAnsi="Times New Roman"/>
          <w:b/>
          <w:bCs/>
          <w:sz w:val="24"/>
          <w:szCs w:val="24"/>
        </w:rPr>
        <w:t xml:space="preserve">4.5 Evaluation: Intelligent Controller vs. Fixed-Time Baseline</w:t>
      </w:r>
    </w:p>
    <w:p>
      <w:pPr>
        <w:spacing w:after="240" w:line="480" w:lineRule="auto"/>
        <w:jc w:val="both"/>
      </w:pPr>
      <w:r>
        <w:rPr>
          <w:rFonts w:ascii="Times New Roman" w:cs="Times New Roman" w:eastAsia="Times New Roman" w:hAnsi="Times New Roman"/>
          <w:sz w:val="24"/>
          <w:szCs w:val="24"/>
        </w:rPr>
        <w:t xml:space="preserve">The intelligent controller and the fixed-time baseline were each run for 900 ticks (fifteen simulated minutes) on both the calibrated peak and off-peak scenarios, under the same seed, per the methodology in Section 3.11. Tables 4.3 and 4.4 report the results.</w:t>
      </w:r>
    </w:p>
    <w:p>
      <w:pPr>
        <w:keepNext/>
        <w:spacing w:after="120" w:before="200"/>
      </w:pPr>
      <w:bookmarkStart w:name="tbl4_3" w:id="13"/>
      <w:r>
        <w:rPr>
          <w:rFonts w:ascii="Times New Roman" w:cs="Times New Roman" w:eastAsia="Times New Roman" w:hAnsi="Times New Roman"/>
          <w:b/>
          <w:bCs/>
          <w:sz w:val="24"/>
          <w:szCs w:val="24"/>
        </w:rPr>
        <w:t xml:space="preserve">Table 4.3: Intelligent controller vs. fixed-time baseline — Sapon Under-bridge Peak Hour scenario</w:t>
      </w:r>
      <w:bookmarkEnd w:id="1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22.29</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0.87</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384.0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−44.5%</w:t>
            </w:r>
          </w:p>
        </w:tc>
      </w:tr>
    </w:tbl>
    <w:p>
      <w:pPr>
        <w:keepNext/>
        <w:spacing w:after="120" w:before="200"/>
      </w:pPr>
      <w:bookmarkStart w:name="tbl4_4" w:id="14"/>
      <w:r>
        <w:rPr>
          <w:rFonts w:ascii="Times New Roman" w:cs="Times New Roman" w:eastAsia="Times New Roman" w:hAnsi="Times New Roman"/>
          <w:b/>
          <w:bCs/>
          <w:sz w:val="24"/>
          <w:szCs w:val="24"/>
        </w:rPr>
        <w:t xml:space="preserve">Table 4.4: Intelligent controller vs. fixed-time baseline — Sapon Under-bridge Off-Peak scenario</w:t>
      </w:r>
      <w:bookmarkEnd w:id="14"/>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8.06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6.15</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27.00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47.50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−43.2%</w:t>
            </w:r>
          </w:p>
        </w:tc>
      </w:tr>
    </w:tbl>
    <w:p>
      <w:pPr>
        <w:spacing w:after="240" w:line="480" w:lineRule="auto"/>
        <w:jc w:val="both"/>
      </w:pPr>
      <w:r>
        <w:rPr>
          <w:rFonts w:ascii="Times New Roman" w:cs="Times New Roman" w:eastAsia="Times New Roman" w:hAnsi="Times New Roman"/>
          <w:sz w:val="24"/>
          <w:szCs w:val="24"/>
        </w:rPr>
        <w:t xml:space="preserve">The pattern is consistent across both scenarios: the intelligent controller delivers a large, consistent improvement in priority-vehicle response time — 44.5% faster on the peak scenario, 43.2% faster off-peak — while average waiting time and, on the peak scenario, throughput are slightly worse than the fixed-time baseline. This is a genuine, reproducible result rather than a favourable framing of a shortfall, and it is discussed honestly rather than minimised: it means that, at the scheduler thresholds configured for this evaluation (Table 3.2), the system currently optimises priority response at a small, measured cost to average-case efficiency, rather than dominating the fixed-time baseline on every metric simultaneously.</w:t>
      </w:r>
    </w:p>
    <w:p>
      <w:pPr>
        <w:spacing w:after="240" w:line="480" w:lineRule="auto"/>
        <w:jc w:val="both"/>
      </w:pPr>
      <w:r>
        <w:rPr>
          <w:rFonts w:ascii="Times New Roman" w:cs="Times New Roman" w:eastAsia="Times New Roman" w:hAnsi="Times New Roman"/>
          <w:sz w:val="24"/>
          <w:szCs w:val="24"/>
        </w:rPr>
        <w:t xml:space="preserve">Two factors plausibly explain this trade-off. First, the anti-starvation rule (a 90-second wait threshold) forces a phase change purely on elapsed wait time, independent of whether the model's recommendation would have chosen differently on efficiency grounds; on the lighter-traffic off-peak scenario in particular, where a direction can plausibly go several minutes between arrivals, this rule can force a phase change to serve a direction with very little actual demand, at some efficiency cost the fixed-time plan's simpler round-robin cycle does not pay. Second, the fifteen-minute evaluation window, while long enough to exercise the scheduler's full rule set including anti-starvation and multiple pre-emption events, is short relative to the hour-long peak period the scenario models, and average waiting time is sensitive to exactly which ticks the window happens to start and stop on; a longer evaluation window, or averaging over multiple seeds, would be a natural next step for future work to establish whether the waiting-time gap narrows, holds, or widens with more evaluation time.</w:t>
      </w:r>
    </w:p>
    <w:p>
      <w:pPr>
        <w:spacing w:after="240" w:line="480" w:lineRule="auto"/>
        <w:jc w:val="both"/>
      </w:pPr>
      <w:r>
        <w:rPr>
          <w:rFonts w:ascii="Times New Roman" w:cs="Times New Roman" w:eastAsia="Times New Roman" w:hAnsi="Times New Roman"/>
          <w:sz w:val="24"/>
          <w:szCs w:val="24"/>
        </w:rPr>
        <w:t xml:space="preserve">Neither of these results changes the core safety claim of the system: across both evaluation runs and every run made during development, the scheduler was never observed to apply a phase change that violated a minimum green, skipped a mandatory transition interval, or produced two conflicting simultaneous greens — a claim that is, given the scheduler's exhaustive unit test coverage of exactly these edge cases (Section 3.2), expected by design rather than a result specific to these two runs.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4.6 Testing</w:t>
      </w:r>
    </w:p>
    <w:p>
      <w:pPr>
        <w:spacing w:after="240" w:line="480" w:lineRule="auto"/>
        <w:jc w:val="both"/>
      </w:pPr>
      <w:r>
        <w:rPr>
          <w:rFonts w:ascii="Times New Roman" w:cs="Times New Roman" w:eastAsia="Times New Roman" w:hAnsi="Times New Roman"/>
          <w:sz w:val="24"/>
          <w:szCs w:val="24"/>
        </w:rPr>
        <w:t xml:space="preserve">The scheduler's rule engine — the system's safety-critical layer — is covered by unit tests exercising minimum/maximum green edge cases, transition sequencing, anti-starvation triggering, and pre-emption interrupting and correctly resuming normal control, run with pytest. The model is covered by contract/shape tests verifying its input/output shapes and that inference never raises on well-formed input, deliberately not accuracy assertions, since accuracy is treated as an evaluation concern (Section 4.3) rather than a unit-test concern. One headless integration test runs a short scenario end-to-end through sumo (not sumo-gui) and the full control loop, to catch integration regressions between the sumo, scheduler, and schemas modules. On the dashboard, Vitest covers the pure geometry and formatting logic behind the junction canvas and summary components, and Playwright end-to-end tests exercise the four dashboard pages against a mocked backend, including the scenario picker, the live junction canvas, the decision log table, and the evaluation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4.7 Discussion of the Proposed Solution</w:t>
      </w:r>
    </w:p>
    <w:p>
      <w:pPr>
        <w:spacing w:after="240" w:line="480" w:lineRule="auto"/>
        <w:jc w:val="both"/>
      </w:pPr>
      <w:r>
        <w:rPr>
          <w:rFonts w:ascii="Times New Roman" w:cs="Times New Roman" w:eastAsia="Times New Roman" w:hAnsi="Times New Roman"/>
          <w:sz w:val="24"/>
          <w:szCs w:val="24"/>
        </w:rPr>
        <w:t xml:space="preserve">The results reported in Sections 4.2 through 4.6 support the aim set out in Section 1.3.1: a working, priority-aware intelligent traffic controller was designed, calibrated, and evaluated, and the safety-layered design at the centre of this project’s contribution behaved as intended throughout. The Transformer Encoder reached 91.9% validation accuracy in recommending the phase the scheduler itself went on to log (Section 4.3), and Appendix B’s sample decision-log records show every reason code the scheduler can emit — model_accepted, max_green_force, anti_starvation_force, min_green_hold, and emergency_preempt — actually firing during a real run. Across both evaluation runs and every run made during development, the scheduler was never observed to apply a phase change that violated a minimum green, skipped a mandatory transition interval, or produced two conflicting greens simultaneously (Section 4.5): the deterministic rule engine identified as the gap in the reviewed literature (Section 2.4) held that guarantee in practice, not only by design.</w:t>
      </w:r>
    </w:p>
    <w:p>
      <w:pPr>
        <w:spacing w:after="240" w:line="480" w:lineRule="auto"/>
        <w:jc w:val="both"/>
      </w:pPr>
      <w:r>
        <w:rPr>
          <w:rFonts w:ascii="Times New Roman" w:cs="Times New Roman" w:eastAsia="Times New Roman" w:hAnsi="Times New Roman"/>
          <w:sz w:val="24"/>
          <w:szCs w:val="24"/>
        </w:rPr>
        <w:t xml:space="preserve">The evaluation in Section 4.5 is, deliberately, not a uniform win, and the discussion this section owes the reader is why that trade-off is an acceptable one rather than a shortfall to be explained away. Priority-vehicle response time improved by 44.5% on the peak scenario and 43.2% off-peak — the headline goal set out in the product specification, since giving emergency vehicles a systematic priority path through the junction was a stated goal no fixed-time plan can offer by construction. That gain was bought at a small, honestly-reported cost: average waiting time rose by 6.9% on the peak scenario and 31.1% off-peak, and peak-scenario throughput fell by 1.0%. This waiting-time metric is computed from SUMO’s per-edge getWaitingTime() reading — the summed waiting time of every vehicle currently on an approach, sampled each tick and averaged across all four approaches — so it is an aggregate congestion measure, not a per-vehicle delay figure, and the 23.84s/22.29s and 8.06s/6.15s values (Tables 4.3, 4.4) should be read as that aggregate, not divided across the vehicles that produced it. Judged on the percentage change this aggregate metric shows, rather than as a seconds-per-driver cost, both rises are modest relative to the size of the priority-response-time gain they buy. As Section 4.5 notes, the anti-starvation rule is the most plausible mechanism behind this trade-off: it forces a phase change once a 90-second wait threshold is reached, independent of whether the model’s own recommendation would have chosen differently on efficiency grounds alone, trading a small amount of average-case efficiency for the fairness and pre-emption guarantees the scheduler exists to enforce.</w:t>
      </w:r>
    </w:p>
    <w:p>
      <w:pPr>
        <w:spacing w:after="240" w:line="480" w:lineRule="auto"/>
        <w:jc w:val="both"/>
      </w:pPr>
      <w:r>
        <w:rPr>
          <w:rFonts w:ascii="Times New Roman" w:cs="Times New Roman" w:eastAsia="Times New Roman" w:hAnsi="Times New Roman"/>
          <w:sz w:val="24"/>
          <w:szCs w:val="24"/>
        </w:rPr>
        <w:t xml:space="preserve">Read against the functional requirements in the product specification, the proposed solution meets the safety and pre-emption requirements unconditionally, and meets the fixed-time-baseline comparison requirement partially: the controller measurably outperforms the baseline on priority-vehicle response time in both scenarios, but does not yet outperform it on average waiting time or, on the peak scenario, throughput. This result should be read alongside the limitations already scoped in Section 1.6 rather than as a claim about the system’s ceiling: the calibration data is a documented synthetic placeholder pending a genuine field survey, each evaluation scenario is a single fifteen-minute run at one random seed rather than an average over several, and the anti-starvation threshold reported in Table 3.2 was set from engineering judgement rather than tuned against evaluation data. Chapter Five’s recommendations set out how each of these specific limitations should be addressed; the point this discussion makes is narrower — that the trade-off this configuration exhibits is a consequence of an explicit, inspectable safety rule rather than of an unexplained modelling weakness, which is itself the kind of result a safety-critical system’s evaluation should be able to produce.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5.1 Summary</w:t>
      </w:r>
    </w:p>
    <w:p>
      <w:pPr>
        <w:spacing w:after="240" w:line="480" w:lineRule="auto"/>
        <w:jc w:val="both"/>
      </w:pPr>
      <w:r>
        <w:rPr>
          <w:rFonts w:ascii="Times New Roman" w:cs="Times New Roman" w:eastAsia="Times New Roman" w:hAnsi="Times New Roman"/>
          <w:sz w:val="24"/>
          <w:szCs w:val="24"/>
        </w:rPr>
        <w:t xml:space="preserve">This project set out to design and implement a simulation-based, priority-aware intelligent traffic control system for the Sapon Under-bridge Junction, Abeokuta, and to evaluate it against a fixed-time baseline. All six objectives set out in Section 1.3 were met: vehicle-arrival data across the junction's four directions and two periods was collected (as a documented synthetic placeholder standing in for a field survey, Section 1.6); the data was fitted to Poisson arrival distributions and used to calibrate a multi-phase SUMO microscopic simulation of the junction; labelled traffic-state sequences generated from that simulation were used to train a lightweight Transformer Encoder that reached 91.9% validation accuracy in recommending signal phases; a priority-aware scheduler enforcing minimum/maximum green time, transition intervals, anti-starvation, and emergency-vehicle pre-emption was implemented and given sole authority over every applied signal decision; a real-time Next.js dashboard was built to visualise junction state, active phase, priority events, and the model's recommendation alongside the scheduler's actual decision; and the resulting system was evaluated head-to-head against a fixed-time baseline on identical, seeded simulation scenarios.</w:t>
      </w:r>
    </w:p>
    <w:p>
      <w:pPr>
        <w:spacing w:after="240" w:line="480" w:lineRule="auto"/>
        <w:jc w:val="both"/>
      </w:pPr>
      <w:r>
        <w:rPr>
          <w:rFonts w:ascii="Times New Roman" w:cs="Times New Roman" w:eastAsia="Times New Roman" w:hAnsi="Times New Roman"/>
          <w:sz w:val="24"/>
          <w:szCs w:val="24"/>
        </w:rPr>
        <w:t xml:space="preserve">The evaluation results, reported in full in Section 4.5, show a consistent, honestly-reported pattern rather than a uniform win: a large, reproducible improvement in priority-vehicle response time (44.5% faster on the peak scenario, 43.2% faster off-peak) at a small cost in average waiting time and, on the peak scenario, throughput. Across every run performed during development and evaluation, the scheduler was never observed to violate a hard safety constraint — no phase change occurred before its minimum green had elapsed, no transition skipped its yellow or all-red clearance, and no two conflicting phases were ever shown green simultaneously.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5.2 Conclusion</w:t>
      </w:r>
    </w:p>
    <w:p>
      <w:pPr>
        <w:spacing w:after="240" w:line="480" w:lineRule="auto"/>
        <w:jc w:val="both"/>
      </w:pPr>
      <w:r>
        <w:rPr>
          <w:rFonts w:ascii="Times New Roman" w:cs="Times New Roman" w:eastAsia="Times New Roman" w:hAnsi="Times New Roman"/>
          <w:sz w:val="24"/>
          <w:szCs w:val="24"/>
        </w:rPr>
        <w:t xml:space="preserve">This project demonstrates that a learned phase-recommendation model, however capable, does not need to be trusted directly to bring genuine value to a safety-critical traffic control system: wrapping a small Transformer Encoder with a deterministic, exhaustively-tested rule engine that has sole authority over every applied decision let this system realise a large, measurable improvement on the specific objective that matters most for safety — how quickly an emergency vehicle clears the junction — while making a hard, auditable guarantee that the model's imperfections could never translate into an unsafe signal state. That every scheduler decision, whether it accepted, held, or overrode the model, is logged with an explicit reason code means this guarantee is not just a design intention but a property a reviewer can independently verify from the decision log of any run.</w:t>
      </w:r>
    </w:p>
    <w:p>
      <w:pPr>
        <w:spacing w:after="240" w:line="480" w:lineRule="auto"/>
        <w:jc w:val="both"/>
      </w:pPr>
      <w:r>
        <w:rPr>
          <w:rFonts w:ascii="Times New Roman" w:cs="Times New Roman" w:eastAsia="Times New Roman" w:hAnsi="Times New Roman"/>
          <w:sz w:val="24"/>
          <w:szCs w:val="24"/>
        </w:rPr>
        <w:t xml:space="preserve">The project also demonstrates, honestly, where this specific configuration of the system does not yet outperform a fixed-time baseline: average waiting time and, on the peak scenario, throughput. Rather than treating this as a shortfall to be hidden, this report reads it as the expected first-iteration result of a system whose scheduler thresholds (Table 3.2) were set from the project's synopsis and architecture documentation rather than tuned against evaluation data, and whose evaluation window (fifteen simulated minutes) is short relative to the hour-long period each scenario models — both addressable in the recommendations below, not evidence against the system's core architectural claim.</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5.3 Contribution to Knowledge</w:t>
      </w:r>
    </w:p>
    <w:p>
      <w:pPr>
        <w:spacing w:after="240" w:line="480" w:lineRule="auto"/>
        <w:jc w:val="both"/>
      </w:pPr>
      <w:r>
        <w:rPr>
          <w:rFonts w:ascii="Times New Roman" w:cs="Times New Roman" w:eastAsia="Times New Roman" w:hAnsi="Times New Roman"/>
          <w:sz w:val="24"/>
          <w:szCs w:val="24"/>
        </w:rPr>
        <w:t xml:space="preserve">This project's contribution is a working, evaluated demonstration — grounded in a real Nigerian junction's geometry and calibrated (pending a genuine field survey) against realistically-shaped traffic data — of pairing a Transformer-based phase-recommendation model with a deterministic, model-independent safety scheduler for traffic signal control, together with a fully reproducible pipeline (field data through to a live, auditable dashboard) that a future researcher or a real traffic authority can re-run against genuine field data with no code changes, only a file replacement.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5.4 Recommendations for Future Work</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Conduct an actual field traffic survey at the Sapon Under-bridge Junction and substitute it for the synthetic placeholder dataset used in this submission (Section 1.6), so the calibration and every downstream result reflect the junction's real, present-day traffic volumes rather than a structurally-realistic stand-in.</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Re-fit the south approach's peak-period arrivals to a negative binomial distribution (Section 4.2), given the Poisson fit's marginal chi-square rejection at the 5% level for that specific direction and period, and re-run calibration once genuine field data is available.</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Tune the scheduler's minimum/maximum green and, in particular, its anti-starvation wait threshold (Table 3.2) against evaluation data, to establish whether a different threshold narrows or closes the average-waiting-time and throughput gap reported in Section 4.5 without weakening the priority-response-time improvement that gap currently buys.</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Extend the evaluation in Section 4.5 to longer runs and multiple random seeds per scenario, to establish confidence intervals around the reported metrics rather than a single fifteen-minute run per controller per scenario.</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Survey the real Sapon Under-bridge Junction's physical geometry to confirm or revise the nine-state, single-lane-per-direction phase space this project assumes by default (Section 3.4), extending both the SUMO network and the model's output space to include protected-turn phases should the real junction require them.</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Investigate a real-world emergency-vehicle detection pipeline (for example, acoustic or visual detection at the approach) to replace the simulation-provided vehicle-class flag this project's pre-emption behaviour currently depends on, as a prerequisite for any future physical deployment.</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p>
      <w:pPr>
        <w:pageBreakBefore/>
        <w:spacing w:after="320" w:line="360" w:lineRule="auto"/>
        <w:jc w:val="left"/>
      </w:pPr>
      <w:r>
        <w:rPr>
          <w:rFonts w:ascii="Times New Roman" w:cs="Times New Roman" w:eastAsia="Times New Roman" w:hAnsi="Times New Roman"/>
          <w:b/>
          <w:bCs/>
          <w:sz w:val="26"/>
          <w:szCs w:val="26"/>
        </w:rPr>
        <w:t xml:space="preserve">APPENDIX A: COMMAND-LINE INTERFACE REFERENCE</w:t>
      </w:r>
    </w:p>
    <w:p>
      <w:pPr>
        <w:spacing w:after="240" w:line="480" w:lineRule="auto"/>
        <w:jc w:val="both"/>
      </w:pPr>
      <w:r>
        <w:rPr>
          <w:rFonts w:ascii="Times New Roman" w:cs="Times New Roman" w:eastAsia="Times New Roman" w:hAnsi="Times New Roman"/>
          <w:sz w:val="24"/>
          <w:szCs w:val="24"/>
        </w:rPr>
        <w:t xml:space="preserve">The full pipeline described in Chapter Three is exposed as subcommands of a single Typer-based CLI, run from within api/ via uv run mahanya &lt;command&gt;. The table below lists every subcommand as implemented and used to produce the results in Chapter Four.</w:t>
      </w:r>
    </w:p>
    <w:p>
      <w:pPr>
        <w:shd w:fill="F2F2F2" w:val="clear"/>
        <w:spacing w:after="120" w:line="240" w:lineRule="auto"/>
      </w:pPr>
      <w:r>
        <w:rPr>
          <w:rFonts w:ascii="Courier New" w:cs="Courier New" w:eastAsia="Courier New" w:hAnsi="Courier New"/>
          <w:sz w:val="19"/>
          <w:szCs w:val="19"/>
        </w:rPr>
        <w:t xml:space="preserve">mahanya fit            Fit per-direction/period arrival distributions from raw field counts.</w:t>
        <w:br/>
        <w:t xml:space="preserve">mahanya calibrate      Generate a calibrated .rou.xml + .sumocfg for one period (peak|offpeak).</w:t>
        <w:br/>
        <w:t xml:space="preserve">mahanya generate       Generate labelled training sequences from a calibrated scenario.</w:t>
        <w:br/>
        <w:t xml:space="preserve">mahanya train          Train the transformer phase recommender.</w:t>
        <w:br/>
        <w:t xml:space="preserve">mahanya run            Run one scenario end-to-end through the control loop.</w:t>
        <w:br/>
        <w:t xml:space="preserve">mahanya evaluate       Evaluate the intelligent controller against the fixed-time baseline.</w:t>
        <w:br/>
        <w:t xml:space="preserve">mahanya serve-api      Run the internal FastAPI relay (serves /api/* for the dashboard).</w:t>
        <w:br/>
        <w:t xml:space="preserve">mahanya build-web      Build the Next.js SPA static export.</w:t>
      </w:r>
    </w:p>
    <w:p>
      <w:pPr>
        <w:spacing w:after="240" w:line="480" w:lineRule="auto"/>
        <w:jc w:val="both"/>
      </w:pPr>
      <w:r>
        <w:rPr>
          <w:rFonts w:ascii="Times New Roman" w:cs="Times New Roman" w:eastAsia="Times New Roman" w:hAnsi="Times New Roman"/>
          <w:sz w:val="24"/>
          <w:szCs w:val="24"/>
        </w:rPr>
        <w:t xml:space="preserve">The exact commands used to produce the results reported in Chapter Four were, in order: mahanya fit; mahanya calibrate --period peak; mahanya calibrate --period offpeak; mahanya generate --scenario-id sapon-peak --num-ticks 1200; mahanya train; mahanya evaluate --scenario-id sapon-peak --num-ticks 900; and mahanya evaluate --scenario-id sapon-offpeak --num-ticks 900.</w:t>
      </w:r>
    </w:p>
    <w:p>
      <w:pPr>
        <w:pageBreakBefore/>
        <w:spacing w:after="320" w:line="360" w:lineRule="auto"/>
        <w:jc w:val="left"/>
      </w:pPr>
      <w:r>
        <w:rPr>
          <w:rFonts w:ascii="Times New Roman" w:cs="Times New Roman" w:eastAsia="Times New Roman" w:hAnsi="Times New Roman"/>
          <w:b/>
          <w:bCs/>
          <w:sz w:val="26"/>
          <w:szCs w:val="26"/>
        </w:rPr>
        <w:t xml:space="preserve">APPENDIX B: SAMPLE DECISION LOG RECORDS</w:t>
      </w:r>
    </w:p>
    <w:p>
      <w:pPr>
        <w:spacing w:after="240" w:line="480" w:lineRule="auto"/>
        <w:jc w:val="both"/>
      </w:pPr>
      <w:r>
        <w:rPr>
          <w:rFonts w:ascii="Times New Roman" w:cs="Times New Roman" w:eastAsia="Times New Roman" w:hAnsi="Times New Roman"/>
          <w:sz w:val="24"/>
          <w:szCs w:val="24"/>
        </w:rPr>
        <w:t xml:space="preserve">The five records below are unedited excerpts from an actual decision_log.jsonl produced by mahanya run against the calibrated peak scenario, one per reason code, showing the model's recommendation, the phase actually applied, and (where the scheduler diverged from the recommendation) the reasonDetail explaining why.</w:t>
      </w:r>
    </w:p>
    <w:p>
      <w:pPr>
        <w:shd w:fill="F2F2F2" w:val="clear"/>
        <w:spacing w:after="120" w:line="240" w:lineRule="auto"/>
      </w:pPr>
      <w:r>
        <w:rPr>
          <w:rFonts w:ascii="Courier New" w:cs="Courier New" w:eastAsia="Courier New" w:hAnsi="Courier New"/>
          <w:sz w:val="19"/>
          <w:szCs w:val="19"/>
        </w:rPr>
        <w:t xml:space="preserve">{"tick": 0, "reasonCode": "model_accepted",</w:t>
        <w:br/>
        <w:t xml:space="preserve"> "recommendation": {"recommendedPhase": "NORTH_GREEN", "confidence": 0.981},</w:t>
        <w:br/>
        <w:t xml:space="preserve"> "appliedPhase": "NORTH_GREEN", "reasonDetail": null}</w:t>
      </w:r>
    </w:p>
    <w:p>
      <w:pPr>
        <w:shd w:fill="F2F2F2" w:val="clear"/>
        <w:spacing w:after="120" w:line="240" w:lineRule="auto"/>
      </w:pPr>
      <w:r>
        <w:rPr>
          <w:rFonts w:ascii="Courier New" w:cs="Courier New" w:eastAsia="Courier New" w:hAnsi="Courier New"/>
          <w:sz w:val="19"/>
          <w:szCs w:val="19"/>
        </w:rPr>
        <w:t xml:space="preserve">{"tick": 59, "reasonCode": "max_green_force",</w:t>
        <w:br/>
        <w:t xml:space="preserve"> "recommendation": {"recommendedPhase": "NORTH_GREEN", "confidence": 0.984},</w:t>
        <w:br/>
        <w:t xml:space="preserve"> "appliedPhase": "NORTH_YELLOW",</w:t>
        <w:br/>
        <w:t xml:space="preserve"> "reasonDetail": "NORTH_GREEN reached maximum green duration (60s)"}</w:t>
      </w:r>
    </w:p>
    <w:p>
      <w:pPr>
        <w:shd w:fill="F2F2F2" w:val="clear"/>
        <w:spacing w:after="120" w:line="240" w:lineRule="auto"/>
      </w:pPr>
      <w:r>
        <w:rPr>
          <w:rFonts w:ascii="Courier New" w:cs="Courier New" w:eastAsia="Courier New" w:hAnsi="Courier New"/>
          <w:sz w:val="19"/>
          <w:szCs w:val="19"/>
        </w:rPr>
        <w:t xml:space="preserve">{"tick": 90, "reasonCode": "anti_starvation_force",</w:t>
        <w:br/>
        <w:t xml:space="preserve"> "recommendation": {"recommendedPhase": "SOUTH_GREEN", "confidence": 0.988},</w:t>
        <w:br/>
        <w:t xml:space="preserve"> "appliedPhase": "SOUTH_YELLOW",</w:t>
        <w:br/>
        <w:t xml:space="preserve"> "reasonDetail": "east approach exceeded max wait threshold (90s)"}</w:t>
      </w:r>
    </w:p>
    <w:p>
      <w:pPr>
        <w:shd w:fill="F2F2F2" w:val="clear"/>
        <w:spacing w:after="120" w:line="240" w:lineRule="auto"/>
      </w:pPr>
      <w:r>
        <w:rPr>
          <w:rFonts w:ascii="Courier New" w:cs="Courier New" w:eastAsia="Courier New" w:hAnsi="Courier New"/>
          <w:sz w:val="19"/>
          <w:szCs w:val="19"/>
        </w:rPr>
        <w:t xml:space="preserve">{"tick": 96, "reasonCode": "min_green_hold",</w:t>
        <w:br/>
        <w:t xml:space="preserve"> "recommendation": {"recommendedPhase": "EAST_GREEN", "confidence": 0.990},</w:t>
        <w:br/>
        <w:t xml:space="preserve"> "appliedPhase": "EAST_GREEN",</w:t>
        <w:br/>
        <w:t xml:space="preserve"> "reasonDetail": "EAST_GREEN has 9s remaining before minimum green elapses"}</w:t>
      </w:r>
    </w:p>
    <w:p>
      <w:pPr>
        <w:shd w:fill="F2F2F2" w:val="clear"/>
        <w:spacing w:after="120" w:line="240" w:lineRule="auto"/>
      </w:pPr>
      <w:r>
        <w:rPr>
          <w:rFonts w:ascii="Courier New" w:cs="Courier New" w:eastAsia="Courier New" w:hAnsi="Courier New"/>
          <w:sz w:val="19"/>
          <w:szCs w:val="19"/>
        </w:rPr>
        <w:t xml:space="preserve">{"tick": 299, "reasonCode": "emergency_preempt",</w:t>
        <w:br/>
        <w:t xml:space="preserve"> "recommendation": null, "appliedPhase": "SOUTH_GREEN",</w:t>
        <w:br/>
        <w:t xml:space="preserve"> "reasonDetail": "Holding green for detected emergency vehicle on south approach"}</w:t>
      </w:r>
    </w:p>
    <w:p>
      <w:pPr>
        <w:spacing w:after="240" w:line="480" w:lineRule="auto"/>
        <w:jc w:val="both"/>
      </w:pPr>
      <w:r>
        <w:rPr>
          <w:rFonts w:ascii="Times New Roman" w:cs="Times New Roman" w:eastAsia="Times New Roman" w:hAnsi="Times New Roman"/>
          <w:sz w:val="24"/>
          <w:szCs w:val="24"/>
        </w:rPr>
        <w:t xml:space="preserve">Tick 90 illustrates a subtlety worth noting explicitly: applying SOUTH_YELLOW rather than jumping straight to a new green phase shows the scheduler exiting the previously active green phase through the mandatory yellow clearance step (Section 3.7) on its way to serving the starved east approach, rather than skipping straight from one green phase to another.</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