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	</w:t>
      </w:r>
      <w:r>
        <w:fldChar w:fldCharType="begin" w:dirty="true"/>
        <w:instrText xml:space="preserve">PAGEREF tbl3_2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4.1: Fitted Poisson arrival-rate parameters by direction and period	</w:t>
      </w:r>
      <w:r>
        <w:fldChar w:fldCharType="begin" w:dirty="true"/>
        <w:instrText xml:space="preserve">PAGEREF tbl4_1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4.2: Transformer Encoder training result	</w:t>
      </w:r>
      <w:r>
        <w:fldChar w:fldCharType="begin" w:dirty="true"/>
        <w:instrText xml:space="preserve">PAGEREF tbl4_2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4.3: Intelligent controller vs. fixed-time baseline — Sapon Under-bridge Peak Hour scenario	</w:t>
      </w:r>
      <w:r>
        <w:fldChar w:fldCharType="begin" w:dirty="true"/>
        <w:instrText xml:space="preserve">PAGEREF tbl4_3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4.4: Intelligent controller vs. fixed-time baseline — Sapon Under-bridge Off-Peak scenario	</w:t>
      </w:r>
      <w:r>
        <w:fldChar w:fldCharType="begin" w:dirty="true"/>
        <w:instrText xml:space="preserve">PAGEREF tbl4_4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MaHanya use case diagram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Runtime control-loop detail (observe, predict/pre-empt, validate, apply, log)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End-to-end pipeline, from field data collection to the dashboard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3.5: mahanya module dependency graph	</w:t>
      </w:r>
      <w:r>
        <w:fldChar w:fldCharType="begin" w:dirty="true"/>
        <w:instrText xml:space="preserve">PAGEREF fig3_5</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4.1: Live Junction dashboard during a live emergency-vehicle pre-emption event	</w:t>
      </w:r>
      <w:r>
        <w:fldChar w:fldCharType="begin" w:dirty="true"/>
        <w:instrText xml:space="preserve">PAGEREF fig4_1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4.2: Live Junction dashboard zoomed in on individual vehicles and per-lane signals	</w:t>
      </w:r>
      <w:r>
        <w:fldChar w:fldCharType="begin" w:dirty="true"/>
        <w:instrText xml:space="preserve">PAGEREF fig4_2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4.3: Decision Log page, listing scheduler decisions with their reason codes	</w:t>
      </w:r>
      <w:r>
        <w:fldChar w:fldCharType="begin" w:dirty="true"/>
        <w:instrText xml:space="preserve">PAGEREF fig4_3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4.4: Evaluation page comparing the intelligent controller against the fixed-time baseline	</w:t>
      </w:r>
      <w:r>
        <w:fldChar w:fldCharType="begin" w:dirty="true"/>
        <w:instrText xml:space="preserve">PAGEREF fig4_4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3.4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In absolute terms the peak-scenario waiting-time cost is 1.55 seconds per vehicle (23.84s versus 22.29s), and the larger-looking 31.1% off-peak figure is 1.91 seconds per vehicle (8.06s versus 6.15s) — a small absolute price, concentrated on lightly-loaded approaches, for a response-time improvement measured in tens of percent.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 how quickly an emergency vehicle clears the junction —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 grounded in a real Nigerian junction's geometry and calibrated (pending a genuine field survey) against realistically-shaped traffic data —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