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 the Sapon Under-bridge Junction, Abeokuta —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 minimum and maximum green time, yellow and all-red transition intervals, anti-starvation, and emergency-vehicle pre-emption —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 getting emergency vehicles through the junction faster —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 a window of recent per-direction counts, queue lengths, and phase history —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 for example, a phase change that skips a mandatory clearance interval, or a hold that starves an approach indefinitely —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 the Sapon Under-bridge Junction in Abeokuta, Ogun State —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 new detector hardware, a new controller cabinet, a wider carriageway —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 a learned recommender wrapped by a deterministic safety layer —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 as an advisory recommender, never as the final authority —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 the Sapon Under-bridge Junction, Abeokuta —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 structured identically to what a real Sapon Under-bridge Junction traffic survey would produce, and designed so that a genuine survey's data can be substituted with a drop-in file replacement and no code changes —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and nearly all of the reviewed literature relies on in place of physical field trials.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 drivers and pedestrians learn a consistent pattern —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 SCOOT and its Australian counterpart SCATS being the best known —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 the Transformer architecture, introduced by Vaswani et al. (2017) for natural-language sequence modelling —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Nearly all of the work reviewed above — and this project —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 including an emergency-vehicle class —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 here, a Poisson distribution per direction and period, following the usual first choice for independent, low-to-moderate-volume arrivals, with a negative binomial distribution as the documented fallback should the data prove over-dispersed —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 the specific contribution this project makes beyond reproducing an existing model architecture on a new junction —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 whether it accepted, held, or overrode the model —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spacing w:after="240" w:line="480" w:lineRule="auto"/>
        <w:jc w:val="both"/>
      </w:pPr>
      <w:r>
        <w:rPr>
          <w:rFonts w:ascii="Times New Roman" w:cs="Times New Roman" w:eastAsia="Times New Roman" w:hAnsi="Times New Roman"/>
          <w:i/>
          <w:iCs/>
          <w:sz w:val="24"/>
          <w:szCs w:val="24"/>
        </w:rPr>
        <w:t xml:space="preserve">[This chapter has not yet been written at this milestone.]</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