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tbl3_1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Table 3.1: Transformer Encoder model hyperparameters</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tbl3_1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20</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tbl3_2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Table 3.2: Scheduler safety-rule thresholds</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tbl3_2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21</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tbl4_1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Table 4.1: Fitted Poisson arrival-rate parameters by direction and period</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tbl4_1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27</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tbl4_2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Table 4.2: Transformer Encoder training result</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tbl4_2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28</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tbl4_3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Table 4.3: Intelligent controller vs. fixed-time baseline — Sapon Under-bridge Peak Hour scenario</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tbl4_3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31</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tbl4_4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Table 4.4: Intelligent controller vs. fixed-time baseline — Sapon Under-bridge Off-Peak scenario</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tbl4_4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32</w:t>
      </w:r>
      <w:r>
        <w:rPr>
          <w:rFonts w:ascii="Times New Roman" w:cs="Times New Roman" w:eastAsia="Times New Roman" w:hAnsi="Times New Roman"/>
          <w:sz w:val="24"/>
          <w:szCs w:val="24"/>
        </w:rPr>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fig3_1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3.1: MaHanya system architecture and process boundaries</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fig3_1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15</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fig3_2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3.2: MaHanya use case diagram</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fig3_2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16</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fig3_3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3.3: Runtime control-loop detail (observe, predict/pre-empt, validate, apply, log)</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fig3_3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fig3_4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3.4: End-to-end pipeline, from field data collection to the dashboard</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fig3_4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24</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fig3_5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3.5: mahanya module dependency graph</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fig3_5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25</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fig4_1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4.1: Live Junction dashboard during a live emergency-vehicle pre-emption event</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fig4_1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29</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fig4_2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4.2: Live Junction dashboard zoomed in on individual vehicles and per-lane signals</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fig4_2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30</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fig4_3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4.3: Decision Log page, listing scheduler decisions with their reason codes</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fig4_3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31</w:t>
      </w:r>
      <w:r>
        <w:rPr>
          <w:rFonts w:ascii="Times New Roman" w:cs="Times New Roman" w:eastAsia="Times New Roman" w:hAnsi="Times New Roman"/>
          <w:sz w:val="24"/>
          <w:szCs w:val="24"/>
        </w:rPr>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REF fig4_4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Fig. 4.4: Evaluation page comparing the intelligent controller against the fixed-time baseline</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ab/>
      </w:r>
      <w:r>
        <w:rPr>
          <w:rFonts w:ascii="Times New Roman" w:cs="Times New Roman" w:eastAsia="Times New Roman" w:hAnsi="Times New Roman"/>
          <w:sz w:val="24"/>
          <w:szCs w:val="24"/>
        </w:rPr>
        <w:fldChar w:fldCharType="begin" w:dirty="true"/>
      </w:r>
      <w:r>
        <w:rPr>
          <w:rFonts w:ascii="Times New Roman" w:cs="Times New Roman" w:eastAsia="Times New Roman" w:hAnsi="Times New Roman"/>
          <w:sz w:val="24"/>
          <w:szCs w:val="24"/>
        </w:rPr>
        <w:instrText xml:space="preserve"> PAGEREF fig4_4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31</w:t>
      </w:r>
      <w:r>
        <w:rPr>
          <w:rFonts w:ascii="Times New Roman" w:cs="Times New Roman" w:eastAsia="Times New Roman" w:hAnsi="Times New Roman"/>
          <w:sz w:val="24"/>
          <w:szCs w:val="24"/>
        </w:rPr>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automatic phase-recommendation path. Both paths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revisited as future work in Chapter Five.</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 a real SUMO simulation process controlled over TraCI, a real trained model checkpoint, and a real FastAPI relay and Next.js dashboard, not simulated or hand-authored output —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 the documented fallback for over-dispersed arrivals — in a future calibration pass, and is noted again as a limitation to address in future work (Chapter Five).</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 the two approaches carrying the junction's principal through-movement in this scenario —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 correct or not —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 tick, timestamp, the model's recommendation, the phase actually applied, and the reason code —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 44.5% faster on the peak scenario, 43.2% faster off-peak —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for future work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 the system's safety-critical layer —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 model_accepted, max_green_force, anti_starvation_force, min_green_hold, and emergency_preempt —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This waiting-time metric is computed from SUMO’s per-edge getWaitingTime() reading — the summed waiting time of every vehicle currently on an approach, sampled each tick and averaged across all four approaches — so it is an aggregate congestion measure, not a per-vehicle delay figure, and the 23.84s/22.29s and 8.06s/6.15s values (Tables 4.3, 4.4) should be read as that aggregate, not divided across the vehicles that produced it. Judged on the percentage change this aggregate metric shows, rather than as a seconds-per-driver cost, both rises are modest relative to the size of the priority-response-time gain they buy.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Chapter Five’s recommendations set out how each of these specific limitations should be addressed; the point this discussion makes is narrower —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p>
      <w:pPr>
        <w:pageBreakBefore/>
        <w:spacing w:after="320" w:line="360" w:lineRule="auto"/>
        <w:jc w:val="left"/>
      </w:pPr>
      <w:r>
        <w:rPr>
          <w:rFonts w:ascii="Times New Roman" w:cs="Times New Roman" w:eastAsia="Times New Roman" w:hAnsi="Times New Roman"/>
          <w:b/>
          <w:bCs/>
          <w:sz w:val="26"/>
          <w:szCs w:val="26"/>
        </w:rPr>
        <w:t xml:space="preserve">APPENDIX A: COMMAND-LINE INTERFACE REFERENCE</w:t>
      </w:r>
    </w:p>
    <w:p>
      <w:pPr>
        <w:spacing w:after="240" w:line="480" w:lineRule="auto"/>
        <w:jc w:val="both"/>
      </w:pPr>
      <w:r>
        <w:rPr>
          <w:rFonts w:ascii="Times New Roman" w:cs="Times New Roman" w:eastAsia="Times New Roman" w:hAnsi="Times New Roman"/>
          <w:sz w:val="24"/>
          <w:szCs w:val="24"/>
        </w:rPr>
        <w:t xml:space="preserve">The full pipeline described in Chapter Three is exposed as subcommands of a single Typer-based CLI, run from within api/ via uv run mahanya &lt;command&gt;. The table below lists every subcommand as implemented and used to produce the results in Chapter Four.</w:t>
      </w:r>
    </w:p>
    <w:p>
      <w:pPr>
        <w:shd w:fill="F2F2F2" w:val="clear"/>
        <w:spacing w:after="120" w:line="240" w:lineRule="auto"/>
      </w:pPr>
      <w:r>
        <w:rPr>
          <w:rFonts w:ascii="Courier New" w:cs="Courier New" w:eastAsia="Courier New" w:hAnsi="Courier New"/>
          <w:sz w:val="19"/>
          <w:szCs w:val="19"/>
        </w:rPr>
        <w:t xml:space="preserve">mahanya fit            Fit per-direction/period arrival distributions from raw field counts.</w:t>
        <w:br/>
        <w:t xml:space="preserve">mahanya calibrate      Generate a calibrated .rou.xml + .sumocfg for one period (peak|offpeak).</w:t>
        <w:br/>
        <w:t xml:space="preserve">mahanya generate       Generate labelled training sequences from a calibrated scenario.</w:t>
        <w:br/>
        <w:t xml:space="preserve">mahanya train          Train the transformer phase recommender.</w:t>
        <w:br/>
        <w:t xml:space="preserve">mahanya run            Run one scenario end-to-end through the control loop.</w:t>
        <w:br/>
        <w:t xml:space="preserve">mahanya evaluate       Evaluate the intelligent controller against the fixed-time baseline.</w:t>
        <w:br/>
        <w:t xml:space="preserve">mahanya serve-api      Run the internal FastAPI relay (serves /api/* for the dashboard).</w:t>
        <w:br/>
        <w:t xml:space="preserve">mahanya build-web      Build the Next.js SPA static export.</w:t>
      </w:r>
    </w:p>
    <w:p>
      <w:pPr>
        <w:spacing w:after="240" w:line="480" w:lineRule="auto"/>
        <w:jc w:val="both"/>
      </w:pPr>
      <w:r>
        <w:rPr>
          <w:rFonts w:ascii="Times New Roman" w:cs="Times New Roman" w:eastAsia="Times New Roman" w:hAnsi="Times New Roman"/>
          <w:sz w:val="24"/>
          <w:szCs w:val="24"/>
        </w:rPr>
        <w:t xml:space="preserve">The exact commands used to produce the results reported in Chapter Four were, in order: mahanya fit; mahanya calibrate --period peak; mahanya calibrate --period offpeak; mahanya generate --scenario-id sapon-peak --num-ticks 1200; mahanya train; mahanya evaluate --scenario-id sapon-peak --num-ticks 900; and mahanya evaluate --scenario-id sapon-offpeak --num-ticks 900.</w:t>
      </w:r>
    </w:p>
    <w:p>
      <w:pPr>
        <w:pageBreakBefore/>
        <w:spacing w:after="320" w:line="360" w:lineRule="auto"/>
        <w:jc w:val="left"/>
      </w:pPr>
      <w:r>
        <w:rPr>
          <w:rFonts w:ascii="Times New Roman" w:cs="Times New Roman" w:eastAsia="Times New Roman" w:hAnsi="Times New Roman"/>
          <w:b/>
          <w:bCs/>
          <w:sz w:val="26"/>
          <w:szCs w:val="26"/>
        </w:rPr>
        <w:t xml:space="preserve">APPENDIX B: SAMPLE DECISION LOG RECORDS</w:t>
      </w:r>
    </w:p>
    <w:p>
      <w:pPr>
        <w:spacing w:after="240" w:line="480" w:lineRule="auto"/>
        <w:jc w:val="both"/>
      </w:pPr>
      <w:r>
        <w:rPr>
          <w:rFonts w:ascii="Times New Roman" w:cs="Times New Roman" w:eastAsia="Times New Roman" w:hAnsi="Times New Roman"/>
          <w:sz w:val="24"/>
          <w:szCs w:val="24"/>
        </w:rPr>
        <w:t xml:space="preserve">The five records below are unedited excerpts from an actual decision_log.jsonl produced by mahanya run against the calibrated peak scenario, one per reason code, showing the model's recommendation, the phase actually applied, and (where the scheduler diverged from the recommendation) the reasonDetail explaining why.</w:t>
      </w:r>
    </w:p>
    <w:p>
      <w:pPr>
        <w:shd w:fill="F2F2F2" w:val="clear"/>
        <w:spacing w:after="120" w:line="240" w:lineRule="auto"/>
      </w:pPr>
      <w:r>
        <w:rPr>
          <w:rFonts w:ascii="Courier New" w:cs="Courier New" w:eastAsia="Courier New" w:hAnsi="Courier New"/>
          <w:sz w:val="19"/>
          <w:szCs w:val="19"/>
        </w:rPr>
        <w:t xml:space="preserve">{"tick": 0, "reasonCode": "model_accepted",</w:t>
        <w:br/>
        <w:t xml:space="preserve"> "recommendation": {"recommendedPhase": "NORTH_GREEN", "confidence": 0.981},</w:t>
        <w:br/>
        <w:t xml:space="preserve"> "appliedPhase": "NORTH_GREEN", "reasonDetail": null}</w:t>
      </w:r>
    </w:p>
    <w:p>
      <w:pPr>
        <w:shd w:fill="F2F2F2" w:val="clear"/>
        <w:spacing w:after="120" w:line="240" w:lineRule="auto"/>
      </w:pPr>
      <w:r>
        <w:rPr>
          <w:rFonts w:ascii="Courier New" w:cs="Courier New" w:eastAsia="Courier New" w:hAnsi="Courier New"/>
          <w:sz w:val="19"/>
          <w:szCs w:val="19"/>
        </w:rPr>
        <w:t xml:space="preserve">{"tick": 59, "reasonCode": "max_green_force",</w:t>
        <w:br/>
        <w:t xml:space="preserve"> "recommendation": {"recommendedPhase": "NORTH_GREEN", "confidence": 0.984},</w:t>
        <w:br/>
        <w:t xml:space="preserve"> "appliedPhase": "NORTH_YELLOW",</w:t>
        <w:br/>
        <w:t xml:space="preserve"> "reasonDetail": "NORTH_GREEN reached maximum green duration (60s)"}</w:t>
      </w:r>
    </w:p>
    <w:p>
      <w:pPr>
        <w:shd w:fill="F2F2F2" w:val="clear"/>
        <w:spacing w:after="120" w:line="240" w:lineRule="auto"/>
      </w:pPr>
      <w:r>
        <w:rPr>
          <w:rFonts w:ascii="Courier New" w:cs="Courier New" w:eastAsia="Courier New" w:hAnsi="Courier New"/>
          <w:sz w:val="19"/>
          <w:szCs w:val="19"/>
        </w:rPr>
        <w:t xml:space="preserve">{"tick": 90, "reasonCode": "anti_starvation_force",</w:t>
        <w:br/>
        <w:t xml:space="preserve"> "recommendation": {"recommendedPhase": "SOUTH_GREEN", "confidence": 0.988},</w:t>
        <w:br/>
        <w:t xml:space="preserve"> "appliedPhase": "SOUTH_YELLOW",</w:t>
        <w:br/>
        <w:t xml:space="preserve"> "reasonDetail": "east approach exceeded max wait threshold (90s)"}</w:t>
      </w:r>
    </w:p>
    <w:p>
      <w:pPr>
        <w:shd w:fill="F2F2F2" w:val="clear"/>
        <w:spacing w:after="120" w:line="240" w:lineRule="auto"/>
      </w:pPr>
      <w:r>
        <w:rPr>
          <w:rFonts w:ascii="Courier New" w:cs="Courier New" w:eastAsia="Courier New" w:hAnsi="Courier New"/>
          <w:sz w:val="19"/>
          <w:szCs w:val="19"/>
        </w:rPr>
        <w:t xml:space="preserve">{"tick": 96, "reasonCode": "min_green_hold",</w:t>
        <w:br/>
        <w:t xml:space="preserve"> "recommendation": {"recommendedPhase": "EAST_GREEN", "confidence": 0.990},</w:t>
        <w:br/>
        <w:t xml:space="preserve"> "appliedPhase": "EAST_GREEN",</w:t>
        <w:br/>
        <w:t xml:space="preserve"> "reasonDetail": "EAST_GREEN has 9s remaining before minimum green elapses"}</w:t>
      </w:r>
    </w:p>
    <w:p>
      <w:pPr>
        <w:shd w:fill="F2F2F2" w:val="clear"/>
        <w:spacing w:after="120" w:line="240" w:lineRule="auto"/>
      </w:pPr>
      <w:r>
        <w:rPr>
          <w:rFonts w:ascii="Courier New" w:cs="Courier New" w:eastAsia="Courier New" w:hAnsi="Courier New"/>
          <w:sz w:val="19"/>
          <w:szCs w:val="19"/>
        </w:rPr>
        <w:t xml:space="preserve">{"tick": 299, "reasonCode": "emergency_preempt",</w:t>
        <w:br/>
        <w:t xml:space="preserve"> "recommendation": null, "appliedPhase": "SOUTH_GREEN",</w:t>
        <w:br/>
        <w:t xml:space="preserve"> "reasonDetail": "Holding green for detected emergency vehicle on south approach"}</w:t>
      </w:r>
    </w:p>
    <w:p>
      <w:pPr>
        <w:spacing w:after="240" w:line="480" w:lineRule="auto"/>
        <w:jc w:val="both"/>
      </w:pPr>
      <w:r>
        <w:rPr>
          <w:rFonts w:ascii="Times New Roman" w:cs="Times New Roman" w:eastAsia="Times New Roman" w:hAnsi="Times New Roman"/>
          <w:sz w:val="24"/>
          <w:szCs w:val="24"/>
        </w:rPr>
        <w:t xml:space="preserve">Tick 90 illustrates a subtlety worth noting explicitly: applying SOUTH_YELLOW rather than jumping straight to a new green phase shows the scheduler exiting the previously active green phase through the mandatory yellow clearance step (Section 3.7) on its way to serving the starved east approach, rather than skipping straight from one green phase to another.</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