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the Sapon Under-bridge Junction, Abeokuta,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(minimum and maximum green time, yellow and all-red transition intervals, anti-starvation, and emergency-vehicle pre-emption)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(getting emergency vehicles through the junction faster)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spacing w:after="240" w:line="480" w:lineRule="auto"/>
        <w:jc w:val="center"/>
      </w:pPr>
      <w:r>
        <w:rPr>
          <w:rFonts w:ascii="Times New Roman" w:cs="Times New Roman" w:eastAsia="Times New Roman" w:hAnsi="Times New Roman"/>
          <w:i/>
          <w:iCs/>
          <w:sz w:val="24"/>
          <w:szCs w:val="24"/>
        </w:rPr>
        <w:t xml:space="preserve">None yet at this milestone.</w:t>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spacing w:after="240" w:line="480" w:lineRule="auto"/>
        <w:jc w:val="center"/>
      </w:pPr>
      <w:r>
        <w:rPr>
          <w:rFonts w:ascii="Times New Roman" w:cs="Times New Roman" w:eastAsia="Times New Roman" w:hAnsi="Times New Roman"/>
          <w:i/>
          <w:iCs/>
          <w:sz w:val="24"/>
          <w:szCs w:val="24"/>
        </w:rPr>
        <w:t xml:space="preserve">None yet at this milestone.</w:t>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(a window of recent per-direction counts, queue lengths, and phase history)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(for example, a phase change that skips a mandatory clearance interval, or a hold that starves an approach indefinitely)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the Sapon Under-bridge Junction in Abeokuta, Ogun State,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(new detector hardware, a new controller cabinet, a wider carriageway)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(a learned recommender wrapped by a deterministic safety layer)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(as an advisory recommender, never as the final authority)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the Sapon Under-bridge Junction, Abeokuta,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(structured identically to what a real Sapon Under-bridge Junction traffic survey would produce, and designed so that a genuine survey's data can be substituted with a drop-in file replacement and no code changes)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