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the Sapon Under-bridge Junction, Abeokuta,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(minimum and maximum green time, yellow and all-red transition intervals, anti-starvation, and emergency-vehicle pre-emption)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(getting emergency vehicles through the junction faster)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tbl3_1 </w:instrText>
        <w:fldChar w:fldCharType="separate"/>
        <w:t xml:space="preserve">Table 3.1: Transformer Encoder model hyperparameters</w:t>
        <w:fldChar w:fldCharType="end"/>
        <w:tab/>
        <w:fldChar w:fldCharType="begin" w:dirty="true"/>
        <w:instrText xml:space="preserve"> PAGEREF tbl3_1 </w:instrText>
        <w:fldChar w:fldCharType="separate"/>
        <w:t xml:space="preserve">20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tbl3_2 </w:instrText>
        <w:fldChar w:fldCharType="separate"/>
        <w:t xml:space="preserve">Table 3.2: Scheduler safety-rule thresholds</w:t>
        <w:fldChar w:fldCharType="end"/>
        <w:tab/>
        <w:fldChar w:fldCharType="begin" w:dirty="true"/>
        <w:instrText xml:space="preserve"> PAGEREF tbl3_2 </w:instrText>
        <w:fldChar w:fldCharType="separate"/>
        <w:t xml:space="preserve">21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tbl4_1 </w:instrText>
        <w:fldChar w:fldCharType="separate"/>
        <w:t xml:space="preserve">Table 4.1: Fitted Poisson arrival-rate parameters by direction and period</w:t>
        <w:fldChar w:fldCharType="end"/>
        <w:tab/>
        <w:fldChar w:fldCharType="begin" w:dirty="true"/>
        <w:instrText xml:space="preserve"> PAGEREF tbl4_1 </w:instrText>
        <w:fldChar w:fldCharType="separate"/>
        <w:t xml:space="preserve">27</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tbl4_2 </w:instrText>
        <w:fldChar w:fldCharType="separate"/>
        <w:t xml:space="preserve">Table 4.2: Transformer Encoder training result</w:t>
        <w:fldChar w:fldCharType="end"/>
        <w:tab/>
        <w:fldChar w:fldCharType="begin" w:dirty="true"/>
        <w:instrText xml:space="preserve"> PAGEREF tbl4_2 </w:instrText>
        <w:fldChar w:fldCharType="separate"/>
        <w:t xml:space="preserve">28</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tbl4_3 </w:instrText>
        <w:fldChar w:fldCharType="separate"/>
        <w:t xml:space="preserve">Table 4.3: Intelligent controller vs. fixed-time baseline: Sapon Under-bridge Peak Hour scenario</w:t>
        <w:fldChar w:fldCharType="end"/>
        <w:tab/>
        <w:fldChar w:fldCharType="begin" w:dirty="true"/>
        <w:instrText xml:space="preserve"> PAGEREF tbl4_3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tbl4_4 </w:instrText>
        <w:fldChar w:fldCharType="separate"/>
        <w:t xml:space="preserve">Table 4.4: Intelligent controller vs. fixed-time baseline: Sapon Under-bridge Off-Peak scenario</w:t>
        <w:fldChar w:fldCharType="end"/>
        <w:tab/>
        <w:fldChar w:fldCharType="begin" w:dirty="true"/>
        <w:instrText xml:space="preserve"> PAGEREF tbl4_4 </w:instrText>
        <w:fldChar w:fldCharType="separate"/>
        <w:t xml:space="preserve">32</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fig3_1 </w:instrText>
        <w:fldChar w:fldCharType="separate"/>
        <w:t xml:space="preserve">Fig. 3.1: MaHanya system architecture and process boundaries</w:t>
        <w:fldChar w:fldCharType="end"/>
        <w:tab/>
        <w:fldChar w:fldCharType="begin" w:dirty="true"/>
        <w:instrText xml:space="preserve"> PAGEREF fig3_1 </w:instrText>
        <w:fldChar w:fldCharType="separate"/>
        <w:t xml:space="preserve">15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fig3_2 </w:instrText>
        <w:fldChar w:fldCharType="separate"/>
        <w:t xml:space="preserve">Fig. 3.2: MaHanya use case diagram</w:t>
        <w:fldChar w:fldCharType="end"/>
        <w:tab/>
        <w:fldChar w:fldCharType="begin" w:dirty="true"/>
        <w:instrText xml:space="preserve"> PAGEREF fig3_2 </w:instrText>
        <w:fldChar w:fldCharType="separate"/>
        <w:t xml:space="preserve">16</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fig3_3 </w:instrText>
        <w:fldChar w:fldCharType="separate"/>
        <w:t xml:space="preserve">Fig. 3.3: Runtime control-loop detail (observe, predict/pre-empt, validate, apply, log)</w:t>
        <w:fldChar w:fldCharType="end"/>
        <w:tab/>
        <w:fldChar w:fldCharType="begin" w:dirty="true"/>
        <w:instrText xml:space="preserve"> PAGEREF fig3_3 </w:instrText>
        <w:fldChar w:fldCharType="separate"/>
        <w:t xml:space="preserve">22</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fig3_4 </w:instrText>
        <w:fldChar w:fldCharType="separate"/>
        <w:t xml:space="preserve">Fig. 3.4: End-to-end pipeline, from field data collection to the dashboard</w:t>
        <w:fldChar w:fldCharType="end"/>
        <w:tab/>
        <w:fldChar w:fldCharType="begin" w:dirty="true"/>
        <w:instrText xml:space="preserve"> PAGEREF fig3_4 </w:instrText>
        <w:fldChar w:fldCharType="separate"/>
        <w:t xml:space="preserve">24</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fig3_5 </w:instrText>
        <w:fldChar w:fldCharType="separate"/>
        <w:t xml:space="preserve">Fig. 3.5: mahanya module dependency graph</w:t>
        <w:fldChar w:fldCharType="end"/>
        <w:tab/>
        <w:fldChar w:fldCharType="begin" w:dirty="true"/>
        <w:instrText xml:space="preserve"> PAGEREF fig3_5 </w:instrText>
        <w:fldChar w:fldCharType="separate"/>
        <w:t xml:space="preserve">25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fig4_1 </w:instrText>
        <w:fldChar w:fldCharType="separate"/>
        <w:t xml:space="preserve">Fig. 4.1: Live Junction dashboard during a live emergency-vehicle pre-emption event</w:t>
        <w:fldChar w:fldCharType="end"/>
        <w:tab/>
        <w:fldChar w:fldCharType="begin" w:dirty="true"/>
        <w:instrText xml:space="preserve"> PAGEREF fig4_1 </w:instrText>
        <w:fldChar w:fldCharType="separate"/>
        <w:t xml:space="preserve">29</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fig4_2 </w:instrText>
        <w:fldChar w:fldCharType="separate"/>
        <w:t xml:space="preserve">Fig. 4.2: Live Junction dashboard zoomed in on individual vehicles and per-lane signals</w:t>
        <w:fldChar w:fldCharType="end"/>
        <w:tab/>
        <w:fldChar w:fldCharType="begin" w:dirty="true"/>
        <w:instrText xml:space="preserve"> PAGEREF fig4_2 </w:instrText>
        <w:fldChar w:fldCharType="separate"/>
        <w:t xml:space="preserve">30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fig4_3 </w:instrText>
        <w:fldChar w:fldCharType="separate"/>
        <w:t xml:space="preserve">Fig. 4.3: Decision Log page, listing scheduler decisions with their reason codes</w:t>
        <w:fldChar w:fldCharType="end"/>
        <w:tab/>
        <w:fldChar w:fldCharType="begin" w:dirty="true"/>
        <w:instrText xml:space="preserve"> PAGEREF fig4_3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fig4_4 </w:instrText>
        <w:fldChar w:fldCharType="separate"/>
        <w:t xml:space="preserve">Fig. 4.4: Evaluation page comparing the intelligent controller against the fixed-time baseline</w:t>
        <w:fldChar w:fldCharType="end"/>
        <w:tab/>
        <w:fldChar w:fldCharType="begin" w:dirty="true"/>
        <w:instrText xml:space="preserve"> PAGEREF fig4_4 </w:instrText>
        <w:fldChar w:fldCharType="separate"/>
        <w:t xml:space="preserve">31</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(a window of recent per-direction counts, queue lengths, and phase history)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(for example, a phase change that skips a mandatory clearance interval, or a hold that starves an approach indefinitely)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the Sapon Under-bridge Junction in Abeokuta, Ogun State,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(new detector hardware, a new controller cabinet, a wider carriageway)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(a learned recommender wrapped by a deterministic safety layer)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(as an advisory recommender, never as the final authority)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the Sapon Under-bridge Junction, Abeokuta,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(structured identically to what a real Sapon Under-bridge Junction traffic survey would produce, and designed so that a genuine survey's data can be substituted with a drop-in file replacement and no code changes)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(drivers and pedestrians learn a consistent pattern)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(SCOOT and its Australian counterpart SCATS being the best known)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(the Transformer architecture, introduced by Vaswani et al. (2017) for natural-language sequence modelling)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and this project,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(including an emergency-vehicle class)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(here, a Poisson distribution per direction and period, following the usual first choice for independent, low-to-moderate-volume arrivals, with a negative binomial distribution as the documented fallback should the data prove over-dispersed)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(the specific contribution this project makes beyond reproducing an existing model architecture on a new junction)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whether it accepted, held, or overrode the model,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(the deterministic rule engine that is the sole authority over what signal state is actually applied)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(SUMO's own graphical network editor)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(fit, calibrate, generate, train, run, evaluate, serve-api, build-web)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(the system's safety-critical layer)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(structured identically to what a real field survey would produce and documented as such in the repository, so a genuine survey's counts can be substituted as a drop-in file replacement with no code changes) pending an actual field survey at the junction; this limitation is discussed further in Section 1.6 and revisited as future work in Chapter Five.</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(a four-way junction with one inbound and one outbound lane per approach, meeting at a single traffic-light-controlled node)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(no finite-state-machine library)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(observe, then either pre-empt or predict-and-validate, then apply, then log)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(current junction state, active phase, priority events, the model's recommendation next to the scheduler's actual decision, the historical decision log, and evaluation reports)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(green grass, dark asphalt, white lane paint, colour-coded per-lane stop-line signals, and flat rectangular vehicles)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(once under the full runtime control loop described in Section 3.7, and once under a fixed-time controller that cycles through the same nine-phase space on fixed, pre-set durations with no model input and no priority pre-emption)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(a real SUMO simulation process controlled over TraCI, a real trained model checkpoint, and a real FastAPI relay and Next.js dashboard, not simulated or hand-authored output),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(the documented fallback for over-dispersed arrivals) in a future calibration pass, and is noted again as a limitation to address in future work (Chapter Five).</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(the two approaches carrying the junction's principal through-movement in this scenario)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correct or not,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(tick, timestamp, the model's recommendation, the phase actually applied, and the reason code),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(44.5% faster on the peak scenario, 43.2% faster off-peak)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for future work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(the system's safety-critical layer)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(model_accepted, max_green_force, anti_starvation_force, min_green_hold, and emergency_preempt)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(the summed waiting time of every vehicle currently on an approach, sampled each tick and averaged across all four approaches),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Chapter Five’s recommendations set out how each of these specific limitations should be addressed; the point this discussion makes is narrower: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