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t xml:space="preserve">Table 3.1: Transformer Encoder model hyperparameters	</w:t>
      </w:r>
      <w:r>
        <w:fldChar w:fldCharType="begin" w:dirty="true"/>
        <w:instrText xml:space="preserve">PAGEREF tbl3_1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3.2: Scheduler safety-rule thresholds	</w:t>
      </w:r>
      <w:r>
        <w:fldChar w:fldCharType="begin" w:dirty="true"/>
        <w:instrText xml:space="preserve">PAGEREF tbl3_2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4.1: Fitted Poisson arrival-rate parameters by direction and period	</w:t>
      </w:r>
      <w:r>
        <w:fldChar w:fldCharType="begin" w:dirty="true"/>
        <w:instrText xml:space="preserve">PAGEREF tbl4_1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4.2: Transformer Encoder training result	</w:t>
      </w:r>
      <w:r>
        <w:fldChar w:fldCharType="begin" w:dirty="true"/>
        <w:instrText xml:space="preserve">PAGEREF tbl4_2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4.3: Intelligent controller vs. fixed-time baseline — Sapon Under-bridge Peak Hour scenario	</w:t>
      </w:r>
      <w:r>
        <w:fldChar w:fldCharType="begin" w:dirty="true"/>
        <w:instrText xml:space="preserve">PAGEREF tbl4_3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Table 4.4: Intelligent controller vs. fixed-time baseline — Sapon Under-bridge Off-Peak scenario	</w:t>
      </w:r>
      <w:r>
        <w:fldChar w:fldCharType="begin" w:dirty="true"/>
        <w:instrText xml:space="preserve">PAGEREF tbl4_4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t xml:space="preserve">Fig. 3.1: MaHanya system architecture and process boundaries	</w:t>
      </w:r>
      <w:r>
        <w:fldChar w:fldCharType="begin" w:dirty="true"/>
        <w:instrText xml:space="preserve">PAGEREF fig3_1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3.2: MaHanya use case diagram	</w:t>
      </w:r>
      <w:r>
        <w:fldChar w:fldCharType="begin" w:dirty="true"/>
        <w:instrText xml:space="preserve">PAGEREF fig3_2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3.3: Runtime control-loop detail (observe, predict/pre-empt, validate, apply, log)	</w:t>
      </w:r>
      <w:r>
        <w:fldChar w:fldCharType="begin" w:dirty="true"/>
        <w:instrText xml:space="preserve">PAGEREF fig3_3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3.4: End-to-end pipeline, from field data collection to the dashboard	</w:t>
      </w:r>
      <w:r>
        <w:fldChar w:fldCharType="begin" w:dirty="true"/>
        <w:instrText xml:space="preserve">PAGEREF fig3_4</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3.5: mahanya module dependency graph	</w:t>
      </w:r>
      <w:r>
        <w:fldChar w:fldCharType="begin" w:dirty="true"/>
        <w:instrText xml:space="preserve">PAGEREF fig3_5</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4.1: Live Junction dashboard during a live emergency-vehicle pre-emption event	</w:t>
      </w:r>
      <w:r>
        <w:fldChar w:fldCharType="begin" w:dirty="true"/>
        <w:instrText xml:space="preserve">PAGEREF fig4_1</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4.2: Live Junction dashboard zoomed in on individual vehicles and per-lane signals	</w:t>
      </w:r>
      <w:r>
        <w:fldChar w:fldCharType="begin" w:dirty="true"/>
        <w:instrText xml:space="preserve">PAGEREF fig4_2</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4.3: Decision Log page, listing scheduler decisions with their reason codes	</w:t>
      </w:r>
      <w:r>
        <w:fldChar w:fldCharType="begin" w:dirty="true"/>
        <w:instrText xml:space="preserve">PAGEREF fig4_3</w:instrText>
        <w:fldChar w:fldCharType="end"/>
      </w:r>
    </w:p>
    <w:p>
      <w:pPr>
        <w:tabs>
          <w:tab w:val="right" w:pos="9026" w:leader="dot"/>
        </w:tabs>
        <w:spacing w:after="160" w:line="360" w:lineRule="auto"/>
      </w:pPr>
      <w:r>
        <w:rPr>
          <w:rFonts w:ascii="Times New Roman" w:cs="Times New Roman" w:eastAsia="Times New Roman" w:hAnsi="Times New Roman"/>
          <w:sz w:val="24"/>
          <w:szCs w:val="24"/>
        </w:rPr>
        <w:t xml:space="preserve">Fig. 4.4: Evaluation page comparing the intelligent controller against the fixed-time baseline	</w:t>
      </w:r>
      <w:r>
        <w:fldChar w:fldCharType="begin" w:dirty="true"/>
        <w:instrText xml:space="preserve">PAGEREF fig4_4</w:instrTex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 the deterministic rule engine that is the sole authority over what signal state is actually applied —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 SUMO's own graphical network editor —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recommendation path. Both actor-triggered flows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34564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3456432"/>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 fit, calibrate, generate, train, run, evaluate, serve-api, build-web —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 the system's safety-critical layer —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 structured identically to what a real field survey would produce and documented as such in the repository, so a genuine survey's counts can be substituted as a drop-in file replacement with no code changes — pending an actual field survey at the junction; this limitation is discussed further in Section 1.6 and Section 5.4.</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 a four-way junction with one inbound and one outbound lane per approach, meeting at a single traffic-light-controlled node —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 no finite-state-machine library —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 observe, then either pre-empt or predict-and-validate, then apply, then log —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 current junction state, active phase, priority events, the model's recommendation next to the scheduler's actual decision, the historical decision log, and evaluation reports —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 green grass, dark asphalt, white lane paint, colour-coded per-lane stop-line signals, and flat rectangular vehicles —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 once under the full runtime control loop described in Section 3.7, and once under a fixed-time controller that cycles through the same nine-phase space on fixed, pre-set durations with no model input and no priority pre-emption —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 a real SUMO simulation process controlled over TraCI, a real trained model checkpoint, and a real FastAPI relay and Next.js dashboard, not simulated or hand-authored output —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 the documented fallback for over-dispersed arrivals — in a future calibration pass, and is noted again as a limitation in Section 5.4.</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 the two approaches carrying the junction's principal through-movement in this scenario —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 correct or not —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 tick, timestamp, the model's recommendation, the phase actually applied, and the reason code —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 44.5% faster on the peak scenario, 43.2% faster off-peak —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(Section 5.4)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 the system's safety-critical layer —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 model_accepted, max_green_force, anti_starvation_force, min_green_hold, and emergency_preempt —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In absolute terms the peak-scenario waiting-time cost is 1.55 seconds per vehicle (23.84s versus 22.29s), and the larger-looking 31.1% off-peak figure is 1.91 seconds per vehicle (8.06s versus 6.15s) — a small absolute price, concentrated on lightly-loaded approaches, for a response-time improvement measured in tens of percent.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Section 5.4 sets out how each of these specific limitations should be addressed; the point this discussion makes is narrower —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