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6.png" ContentType="image/png"/>
  <Override PartName="/word/media/rId32.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1d84c4e05a382964e9ca688c45044eab625d5a4"/>
      <w:r>
        <w:t xml:space="preserve">صفحة البرامج المدرسية: دليل إدارة المحتوى والحوكمة</w:t>
      </w:r>
      <w:bookmarkEnd w:id="20"/>
    </w:p>
    <w:p>
      <w:pPr>
        <w:pStyle w:val="Heading2"/>
      </w:pPr>
      <w:bookmarkStart w:id="21" w:name="الملخص-التنفيذي"/>
      <w:r>
        <w:t xml:space="preserve">الملخص التنفيذي</w:t>
      </w:r>
      <w:bookmarkEnd w:id="21"/>
    </w:p>
    <w:p>
      <w:pPr>
        <w:pStyle w:val="FirstParagraph"/>
      </w:pPr>
      <w:r>
        <w:t xml:space="preserve">يوضح هذا الدليل الشامل استراتيجية إدارة المحتوى وعمليات سير العمل وهيكل الحوكمة لصفحة البرامج المدرسية ضمن منصة الرحلة الإماراتية. تعتبر صفحة البرامج المدرسية نقطة الاتصال الأولى في مسار التعليم، حيث تربط الطلاب الإماراتيين وعائلاتهم بالفرص التعليمية عالية الجودة في جميع أنحاء دولة الإمارات العربية المتحدة.</w:t>
      </w:r>
    </w:p>
    <w:p>
      <w:r>
        <w:pict>
          <v:rect style="width:0;height:1.5pt" o:hralign="center" o:hrstd="t" o:hr="t"/>
        </w:pict>
      </w:r>
    </w:p>
    <w:p>
      <w:pPr>
        <w:pStyle w:val="Heading2"/>
      </w:pPr>
      <w:bookmarkStart w:id="22" w:name="جدول-المحتويات"/>
      <w:r>
        <w:t xml:space="preserve">جدول المحتويات</w:t>
      </w:r>
      <w:bookmarkEnd w:id="22"/>
    </w:p>
    <w:p>
      <w:pPr>
        <w:numPr>
          <w:ilvl w:val="0"/>
          <w:numId w:val="1001"/>
        </w:numPr>
        <w:pStyle w:val="Compact"/>
      </w:pPr>
      <w:hyperlink w:anchor="استراتيجية-إدارة-المحتوى">
        <w:r>
          <w:rPr>
            <w:rStyle w:val="Hyperlink"/>
          </w:rPr>
          <w:t xml:space="preserve">استراتيجية إدارة المحتوى</w:t>
        </w:r>
      </w:hyperlink>
    </w:p>
    <w:p>
      <w:pPr>
        <w:numPr>
          <w:ilvl w:val="0"/>
          <w:numId w:val="1001"/>
        </w:numPr>
        <w:pStyle w:val="Compact"/>
      </w:pPr>
      <w:hyperlink w:anchor="سير-العمل-التفصيلي-للمحتوى">
        <w:r>
          <w:rPr>
            <w:rStyle w:val="Hyperlink"/>
          </w:rPr>
          <w:t xml:space="preserve">سير العمل التفصيلي للمحتوى</w:t>
        </w:r>
      </w:hyperlink>
    </w:p>
    <w:p>
      <w:pPr>
        <w:numPr>
          <w:ilvl w:val="0"/>
          <w:numId w:val="1001"/>
        </w:numPr>
        <w:pStyle w:val="Compact"/>
      </w:pPr>
      <w:hyperlink w:anchor="هيكل-الحوكمة">
        <w:r>
          <w:rPr>
            <w:rStyle w:val="Hyperlink"/>
          </w:rPr>
          <w:t xml:space="preserve">هيكل الحوكمة</w:t>
        </w:r>
      </w:hyperlink>
    </w:p>
    <w:p>
      <w:pPr>
        <w:numPr>
          <w:ilvl w:val="0"/>
          <w:numId w:val="1001"/>
        </w:numPr>
        <w:pStyle w:val="Compact"/>
      </w:pPr>
      <w:hyperlink w:anchor="علاقات-أصحاب-المصلحة">
        <w:r>
          <w:rPr>
            <w:rStyle w:val="Hyperlink"/>
          </w:rPr>
          <w:t xml:space="preserve">علاقات أصحاب المصلحة</w:t>
        </w:r>
      </w:hyperlink>
    </w:p>
    <w:p>
      <w:pPr>
        <w:numPr>
          <w:ilvl w:val="0"/>
          <w:numId w:val="1001"/>
        </w:numPr>
        <w:pStyle w:val="Compact"/>
      </w:pPr>
      <w:hyperlink w:anchor="إطار-ضمان-الجودة">
        <w:r>
          <w:rPr>
            <w:rStyle w:val="Hyperlink"/>
          </w:rPr>
          <w:t xml:space="preserve">إطار ضمان الجودة</w:t>
        </w:r>
      </w:hyperlink>
    </w:p>
    <w:p>
      <w:pPr>
        <w:numPr>
          <w:ilvl w:val="0"/>
          <w:numId w:val="1001"/>
        </w:numPr>
        <w:pStyle w:val="Compact"/>
      </w:pPr>
      <w:hyperlink w:anchor="مقاييس-الأداء-ومؤشرات-الأداء-الرئيسية">
        <w:r>
          <w:rPr>
            <w:rStyle w:val="Hyperlink"/>
          </w:rPr>
          <w:t xml:space="preserve">مقاييس الأداء ومؤشرات الأداء الرئيسية</w:t>
        </w:r>
      </w:hyperlink>
    </w:p>
    <w:p>
      <w:pPr>
        <w:numPr>
          <w:ilvl w:val="0"/>
          <w:numId w:val="1001"/>
        </w:numPr>
        <w:pStyle w:val="Compact"/>
      </w:pPr>
      <w:hyperlink w:anchor="إدارة-المخاطر">
        <w:r>
          <w:rPr>
            <w:rStyle w:val="Hyperlink"/>
          </w:rPr>
          <w:t xml:space="preserve">إدارة المخاطر</w:t>
        </w:r>
      </w:hyperlink>
    </w:p>
    <w:p>
      <w:pPr>
        <w:numPr>
          <w:ilvl w:val="0"/>
          <w:numId w:val="1001"/>
        </w:numPr>
        <w:pStyle w:val="Compact"/>
      </w:pPr>
      <w:hyperlink w:anchor="الجدول-الزمني-للتنفيذ">
        <w:r>
          <w:rPr>
            <w:rStyle w:val="Hyperlink"/>
          </w:rPr>
          <w:t xml:space="preserve">الجدول الزمني للتنفيذ</w:t>
        </w:r>
      </w:hyperlink>
    </w:p>
    <w:p>
      <w:pPr>
        <w:numPr>
          <w:ilvl w:val="0"/>
          <w:numId w:val="1001"/>
        </w:numPr>
        <w:pStyle w:val="Compact"/>
      </w:pPr>
      <w:hyperlink w:anchor="الملاحق">
        <w:r>
          <w:rPr>
            <w:rStyle w:val="Hyperlink"/>
          </w:rPr>
          <w:t xml:space="preserve">الملاحق</w:t>
        </w:r>
      </w:hyperlink>
    </w:p>
    <w:p>
      <w:r>
        <w:pict>
          <v:rect style="width:0;height:1.5pt" o:hralign="center" o:hrstd="t" o:hr="t"/>
        </w:pict>
      </w:r>
    </w:p>
    <w:p>
      <w:pPr>
        <w:pStyle w:val="Heading2"/>
      </w:pPr>
      <w:bookmarkStart w:id="23" w:name="استراتيجية-إدارة-المحتوى"/>
      <w:r>
        <w:t xml:space="preserve">استراتيجية إدارة المحتوى</w:t>
      </w:r>
      <w:bookmarkEnd w:id="23"/>
    </w:p>
    <w:p>
      <w:pPr>
        <w:pStyle w:val="Heading3"/>
      </w:pPr>
      <w:bookmarkStart w:id="24" w:name="نظرة-عامة"/>
      <w:r>
        <w:t xml:space="preserve">نظرة عامة</w:t>
      </w:r>
      <w:bookmarkEnd w:id="24"/>
    </w:p>
    <w:p>
      <w:pPr>
        <w:pStyle w:val="FirstParagraph"/>
      </w:pPr>
      <w:r>
        <w:t xml:space="preserve">تتطلب صفحة البرامج المدرسية نهجاً هجيناً لإدارة المحتوى يوازن بين الرقابة المركزية على الجودة وإنشاء المحتوى الموزع. هذا يضمن التميز التعليمي مع تمكين القابلية للتوسع والتحديثات الفورية من المؤسسات التعليمية في جميع أنحاء دولة الإمارات العربية المتحدة.</w:t>
      </w:r>
    </w:p>
    <w:p>
      <w:pPr>
        <w:pStyle w:val="Heading3"/>
      </w:pPr>
      <w:bookmarkStart w:id="25" w:name="هيكل-ملكية-المحتوى"/>
      <w:r>
        <w:t xml:space="preserve">هيكل ملكية المحتوى</w:t>
      </w:r>
      <w:bookmarkEnd w:id="25"/>
    </w:p>
    <w:p>
      <w:pPr>
        <w:pStyle w:val="Heading4"/>
      </w:pPr>
      <w:bookmarkStart w:id="26" w:name="منشئو-المحتوى-الأساسيون"/>
      <w:r>
        <w:rPr>
          <w:b/>
        </w:rPr>
        <w:t xml:space="preserve">منشئو المحتوى الأساسيون</w:t>
      </w:r>
      <w:bookmarkEnd w:id="26"/>
    </w:p>
    <w:p>
      <w:pPr>
        <w:numPr>
          <w:ilvl w:val="0"/>
          <w:numId w:val="1002"/>
        </w:numPr>
        <w:pStyle w:val="Compact"/>
      </w:pPr>
      <w:r>
        <w:rPr>
          <w:b/>
        </w:rPr>
        <w:t xml:space="preserve">هيئة المعرفة والتنمية البشرية (KHDA) بالتنسيق مع وزارة التربية والتعليم</w:t>
      </w:r>
      <w:r>
        <w:t xml:space="preserve"> </w:t>
      </w:r>
      <w:r>
        <w:t xml:space="preserve">فرق المحتوى توفر الإشراف الاستراتيجي والتوافق مع السياسات</w:t>
      </w:r>
    </w:p>
    <w:p>
      <w:pPr>
        <w:numPr>
          <w:ilvl w:val="0"/>
          <w:numId w:val="1002"/>
        </w:numPr>
        <w:pStyle w:val="Compact"/>
      </w:pPr>
      <w:r>
        <w:rPr>
          <w:b/>
        </w:rPr>
        <w:t xml:space="preserve">المدارس الفردية</w:t>
      </w:r>
      <w:r>
        <w:t xml:space="preserve"> </w:t>
      </w:r>
      <w:r>
        <w:t xml:space="preserve">والمؤسسات التعليمية تساهم بتفاصيل البرامج المحددة</w:t>
      </w:r>
    </w:p>
    <w:p>
      <w:pPr>
        <w:numPr>
          <w:ilvl w:val="0"/>
          <w:numId w:val="1002"/>
        </w:numPr>
        <w:pStyle w:val="Compact"/>
      </w:pPr>
      <w:r>
        <w:rPr>
          <w:b/>
        </w:rPr>
        <w:t xml:space="preserve">المستشارون التعليميون</w:t>
      </w:r>
      <w:r>
        <w:t xml:space="preserve"> </w:t>
      </w:r>
      <w:r>
        <w:t xml:space="preserve">ومتخصصو المناهج يقدمون دعم ضمان الجودة</w:t>
      </w:r>
    </w:p>
    <w:p>
      <w:pPr>
        <w:pStyle w:val="Heading4"/>
      </w:pPr>
      <w:bookmarkStart w:id="27" w:name="إطار-السيطرة-على-المحتوى"/>
      <w:r>
        <w:rPr>
          <w:b/>
        </w:rPr>
        <w:t xml:space="preserve">إطار السيطرة على المحتوى</w:t>
      </w:r>
      <w:bookmarkEnd w:id="27"/>
    </w:p>
    <w:p>
      <w:pPr>
        <w:numPr>
          <w:ilvl w:val="0"/>
          <w:numId w:val="1003"/>
        </w:numPr>
        <w:pStyle w:val="Compact"/>
      </w:pPr>
      <w:r>
        <w:rPr>
          <w:b/>
        </w:rPr>
        <w:t xml:space="preserve">الموافقة المركزية</w:t>
      </w:r>
      <w:r>
        <w:t xml:space="preserve">: هيئة المعرفة والتنمية البشرية تحتفظ بالإشراف التحريري وسلطة الموافقة النهائية</w:t>
      </w:r>
    </w:p>
    <w:p>
      <w:pPr>
        <w:numPr>
          <w:ilvl w:val="0"/>
          <w:numId w:val="1003"/>
        </w:numPr>
        <w:pStyle w:val="Compact"/>
      </w:pPr>
      <w:r>
        <w:rPr>
          <w:b/>
        </w:rPr>
        <w:t xml:space="preserve">الإنشاء الموزع</w:t>
      </w:r>
      <w:r>
        <w:t xml:space="preserve">: المدارس والمؤسسات التعليمية تساهم بمعلومات البرامج التفصيلية</w:t>
      </w:r>
    </w:p>
    <w:p>
      <w:pPr>
        <w:numPr>
          <w:ilvl w:val="0"/>
          <w:numId w:val="1003"/>
        </w:numPr>
        <w:pStyle w:val="Compact"/>
      </w:pPr>
      <w:r>
        <w:rPr>
          <w:b/>
        </w:rPr>
        <w:t xml:space="preserve">ضمان الجودة</w:t>
      </w:r>
      <w:r>
        <w:t xml:space="preserve">: مجلس مراجعة المحتوى المخصص يضمن الامتثال للمعايير والدقة</w:t>
      </w:r>
    </w:p>
    <w:p>
      <w:pPr>
        <w:pStyle w:val="Heading3"/>
      </w:pPr>
      <w:bookmarkStart w:id="28" w:name="فئات-المحتوى"/>
      <w:r>
        <w:t xml:space="preserve">فئات المحتوى</w:t>
      </w:r>
      <w:bookmarkEnd w:id="28"/>
    </w:p>
    <w:p>
      <w:pPr>
        <w:pStyle w:val="Heading4"/>
      </w:pPr>
      <w:bookmarkStart w:id="29" w:name="معلومات-البرامج-الأساسية"/>
      <w:r>
        <w:rPr>
          <w:b/>
        </w:rPr>
        <w:t xml:space="preserve">معلومات البرامج الأساسية</w:t>
      </w:r>
      <w:bookmarkEnd w:id="29"/>
    </w:p>
    <w:p>
      <w:pPr>
        <w:numPr>
          <w:ilvl w:val="0"/>
          <w:numId w:val="1004"/>
        </w:numPr>
        <w:pStyle w:val="Compact"/>
      </w:pPr>
      <w:r>
        <w:t xml:space="preserve">نظرة عامة على البرنامج والأهداف</w:t>
      </w:r>
    </w:p>
    <w:p>
      <w:pPr>
        <w:numPr>
          <w:ilvl w:val="0"/>
          <w:numId w:val="1004"/>
        </w:numPr>
        <w:pStyle w:val="Compact"/>
      </w:pPr>
      <w:r>
        <w:t xml:space="preserve">تفاصيل المنهج ونتائج التعلم</w:t>
      </w:r>
    </w:p>
    <w:p>
      <w:pPr>
        <w:numPr>
          <w:ilvl w:val="0"/>
          <w:numId w:val="1004"/>
        </w:numPr>
        <w:pStyle w:val="Compact"/>
      </w:pPr>
      <w:r>
        <w:t xml:space="preserve">متطلبات القبول والإجراءات</w:t>
      </w:r>
    </w:p>
    <w:p>
      <w:pPr>
        <w:numPr>
          <w:ilvl w:val="0"/>
          <w:numId w:val="1004"/>
        </w:numPr>
        <w:pStyle w:val="Compact"/>
      </w:pPr>
      <w:r>
        <w:t xml:space="preserve">ملفات أعضاء هيئة التدريس والمؤهلات</w:t>
      </w:r>
    </w:p>
    <w:p>
      <w:pPr>
        <w:numPr>
          <w:ilvl w:val="0"/>
          <w:numId w:val="1004"/>
        </w:numPr>
        <w:pStyle w:val="Compact"/>
      </w:pPr>
      <w:r>
        <w:t xml:space="preserve">المرافق والموارد المتاحة</w:t>
      </w:r>
    </w:p>
    <w:p>
      <w:pPr>
        <w:pStyle w:val="Heading4"/>
      </w:pPr>
      <w:bookmarkStart w:id="30" w:name="المواد-الداعمة"/>
      <w:r>
        <w:rPr>
          <w:b/>
        </w:rPr>
        <w:t xml:space="preserve">المواد الداعمة</w:t>
      </w:r>
      <w:bookmarkEnd w:id="30"/>
    </w:p>
    <w:p>
      <w:pPr>
        <w:numPr>
          <w:ilvl w:val="0"/>
          <w:numId w:val="1005"/>
        </w:numPr>
        <w:pStyle w:val="Compact"/>
      </w:pPr>
      <w:r>
        <w:t xml:space="preserve">شهادات الطلاب وقصص النجاح</w:t>
      </w:r>
    </w:p>
    <w:p>
      <w:pPr>
        <w:numPr>
          <w:ilvl w:val="0"/>
          <w:numId w:val="1005"/>
        </w:numPr>
        <w:pStyle w:val="Compact"/>
      </w:pPr>
      <w:r>
        <w:t xml:space="preserve">الأصول البصرية (الصور والفيديوهات والجولات الافتراضية)</w:t>
      </w:r>
    </w:p>
    <w:p>
      <w:pPr>
        <w:numPr>
          <w:ilvl w:val="0"/>
          <w:numId w:val="1005"/>
        </w:numPr>
        <w:pStyle w:val="Compact"/>
      </w:pPr>
      <w:r>
        <w:t xml:space="preserve">جداول البرامج والتقاويم الأكاديمية</w:t>
      </w:r>
    </w:p>
    <w:p>
      <w:pPr>
        <w:numPr>
          <w:ilvl w:val="0"/>
          <w:numId w:val="1005"/>
        </w:numPr>
        <w:pStyle w:val="Compact"/>
      </w:pPr>
      <w:r>
        <w:t xml:space="preserve">هياكل الرسوم ومعلومات المساعدة المالية</w:t>
      </w:r>
    </w:p>
    <w:p>
      <w:pPr>
        <w:numPr>
          <w:ilvl w:val="0"/>
          <w:numId w:val="1005"/>
        </w:numPr>
        <w:pStyle w:val="Compact"/>
      </w:pPr>
      <w:r>
        <w:t xml:space="preserve">معلومات الاتصال وإجراءات التقديم</w:t>
      </w:r>
    </w:p>
    <w:p>
      <w:r>
        <w:pict>
          <v:rect style="width:0;height:1.5pt" o:hralign="center" o:hrstd="t" o:hr="t"/>
        </w:pict>
      </w:r>
    </w:p>
    <w:p>
      <w:pPr>
        <w:pStyle w:val="Heading2"/>
      </w:pPr>
      <w:bookmarkStart w:id="31" w:name="سير-العمل-التفصيلي-للمحتوى"/>
      <w:r>
        <w:t xml:space="preserve">سير العمل التفصيلي للمحتوى</w:t>
      </w:r>
      <w:bookmarkEnd w:id="31"/>
    </w:p>
    <w:p>
      <w:pPr>
        <w:pStyle w:val="FirstParagraph"/>
      </w:pPr>
      <w:r>
        <w:t xml:space="preserve">يوضح المخطط التالي عملية سير العمل الشاملة للمحتوى لمدة 25 يوماً من تحديد البرنامج الأولي حتى الصيانة المستمرة:</w:t>
      </w:r>
    </w:p>
    <w:p>
      <w:pPr>
        <w:pStyle w:val="CaptionedFigure"/>
      </w:pPr>
      <w:r>
        <w:drawing>
          <wp:inline>
            <wp:extent cx="5334000" cy="14627678"/>
            <wp:effectExtent b="0" l="0" r="0" t="0"/>
            <wp:docPr descr="مخطط سير العمل للمحتوى" title="" id="1" name="Picture"/>
            <a:graphic>
              <a:graphicData uri="http://schemas.openxmlformats.org/drawingml/2006/picture">
                <pic:pic>
                  <pic:nvPicPr>
                    <pic:cNvPr descr="school-programs-workflow.png" id="0" name="Picture"/>
                    <pic:cNvPicPr>
                      <a:picLocks noChangeArrowheads="1" noChangeAspect="1"/>
                    </pic:cNvPicPr>
                  </pic:nvPicPr>
                  <pic:blipFill>
                    <a:blip r:embed="rId32"/>
                    <a:stretch>
                      <a:fillRect/>
                    </a:stretch>
                  </pic:blipFill>
                  <pic:spPr bwMode="auto">
                    <a:xfrm>
                      <a:off x="0" y="0"/>
                      <a:ext cx="5334000" cy="14627678"/>
                    </a:xfrm>
                    <a:prstGeom prst="rect">
                      <a:avLst/>
                    </a:prstGeom>
                    <a:noFill/>
                    <a:ln w="9525">
                      <a:noFill/>
                      <a:headEnd/>
                      <a:tailEnd/>
                    </a:ln>
                  </pic:spPr>
                </pic:pic>
              </a:graphicData>
            </a:graphic>
          </wp:inline>
        </w:drawing>
      </w:r>
    </w:p>
    <w:p>
      <w:pPr>
        <w:pStyle w:val="ImageCaption"/>
      </w:pPr>
      <w:r>
        <w:t xml:space="preserve">مخطط سير العمل للمحتوى</w:t>
      </w:r>
    </w:p>
    <w:p>
      <w:pPr>
        <w:pStyle w:val="Heading3"/>
      </w:pPr>
      <w:bookmarkStart w:id="33" w:name="Xd626ef7fa577f5dafe28364750ddd268f7444d1"/>
      <w:r>
        <w:t xml:space="preserve">المرحلة 1: بدء المحتوى والإنشاء (الأيام 1-5)</w:t>
      </w:r>
      <w:bookmarkEnd w:id="33"/>
    </w:p>
    <w:p>
      <w:pPr>
        <w:pStyle w:val="Heading4"/>
      </w:pPr>
      <w:bookmarkStart w:id="34" w:name="الخطوة-1.1-تحديد-البرنامج"/>
      <w:r>
        <w:rPr>
          <w:b/>
        </w:rPr>
        <w:t xml:space="preserve">الخطوة 1.1: تحديد البرنامج</w:t>
      </w:r>
      <w:bookmarkEnd w:id="34"/>
    </w:p>
    <w:p>
      <w:pPr>
        <w:pStyle w:val="FirstParagraph"/>
      </w:pPr>
      <w:r>
        <w:t xml:space="preserve">تحدد المدارس البرامج المناسبة للإدراج في المنصة من خلال عملية تقييم منهجية. يتضمن هذا تقييم البرامج مقابل معايير هيئة المعرفة والتنمية البشرية التعليمية والأولويات الوطنية الإماراتية، وتحليل الطلب في السوق من خلال استطلاعات اهتمام الطلاب والأولياء، وتأكيد وجود أعضاء هيئة تدريس ومرافق وبنية دعم كافية، والتحقق من المساهمة في أهداف التعليم 33 والتنمية الوطنية.</w:t>
      </w:r>
    </w:p>
    <w:p>
      <w:pPr>
        <w:pStyle w:val="Heading4"/>
      </w:pPr>
      <w:bookmarkStart w:id="35" w:name="الخطوة-1.2-عملية-تطوير-المحتوى"/>
      <w:r>
        <w:rPr>
          <w:b/>
        </w:rPr>
        <w:t xml:space="preserve">الخطوة 1.2: عملية تطوير المحتوى</w:t>
      </w:r>
      <w:bookmarkEnd w:id="35"/>
    </w:p>
    <w:p>
      <w:pPr>
        <w:pStyle w:val="FirstParagraph"/>
      </w:pPr>
      <w:r>
        <w:t xml:space="preserve">ينشئ منسقو البرامج حزم محتوى شاملة تتضمن نظرات عامة مفصلة على البرامج مع بيانات المهمة والفلسفة التعليمية، وعروض القيمة الفريدة والمزايا التنافسية، والتركيبة السكانية المستهدفة للطلاب والمتطلبات الأساسية، ومدة البرنامج والهيكل الأكاديمي. تشمل معلومات المنهج تفصيلات المواد مع أهداف التعلم، وطرق التقييم ومعايير التقييم، والمكونات العملية وفرص التعلم العملي، والتكامل مع معايير المنهج الوطني الإماراتي.</w:t>
      </w:r>
    </w:p>
    <w:p>
      <w:pPr>
        <w:pStyle w:val="BodyText"/>
      </w:pPr>
      <w:r>
        <w:t xml:space="preserve">تغطي التفاصيل اللوجستية جداول الحصص والتقاويم الأكاديمية، ومعلومات الموقع والمرافق، وسعة الطلاب وإجراءات التسجيل، وهياكل الرسوم مع خيارات الدفع. تتضمن وثائق الموارد ملفات أعضاء هيئة التدريس مع المؤهلات والخبرة، ووصف المرافق وقوائم المعدات، واتفاقيات الشراكة مع الصناعة والمؤسسات، وتكامل التكنولوجيا مع أدوات التعلم الرقمي.</w:t>
      </w:r>
    </w:p>
    <w:p>
      <w:pPr>
        <w:pStyle w:val="BodyText"/>
      </w:pPr>
      <w:r>
        <w:t xml:space="preserve">تتضمن مقاييس النجاح والنتائج بيانات الأداء التاريخية ومعدلات التخرج، وإحصائيات توظيف الخريجين والتقدم المهني، واستطلاعات رضا الطلاب والتعليقات، وإنجازات الاعتراف والاعتماد.</w:t>
      </w:r>
    </w:p>
    <w:p>
      <w:pPr>
        <w:pStyle w:val="Heading4"/>
      </w:pPr>
      <w:bookmarkStart w:id="36" w:name="الخطوة-1.3-جمع-مدخلات-أصحاب-المصلحة"/>
      <w:r>
        <w:rPr>
          <w:b/>
        </w:rPr>
        <w:t xml:space="preserve">الخطوة 1.3: جمع مدخلات أصحاب المصلحة</w:t>
      </w:r>
      <w:bookmarkEnd w:id="36"/>
    </w:p>
    <w:p>
      <w:pPr>
        <w:pStyle w:val="FirstParagraph"/>
      </w:pPr>
      <w:r>
        <w:t xml:space="preserve">يضمن الانخراط الشامل لأصحاب المصلحة دقة المحتوى وصلته من خلال قنوات متعددة. تشمل مساهمات الموظفين التعليميين المعلمين الذين يقدمون معلومات مفصلة عن المنهج والأساليب التربوية، ورؤساء الأقسام الذين يتحققون من هيكل البرنامج ومتطلبات الموارد، والمنسقين الأكاديميين الذين يضمنون التوافق مع المعايير التعليمية.</w:t>
      </w:r>
    </w:p>
    <w:p>
      <w:pPr>
        <w:pStyle w:val="BodyText"/>
      </w:pPr>
      <w:r>
        <w:t xml:space="preserve">تتضمن وجهات نظر الطلاب والخريجين الطلاب الحاليين الذين يشاركون تجارب التعلم وفوائد البرنامج، والخريجين الحديثين الذين يقدمون شهادات نتائج المهنة، والخريجين الذين يساهمون بقصص النجاح طويلة المدى والإنجازات المهنية. تشمل تعليقات الأولياء والمجتمع استطلاعات الأولياء لتقييم تأثير البرنامج ومستويات الرضا، وقادة المجتمع الذين يتحققون من الملاءمة الثقافية والصلة المحلية، وشركاء أصحاب العمل الذين يؤكدون التوافق مع الصناعة واستعداد الخريجين.</w:t>
      </w:r>
    </w:p>
    <w:p>
      <w:pPr>
        <w:pStyle w:val="BodyText"/>
      </w:pPr>
      <w:r>
        <w:t xml:space="preserve">يتضمن التحقق من الصناعة الجمعيات المهنية التي تتحقق من صلة المنهج ومعايير الصناعة، وشركاء أصحاب العمل الذين يقدمون تعليقات على كفاءات الخريجين، ومستشاري المهن الذين يقيمون آفاق التوظيف وطلب السوق.</w:t>
      </w:r>
    </w:p>
    <w:p>
      <w:pPr>
        <w:pStyle w:val="Heading3"/>
      </w:pPr>
      <w:bookmarkStart w:id="37" w:name="Xfb4322cbbb932e1979696e0d0d5102fab8417a7"/>
      <w:r>
        <w:t xml:space="preserve">المرحلة 2: تقديم المحتوى والمعالجة الأولية (الأيام 6-8)</w:t>
      </w:r>
      <w:bookmarkEnd w:id="37"/>
    </w:p>
    <w:p>
      <w:pPr>
        <w:pStyle w:val="Heading4"/>
      </w:pPr>
      <w:bookmarkStart w:id="38" w:name="الخطوة-2.1-عملية-التقديم-الرقمي"/>
      <w:r>
        <w:rPr>
          <w:b/>
        </w:rPr>
        <w:t xml:space="preserve">الخطوة 2.1: عملية التقديم الرقمي</w:t>
      </w:r>
      <w:bookmarkEnd w:id="38"/>
    </w:p>
    <w:p>
      <w:pPr>
        <w:pStyle w:val="FirstParagraph"/>
      </w:pPr>
      <w:r>
        <w:t xml:space="preserve">تستخدم المدارس نظام بوابة مخصص لتقديم المحتوى يتميز بنماذج منظمة مع حقول إلزامية واختيارية، وقدرات تحميل الملفات للوثائق والصور والفيديوهات، وتتبع التقدم ومراقبة حالة التقديم، وفحوصات التحقق الآلي للاكتمال والامتثال للتنسيق.</w:t>
      </w:r>
    </w:p>
    <w:p>
      <w:pPr>
        <w:pStyle w:val="BodyText"/>
      </w:pPr>
      <w:r>
        <w:t xml:space="preserve">تتضمن متطلبات التقديم معلومات البرنامج الكاملة بتنسيق موحد، والأصول البصرية عالية الجودة التي تلبي المواصفات التقنية، والوثائق الداعمة ومواد التحقق، والتوقيعات الرقمية من ممثلي المدرسة المعتمدين.</w:t>
      </w:r>
    </w:p>
    <w:p>
      <w:pPr>
        <w:pStyle w:val="Heading4"/>
      </w:pPr>
      <w:bookmarkStart w:id="39" w:name="الخطوة-2.2-نظام-تصنيف-المحتوى"/>
      <w:r>
        <w:rPr>
          <w:b/>
        </w:rPr>
        <w:t xml:space="preserve">الخطوة 2.2: نظام تصنيف المحتوى</w:t>
      </w:r>
      <w:bookmarkEnd w:id="39"/>
    </w:p>
    <w:p>
      <w:pPr>
        <w:pStyle w:val="FirstParagraph"/>
      </w:pPr>
      <w:r>
        <w:t xml:space="preserve">يضمن التصنيف الآلي واليدوي تنظيم المحتوى المناسب من خلال تصنيف نوع البرنامج بما في ذلك البرامج الأكاديمية التي تغطي العلوم والتكنولوجيا والهندسة والرياضيات والعلوم الإنسانية واللغات والفنون، والأنشطة اللامنهجية التي تشمل الرياضة والأندية والخدمة المجتمعية، والتدريب المهني الذي يركز على المهارات التقنية والشهادات المهنية، وبرامج الاحتياجات الخاصة التي توفر التعليم الشامل ودعم التعلم.</w:t>
      </w:r>
    </w:p>
    <w:p>
      <w:pPr>
        <w:pStyle w:val="BodyText"/>
      </w:pPr>
      <w:r>
        <w:t xml:space="preserve">يغطي تقسيم الفئات العمرية التعليم الابتدائي للأعمار 6-10، والتعليم المتوسط للأعمار 11-14، والتعليم الثانوي للأعمار 15-18، وبرامج التحضير لما بعد الثانوي. يتضمن تصنيف الأولوية إطلاق البرامج الجديدة التي تتطلب اهتماماً فورياً، والمحتوى المحدث للبرامج الموجودة، والبرامج الموسمية مع فترات التسجيل الحساسة للوقت، والتحديثات الطارئة للسياسة أو السلامة.</w:t>
      </w:r>
    </w:p>
    <w:p>
      <w:pPr>
        <w:pStyle w:val="Heading4"/>
      </w:pPr>
      <w:bookmarkStart w:id="40" w:name="الخطوة-2.3-التقييم-الأولي-للجودة"/>
      <w:r>
        <w:rPr>
          <w:b/>
        </w:rPr>
        <w:t xml:space="preserve">الخطوة 2.3: التقييم الأولي للجودة</w:t>
      </w:r>
      <w:bookmarkEnd w:id="40"/>
    </w:p>
    <w:p>
      <w:pPr>
        <w:pStyle w:val="FirstParagraph"/>
      </w:pPr>
      <w:r>
        <w:t xml:space="preserve">تؤدي الفرق التقنية والمحتوى فحوصات الجودة الأولية من خلال التحقق التقني الذي يغطي توافق تنسيق الملف ومتطلبات الحجم، ومعايير دقة الصورة وجودة الفيديو، وتكامل الموقع الإلكتروني والاستجابة للهاتف المحمول، والامتثال لإمكانية الوصول للمستخدمين ذوي الإعاقة.</w:t>
      </w:r>
    </w:p>
    <w:p>
      <w:pPr>
        <w:pStyle w:val="BodyText"/>
      </w:pPr>
      <w:r>
        <w:t xml:space="preserve">تشمل مراجعة جودة المحتوى دقة القواعد النحوية والإملاء واللغة، والتحقق من المعلومات الواقعية، والحساسية الثقافية والملاءمة، والامتثال لإرشادات محتوى هيئة المعرفة والتنمية البشرية. يتضمن التحقق من الأصالة اكتشاف الانتحال وتفرد المحتوى، والامتثال لحقوق الطبع والنشر للصور والمواد، ومتطلبات الإسناد للمحتوى من طرف ثالث، وتدابير حماية الملكية الفكرية.</w:t>
      </w:r>
    </w:p>
    <w:p>
      <w:pPr>
        <w:pStyle w:val="Heading3"/>
      </w:pPr>
      <w:bookmarkStart w:id="41" w:name="X1eb717f66188f6eebdc922912be98f73083614f"/>
      <w:r>
        <w:t xml:space="preserve">المرحلة 3: عملية المراجعة متعددة المستويات (الأيام 9-18)</w:t>
      </w:r>
      <w:bookmarkEnd w:id="41"/>
    </w:p>
    <w:p>
      <w:pPr>
        <w:pStyle w:val="Heading4"/>
      </w:pPr>
      <w:bookmarkStart w:id="42" w:name="X1dfbf211c6eb4e07c22fd5b9793242bb82f4b27"/>
      <w:r>
        <w:rPr>
          <w:b/>
        </w:rPr>
        <w:t xml:space="preserve">الخطوة 3.1: مراجعة المحتوى التعليمي (الأيام 9-12)</w:t>
      </w:r>
      <w:bookmarkEnd w:id="42"/>
    </w:p>
    <w:p>
      <w:pPr>
        <w:pStyle w:val="FirstParagraph"/>
      </w:pPr>
      <w:r>
        <w:t xml:space="preserve">تقيم الفرق المتخصصة الجودة التعليمية والامتثال للمعايير من خلال تقييم متخصصي المناهج الذي يغطي التوافق مع معايير المنهج الوطني الإماراتي، والمحتوى المناسب للعمر وأهداف التعلم، وتطوير المهارات التدريجي وبناء المعرفة، وفرص التكامل مع مجالات الموضوع الأخرى.</w:t>
      </w:r>
    </w:p>
    <w:p>
      <w:pPr>
        <w:pStyle w:val="BodyText"/>
      </w:pPr>
      <w:r>
        <w:t xml:space="preserve">يركز تقييم خبراء الموضوع على الدقة التقنية والصلة الحالية بالصناعة، وعمق وعرض تغطية المحتوى، والتطبيق العملي والاتصالات بالعالم الحقيقي، والابتكار والأساليب التعليمية الإبداعية. تفحص المراجعة التربوية منهجيات التدريس واستراتيجيات التعلم، وتقنيات إشراك الطلاب والتحفيز، وطرق التقييم ومعايير التقييم، والتعليم المتمايز لاحتياجات التعلم المتنوعة.</w:t>
      </w:r>
    </w:p>
    <w:p>
      <w:pPr>
        <w:pStyle w:val="BodyText"/>
      </w:pPr>
      <w:r>
        <w:t xml:space="preserve">يغطي تقييم إمكانية الوصول والإدماج خدمات الإقامة والدعم للاحتياجات الخاصة، وإمكانية الوصول اللغوي للسكان الطلابيين المتنوعين، والحساسية الثقافية والممارسات الشاملة، وإمكانية الوصول التكنولوجي للطلاب ذوي الإعاقة.</w:t>
      </w:r>
    </w:p>
    <w:p>
      <w:pPr>
        <w:pStyle w:val="Heading4"/>
      </w:pPr>
      <w:bookmarkStart w:id="43" w:name="X3378405b50254765e0ac5c7593c5aad6960f0e3"/>
      <w:r>
        <w:rPr>
          <w:b/>
        </w:rPr>
        <w:t xml:space="preserve">الخطوة 3.2: مراجعة السياسة والامتثال (الأيام 13-15)</w:t>
      </w:r>
      <w:bookmarkEnd w:id="43"/>
    </w:p>
    <w:p>
      <w:pPr>
        <w:pStyle w:val="FirstParagraph"/>
      </w:pPr>
      <w:r>
        <w:t xml:space="preserve">تضمن الفرق القانونية والسياسية الامتثال التنظيمي والتوافق من خلال توافق سياسة هيئة المعرفة والتنمية البشرية الذي يغطي الامتثال لقوانين ولوائح التعليم الإماراتية، والالتزام بأولويات استراتيجية التعليم الوطنية، والتكامل مع المبادرات والبرامج الحكومية، والمساهمة في أهداف التنمية الوطنية.</w:t>
      </w:r>
    </w:p>
    <w:p>
      <w:pPr>
        <w:pStyle w:val="BodyText"/>
      </w:pPr>
      <w:r>
        <w:t xml:space="preserve">تشمل المراجعة القانونية والتنظيمية تدابير حماية سلامة ورفاهية الطلاب، والامتثال لخصوصية البيانات وأمن المعلومات، والتحقق من تغطية المسؤولية والتأمين، والالتزامات التعاقدية والمتطلبات القانونية. يتضمن تقييم الملاءمة الثقافية والاجتماعية احترام القيم والتقاليد والعادات الإماراتية، وتكامل المبادئ الإسلامية عند الاقتضاء، والحساسية متعددة الثقافات والمواطنة العالمية، والمشاركة المجتمعية والمسؤولية الاجتماعية.</w:t>
      </w:r>
    </w:p>
    <w:p>
      <w:pPr>
        <w:pStyle w:val="BodyText"/>
      </w:pPr>
      <w:r>
        <w:t xml:space="preserve">يغطي تقييم السلامة والمخاطر بروتوكولات السلامة الجسدية وإجراءات الطوارئ، ومكونات برامج الصحة والعافية، واستراتيجيات إدارة المخاطر والتخفيف، وتغطية التأمين وحماية المسؤولية.</w:t>
      </w:r>
    </w:p>
    <w:p>
      <w:pPr>
        <w:pStyle w:val="Heading4"/>
      </w:pPr>
      <w:bookmarkStart w:id="44" w:name="X691064ef7672753c7fb3a9fbdd023a1c6be6446"/>
      <w:r>
        <w:rPr>
          <w:b/>
        </w:rPr>
        <w:t xml:space="preserve">الخطوة 3.3: مراجعة التوافق الاستراتيجي (الأيام 16-18)</w:t>
      </w:r>
      <w:bookmarkEnd w:id="44"/>
    </w:p>
    <w:p>
      <w:pPr>
        <w:pStyle w:val="FirstParagraph"/>
      </w:pPr>
      <w:r>
        <w:t xml:space="preserve">تقيم القيادة العليا الملاءمة الاستراتيجية وآثار الموارد من خلال توافق الأولوية الوطنية الذي يغطي المساهمة في أهداف التعليم 33، ودعم أهداف التنويع الاقتصادي الوطني، وتطوير المهارات والكفاءات الجاهزة للمستقبل، وتعزيز القدرة التنافسية العالمية لدولة الإمارات العربية المتحدة.</w:t>
      </w:r>
    </w:p>
    <w:p>
      <w:pPr>
        <w:pStyle w:val="BodyText"/>
      </w:pPr>
      <w:r>
        <w:t xml:space="preserve">يتضمن تقييم الموارد والبنية التحتية التمويل الكافي والاستدامة المالية، وموارد أعضاء هيئة التدريس والموظفين الكافية، وتوافر المرافق والمعدات المناسبة، والبنية التحتية التكنولوجية والقدرات الرقمية. يغطي تقييم التأثير والوصول التسجيل المحتمل للطلاب والوصول الديموغرافي، وتقييم التأثير المجتمعي والفائدة الاجتماعية، والاستدامة طويلة المدى وإمكانات النمو، وفرص القابلية للتوسع والتكرار.</w:t>
      </w:r>
    </w:p>
    <w:p>
      <w:pPr>
        <w:pStyle w:val="BodyText"/>
      </w:pPr>
      <w:r>
        <w:t xml:space="preserve">يتضمن تقييم معايير الجودة والتميز التوافق مع أفضل الممارسات الدولية، والتزام التحسين المستمر والابتكار، وأنظمة قياس الأداء والمساءلة، وإمكانات الاعتراف والاعتماد.</w:t>
      </w:r>
    </w:p>
    <w:p>
      <w:pPr>
        <w:pStyle w:val="Heading3"/>
      </w:pPr>
      <w:bookmarkStart w:id="45" w:name="X8dd1209cd7a960705cf001b5516d9bbe32b5229"/>
      <w:r>
        <w:t xml:space="preserve">المرحلة 4: دورة الموافقة والمراجعة (الأيام 19-21)</w:t>
      </w:r>
      <w:bookmarkEnd w:id="45"/>
    </w:p>
    <w:p>
      <w:pPr>
        <w:pStyle w:val="Heading4"/>
      </w:pPr>
      <w:bookmarkStart w:id="46" w:name="الخطوة-4.1-نتائج-المراجعة-ومصفوفة-القرار"/>
      <w:r>
        <w:rPr>
          <w:b/>
        </w:rPr>
        <w:t xml:space="preserve">الخطوة 4.1: نتائج المراجعة ومصفوفة القرار</w:t>
      </w:r>
      <w:bookmarkEnd w:id="46"/>
    </w:p>
    <w:p>
      <w:pPr>
        <w:pStyle w:val="FirstParagraph"/>
      </w:pPr>
      <w:r>
        <w:t xml:space="preserve">تتلقى مقدمات المحتوى واحدة من أربع نتائج محتملة. تنطبق الموافقة الفورية على 60% من المقدمات حيث يلبي المحتوى جميع معايير الجودة والامتثال، ولا يتطلب مراجعات للنشر، ويتبع المسار السريع لمرحلة النشر، ويؤدي إلى إشعار أصحاب المصلحة التلقائي.</w:t>
      </w:r>
    </w:p>
    <w:p>
      <w:pPr>
        <w:pStyle w:val="BodyText"/>
      </w:pPr>
      <w:r>
        <w:t xml:space="preserve">تغطي الموافقة المشروطة 30% من المقدمات التي تتطلب مراجعات طفيفة للامتثال، مع تقديم تعليقات محددة للتحسينات، ونافذة مراجعة لمدة 5 أيام للمدارس، وعملية إعادة مراجعة مسرعة. تؤثر المراجعة الرئيسية المطلوبة على 8% من المقدمات التي تحتاج إلى تغييرات كبيرة للموافقة، وتتطلب خطط تحسين مفصلة، ودورات مراجعة كاملة عند إعادة التقديم، وربما استشارة إضافية لأصحاب المصلحة.</w:t>
      </w:r>
    </w:p>
    <w:p>
      <w:pPr>
        <w:pStyle w:val="BodyText"/>
      </w:pPr>
      <w:r>
        <w:t xml:space="preserve">ينطبق الرفض على 2% من المقدمات حيث يفشل المحتوى في تلبية المعايير الدنيا، ولديه مشاكل أساسية مع جودة البرنامج أو الامتثال، ويتطلب إعادة تصميم شاملة، ويقدم خيارات لإعادة التقديم المستقبلية مع تحسينات كبيرة.</w:t>
      </w:r>
    </w:p>
    <w:p>
      <w:pPr>
        <w:pStyle w:val="Heading4"/>
      </w:pPr>
      <w:bookmarkStart w:id="47" w:name="الخطوة-4.2-عملية-المراجعة-وإعادة-التقديم"/>
      <w:r>
        <w:rPr>
          <w:b/>
        </w:rPr>
        <w:t xml:space="preserve">الخطوة 4.2: عملية المراجعة وإعادة التقديم</w:t>
      </w:r>
      <w:bookmarkEnd w:id="47"/>
    </w:p>
    <w:p>
      <w:pPr>
        <w:pStyle w:val="FirstParagraph"/>
      </w:pPr>
      <w:r>
        <w:t xml:space="preserve">تساعد أنظمة الدعم المنظمة المدارس في تحسين المحتوى من خلال التعليقات والإرشاد الذي يوفر تعليقات مكتوبة مفصلة مع مجالات تحسين محددة، وأمثلة أفضل الممارسات والقوالب، وجلسات استشارة فردية، والدعم التقني لتطوير المحتوى.</w:t>
      </w:r>
    </w:p>
    <w:p>
      <w:pPr>
        <w:pStyle w:val="BodyText"/>
      </w:pPr>
      <w:r>
        <w:t xml:space="preserve">تسمح الجداول الزمنية للمراجعة بـ 5 أيام عمل للمراجعات الطفيفة، و15 يوم عمل للمراجعات الرئيسية، وطلبات التمديد تُنظر على أساس كل حالة على حدة، والتعامل الأولوي للبرامج الحساسة للوقت. يتضمن دعم ضمان الجودة ورش تطوير المحتوى وجلسات التدريب، وفرص المراجعة من الأقران مع المدارس الناجحة، وخدمات الاستشارة الخبيرة، وموارد وأدوات تحسين الجودة.</w:t>
      </w:r>
    </w:p>
    <w:p>
      <w:pPr>
        <w:pStyle w:val="Heading3"/>
      </w:pPr>
      <w:bookmarkStart w:id="48" w:name="المرحلة-5-النشر-والإطلاق-الأيام-22-25"/>
      <w:r>
        <w:t xml:space="preserve">المرحلة 5: النشر والإطلاق (الأيام 22-25)</w:t>
      </w:r>
      <w:bookmarkEnd w:id="48"/>
    </w:p>
    <w:p>
      <w:pPr>
        <w:pStyle w:val="Heading4"/>
      </w:pPr>
      <w:bookmarkStart w:id="49" w:name="الخطوة-5.1-التحضير-لما-قبل-النشر"/>
      <w:r>
        <w:rPr>
          <w:b/>
        </w:rPr>
        <w:t xml:space="preserve">الخطوة 5.1: التحضير لما قبل النشر</w:t>
      </w:r>
      <w:bookmarkEnd w:id="49"/>
    </w:p>
    <w:p>
      <w:pPr>
        <w:pStyle w:val="FirstParagraph"/>
      </w:pPr>
      <w:r>
        <w:t xml:space="preserve">تحضر الفرق التقنية المحتوى المعتمد لتكامل المنصة من خلال تنسيق المحتوى والتحسين الذي يغطي التنسيق والتخطيط المحدد للمنصة، والاستجابة للهاتف المحمول والتوافق عبر الأجهزة، وتنفيذ تحسين محرك البحث، والتكامل مع أنظمة البحث والتصفية للمنصة.</w:t>
      </w:r>
    </w:p>
    <w:p>
      <w:pPr>
        <w:pStyle w:val="BodyText"/>
      </w:pPr>
      <w:r>
        <w:t xml:space="preserve">يشمل اختبار ضمان الجودة اختبار الوظائف الشامل عبر الأجهزة، والتحقق من تجربة المستخدم والتنقل، والتحقق من دقة المحتوى وصحة الروابط، وتحسين الأداء واختبار سرعة التحميل.</w:t>
      </w:r>
    </w:p>
    <w:p>
      <w:pPr>
        <w:pStyle w:val="Heading4"/>
      </w:pPr>
      <w:bookmarkStart w:id="50" w:name="الخطوة-5.2-عملية-الإصدار-المرحلي"/>
      <w:r>
        <w:rPr>
          <w:b/>
        </w:rPr>
        <w:t xml:space="preserve">الخطوة 5.2: عملية الإصدار المرحلي</w:t>
      </w:r>
      <w:bookmarkEnd w:id="50"/>
    </w:p>
    <w:p>
      <w:pPr>
        <w:pStyle w:val="FirstParagraph"/>
      </w:pPr>
      <w:r>
        <w:t xml:space="preserve">يضمن نهج النشر المرحلي الجودة ورضا أصحاب المصلحة من خلال المعاينة الداخلية في اليوم 22 حيث يراجع أصحاب المصلحة في هيئة المعرفة والتنمية البشرية المحتوى المنسق النهائي، وتتحقق الفرق التقنية من جميع الوظائف، وتأتي الموافقة النهائية من مكتب إدارة المحتوى، وتُجرى التصحيحات والتعديلات في اللحظة الأخيرة.</w:t>
      </w:r>
    </w:p>
    <w:p>
      <w:pPr>
        <w:pStyle w:val="BodyText"/>
      </w:pPr>
      <w:r>
        <w:t xml:space="preserve">يتضمن التحقق من المدرسة في اليوم 23 مراجعة المدارس المساهمة للمحتوى المنشور، والتحقق من الدقة وفحص الحقائق، والتحقق من معلومات الاتصال وعملية التقديم، والموافقة النهائية من ممثلي المدرسة. يتضمن اختبار الإطلاق التجريبي في اليوم 24 إصداراً محدوداً لمجموعات مختارة من الأولياء والطلاب، واختبار تجربة المستخدم وجمع التعليقات، ومراقبة الأداء وتحديد المشاكل، والتعديلات النهائية بناءً على تعليقات المستخدمين.</w:t>
      </w:r>
    </w:p>
    <w:p>
      <w:pPr>
        <w:pStyle w:val="BodyText"/>
      </w:pPr>
      <w:r>
        <w:t xml:space="preserve">يتميز النشر الكامل في اليوم 25 بالتكامل الكامل للمنصة والتوافر العام، وحملات الإعلان لأصحاب المصلحة والمجتمع، وترويج وسائل التواصل الاجتماعي ودعم التسويق، وتفعيل مراقبة الأداء والتحليلات.</w:t>
      </w:r>
    </w:p>
    <w:p>
      <w:pPr>
        <w:pStyle w:val="Heading3"/>
      </w:pPr>
      <w:bookmarkStart w:id="51" w:name="المرحلة-6-إدارة-ما-بعد-النشر-مستمرة"/>
      <w:r>
        <w:t xml:space="preserve">المرحلة 6: إدارة ما بعد النشر (مستمرة)</w:t>
      </w:r>
      <w:bookmarkEnd w:id="51"/>
    </w:p>
    <w:p>
      <w:pPr>
        <w:pStyle w:val="Heading4"/>
      </w:pPr>
      <w:bookmarkStart w:id="52" w:name="الخطوة-6.1-مراقبة-الأداء-والتحليلات"/>
      <w:r>
        <w:rPr>
          <w:b/>
        </w:rPr>
        <w:t xml:space="preserve">الخطوة 6.1: مراقبة الأداء والتحليلات</w:t>
      </w:r>
      <w:bookmarkEnd w:id="52"/>
    </w:p>
    <w:p>
      <w:pPr>
        <w:pStyle w:val="FirstParagraph"/>
      </w:pPr>
      <w:r>
        <w:t xml:space="preserve">تراقب أنظمة التتبع الشاملة فعالية المحتوى من خلال التحليلات الفورية التي تغطي مشاهدات الصفحة ومشاركة المستخدم ومدة الجلسة، والتوزيع الجغرافي والتحليل الديموغرافي، وأنماط استخدام الأجهزة ومقاييس إمكانية الوصول، ومعدلات التحويل وتقديمات التطبيقات.</w:t>
      </w:r>
    </w:p>
    <w:p>
      <w:pPr>
        <w:pStyle w:val="BodyText"/>
      </w:pPr>
      <w:r>
        <w:t xml:space="preserve">يتضمن تكامل تعليقات المستخدمين أنظمة التعليقات وآليات التقييم، وتعليقات الاستطلاع وقياسات الرضا، وتتبع الاستفسارات المباشرة وإدارة الاستجابة، ومراقبة وسائل التواصل الاجتماعي وتحليل المشاعر. يشمل تتبع مقاييس الجودة تقارير دقة المحتوى وتحديد الأخطاء، ونقاط رضا المستخدمين ومعدلات التوصية، وإحصائيات تسجيل البرامج والإكمال، وتتبع النتائج طويلة المدى وقياس النجاح.</w:t>
      </w:r>
    </w:p>
    <w:p>
      <w:pPr>
        <w:pStyle w:val="Heading4"/>
      </w:pPr>
      <w:bookmarkStart w:id="53" w:name="الخطوة-6.2-صيانة-المحتوى-والتحديثات"/>
      <w:r>
        <w:rPr>
          <w:b/>
        </w:rPr>
        <w:t xml:space="preserve">الخطوة 6.2: صيانة المحتوى والتحديثات</w:t>
      </w:r>
      <w:bookmarkEnd w:id="53"/>
    </w:p>
    <w:p>
      <w:pPr>
        <w:pStyle w:val="FirstParagraph"/>
      </w:pPr>
      <w:r>
        <w:t xml:space="preserve">تضمن الأساليب المنهجية بقاء المحتوى حالياً ودقيقاً من خلال دورات التحديث المنتظمة بما في ذلك مراجعات المحتوى الشاملة الفصلية، وعمليات تقييم البرامج والتجديد السنوية، والتعديلات الموسمية لفترات التسجيل، والتحديثات الطارئة للسياسة أو السلامة.</w:t>
      </w:r>
    </w:p>
    <w:p>
      <w:pPr>
        <w:pStyle w:val="BodyText"/>
      </w:pPr>
      <w:r>
        <w:t xml:space="preserve">تتميز إدارة دورة حياة المحتوى بالتنبيهات الآلية للمعلومات القديمة، وأنظمة التحكم في الإصدار وتتبع التغييرات، وإدارة الأرشيف للمحتوى التاريخي، وتخطيط الهجرة لتحديثات المنصة. يتضمن التواصل مع أصحاب المصلحة التحديثات المنتظمة للمدارس ومساهمي المحتوى، وتقارير الأداء وتوصيات التحسين، ومشاركة أفضل الممارسات وتسليط الضوء على قصص النجاح، والتدريب والدعم لإدارة المحتوى.</w:t>
      </w:r>
    </w:p>
    <w:p>
      <w:pPr>
        <w:pStyle w:val="Heading4"/>
      </w:pPr>
      <w:bookmarkStart w:id="54" w:name="الخطوة-6.3-عملية-التحسين-المستمر"/>
      <w:r>
        <w:rPr>
          <w:b/>
        </w:rPr>
        <w:t xml:space="preserve">الخطوة 6.3: عملية التحسين المستمر</w:t>
      </w:r>
      <w:bookmarkEnd w:id="54"/>
    </w:p>
    <w:p>
      <w:pPr>
        <w:pStyle w:val="FirstParagraph"/>
      </w:pPr>
      <w:r>
        <w:t xml:space="preserve">يضمن التحسين المدفوع بالبيانات التعزيز المستمر من خلال تحليل الأداء بما في ذلك المراجعات الشهرية للتحليلات وتحديد الاتجاهات، والتحليل المقارن مع البرامج المماثلة، وتحليل أنماط سلوك المستخدم والتحسين، وتحليل قمع التحويل والتحسين.</w:t>
      </w:r>
    </w:p>
    <w:p>
      <w:pPr>
        <w:pStyle w:val="BodyText"/>
      </w:pPr>
      <w:r>
        <w:t xml:space="preserve">يشمل تكامل تعليقات أصحاب المصلحة الاستطلاعات المنتظمة ومجموعات التركيز مع المستخدمين، وجلسات تعليقات المدارس واقتراحات التحسين، ولجان استشارية للأولياء والطلاب، واستشارة وتحقق خبراء الصناعة. يغطي تعزيز المنصة طلبات الميزات وتحسينات الوظائف، وتحسين واجهة المستخدم وتجربة المستخدم، وترقيات التكنولوجيا وتكامل الابتكار، وتحسينات إمكانية الوصول وتحديثات الامتثال.</w:t>
      </w:r>
    </w:p>
    <w:p>
      <w:r>
        <w:pict>
          <v:rect style="width:0;height:1.5pt" o:hralign="center" o:hrstd="t" o:hr="t"/>
        </w:pict>
      </w:r>
    </w:p>
    <w:p>
      <w:pPr>
        <w:pStyle w:val="Heading2"/>
      </w:pPr>
      <w:bookmarkStart w:id="55" w:name="هيكل-الحوكمة"/>
      <w:r>
        <w:t xml:space="preserve">هيكل الحوكمة</w:t>
      </w:r>
      <w:bookmarkEnd w:id="55"/>
    </w:p>
    <w:p>
      <w:pPr>
        <w:pStyle w:val="FirstParagraph"/>
      </w:pPr>
      <w:r>
        <w:t xml:space="preserve">يوضح المخطط التالي التسلسل الهرمي للحوكمة من أربعة مستويات لإدارة المحتوى:</w:t>
      </w:r>
    </w:p>
    <w:p>
      <w:pPr>
        <w:pStyle w:val="CaptionedFigure"/>
      </w:pPr>
      <w:r>
        <w:drawing>
          <wp:inline>
            <wp:extent cx="5334000" cy="6579053"/>
            <wp:effectExtent b="0" l="0" r="0" t="0"/>
            <wp:docPr descr="مخطط هيكل الحوكمة" title="" id="1" name="Picture"/>
            <a:graphic>
              <a:graphicData uri="http://schemas.openxmlformats.org/drawingml/2006/picture">
                <pic:pic>
                  <pic:nvPicPr>
                    <pic:cNvPr descr="governance-structure-revised.png" id="0" name="Picture"/>
                    <pic:cNvPicPr>
                      <a:picLocks noChangeArrowheads="1" noChangeAspect="1"/>
                    </pic:cNvPicPr>
                  </pic:nvPicPr>
                  <pic:blipFill>
                    <a:blip r:embed="rId56"/>
                    <a:stretch>
                      <a:fillRect/>
                    </a:stretch>
                  </pic:blipFill>
                  <pic:spPr bwMode="auto">
                    <a:xfrm>
                      <a:off x="0" y="0"/>
                      <a:ext cx="5334000" cy="6579053"/>
                    </a:xfrm>
                    <a:prstGeom prst="rect">
                      <a:avLst/>
                    </a:prstGeom>
                    <a:noFill/>
                    <a:ln w="9525">
                      <a:noFill/>
                      <a:headEnd/>
                      <a:tailEnd/>
                    </a:ln>
                  </pic:spPr>
                </pic:pic>
              </a:graphicData>
            </a:graphic>
          </wp:inline>
        </w:drawing>
      </w:r>
    </w:p>
    <w:p>
      <w:pPr>
        <w:pStyle w:val="ImageCaption"/>
      </w:pPr>
      <w:r>
        <w:t xml:space="preserve">مخطط هيكل الحوكمة</w:t>
      </w:r>
    </w:p>
    <w:p>
      <w:pPr>
        <w:pStyle w:val="Heading3"/>
      </w:pPr>
      <w:bookmarkStart w:id="57" w:name="المستوى-1-مجلس-الحوكمة-الاستراتيجي"/>
      <w:r>
        <w:t xml:space="preserve">المستوى 1: مجلس الحوكمة الاستراتيجي</w:t>
      </w:r>
      <w:bookmarkEnd w:id="57"/>
    </w:p>
    <w:p>
      <w:pPr>
        <w:pStyle w:val="Heading4"/>
      </w:pPr>
      <w:bookmarkStart w:id="58" w:name="لجنة-توجيه-المحتوى"/>
      <w:r>
        <w:rPr>
          <w:b/>
        </w:rPr>
        <w:t xml:space="preserve">لجنة توجيه المحتوى</w:t>
      </w:r>
      <w:bookmarkEnd w:id="58"/>
    </w:p>
    <w:p>
      <w:pPr>
        <w:pStyle w:val="FirstParagraph"/>
      </w:pPr>
      <w:r>
        <w:t xml:space="preserve">يتضمن الهيكل القيادي رئيساً هو وكيل هيئة المعرفة والتنمية البشرية، وأعضاء أساسيين يضمون مديري تطوير المناهج والتحول الرقمي وضمان الجودة والاتصالات، وجلسات استراتيجية شهرية ومراجعات شاملة فصلية، وسلطة اتخاذ القرار للموافقة النهائية على تغييرات السياسة الرئيسية والاتجاه الاستراتيجي وتخصيص الموارد.</w:t>
      </w:r>
    </w:p>
    <w:p>
      <w:pPr>
        <w:pStyle w:val="BodyText"/>
      </w:pPr>
      <w:r>
        <w:t xml:space="preserve">تشمل المسؤوليات الرئيسية وضع استراتيجية المحتوى المتوافقة مع أولويات التعليم الوطنية الإماراتية، وإقرار معايير الجودة ومعايير الأداء، وحل النزاعات المتصاعدة وتفسيرات السياسة المعقدة، وضمان التوافق مع أهداف التعليم 33 والتنمية الوطنية، والإشراف على تخصيص الميزانية وتوزيع الموارد، وإقرار الشراكات الرئيسية واتفاقيات التعاون.</w:t>
      </w:r>
    </w:p>
    <w:p>
      <w:pPr>
        <w:pStyle w:val="Heading4"/>
      </w:pPr>
      <w:bookmarkStart w:id="59" w:name="المجلس-الاستشاري"/>
      <w:r>
        <w:rPr>
          <w:b/>
        </w:rPr>
        <w:t xml:space="preserve">المجلس الاستشاري</w:t>
      </w:r>
      <w:bookmarkEnd w:id="59"/>
    </w:p>
    <w:p>
      <w:pPr>
        <w:pStyle w:val="FirstParagraph"/>
      </w:pPr>
      <w:r>
        <w:t xml:space="preserve">يتضمن التركيب والخبرة خبراء التعليم الذين هم أكاديميون مشهورون ومتخصصون في المناهج، وقادة الصناعة الذين يمثلون القطاعات الاقتصادية الإماراتية الرئيسية، وممثلي الأولياء المنتخبين من مجالس الأولياء، ومندوبي مجلس الطلاب الذين يوفرون تمثيل الشباب من المدارس الثانوية، وقادة المجتمع بما في ذلك السلطات الثقافية والدينية.</w:t>
      </w:r>
    </w:p>
    <w:p>
      <w:pPr>
        <w:pStyle w:val="BodyText"/>
      </w:pPr>
      <w:r>
        <w:t xml:space="preserve">تتضمن الوظائف الاستشارية تقديم الإرشاد الاستراتيجي حول اتجاه المحتوى والأولويات، وتقديم وجهات نظر أصحاب المصلحة حول احتياجات وتوقعات المستخدمين، والتحقق من الملاءمة الثقافية والصلة المجتمعية، والتوصية بالاتجاهات الناشئة ومتطلبات المهارات المستقبلية، ودعم المشاركة العامة ومبادرات التواصل المجتمعي.</w:t>
      </w:r>
    </w:p>
    <w:p>
      <w:pPr>
        <w:pStyle w:val="Heading3"/>
      </w:pPr>
      <w:bookmarkStart w:id="60" w:name="المستوى-2-طبقة-الإدارة-التشغيلية"/>
      <w:r>
        <w:t xml:space="preserve">المستوى 2: طبقة الإدارة التشغيلية</w:t>
      </w:r>
      <w:bookmarkEnd w:id="60"/>
    </w:p>
    <w:p>
      <w:pPr>
        <w:pStyle w:val="Heading4"/>
      </w:pPr>
      <w:bookmarkStart w:id="61" w:name="مكتب-إدارة-المحتوى-cmo"/>
      <w:r>
        <w:rPr>
          <w:b/>
        </w:rPr>
        <w:t xml:space="preserve">مكتب إدارة المحتوى (CMO)</w:t>
      </w:r>
      <w:bookmarkEnd w:id="61"/>
    </w:p>
    <w:p>
      <w:pPr>
        <w:pStyle w:val="FirstParagraph"/>
      </w:pPr>
      <w:r>
        <w:t xml:space="preserve">يتميز الهيكل التنظيمي بمدير هو مسؤول كبير في هيئة المعرفة والتنمية البشرية مع تقرير مباشر للجنة التوجيه، ونواب مديرين يرأسون التحرير والتقنية وضمان الجودة وعلاقات أصحاب المصلحة، وقادة فرق متخصصين في تطوير المحتوى وإدارة المنصة وتحليلات الأداء.</w:t>
      </w:r>
    </w:p>
    <w:p>
      <w:pPr>
        <w:pStyle w:val="BodyText"/>
      </w:pPr>
      <w:r>
        <w:t xml:space="preserve">تتضمن المسؤوليات التشغيلية الإشراف اليومي على عمليات المحتوى وإدارة سير العمل، وتخصيص الموارد وتنسيق الفريق عبر المجالات الوظيفية، ومراقبة الأداء والتقرير للقيادة الاستراتيجية، وإدارة علاقات أصحاب المصلحة وتنسيق التواصل، وإدارة الأزمات وبروتوكولات حل المشاكل، وإدارة الميزانية وتحسين الكفاءة التشغيلية.</w:t>
      </w:r>
    </w:p>
    <w:p>
      <w:pPr>
        <w:pStyle w:val="Heading4"/>
      </w:pPr>
      <w:bookmarkStart w:id="62" w:name="مجلس-المراجعة-التحريرية"/>
      <w:r>
        <w:rPr>
          <w:b/>
        </w:rPr>
        <w:t xml:space="preserve">مجلس المراجعة التحريرية</w:t>
      </w:r>
      <w:bookmarkEnd w:id="62"/>
    </w:p>
    <w:p>
      <w:pPr>
        <w:pStyle w:val="FirstParagraph"/>
      </w:pPr>
      <w:r>
        <w:t xml:space="preserve">يتضمن التركيب المهني محرراً رئيسياً هو متخصص كبير في المناهج مع درجة متقدمة وخبرة 10+ سنوات، ومحررين في مجالات الموضوع متخصصين في العلوم والتكنولوجيا والهندسة والرياضيات والفنون واللغات والتدريب المهني والتعليم الخاص، ومتخصصين في مراقبة الجودة يعملون كمراجعين لدقة المحتوى وضباط امتثال، ومستشارين ثقافيين خبراء في التراث الإماراتي والدراسات الإسلامية والتعليم متعدد الثقافات.</w:t>
      </w:r>
    </w:p>
    <w:p>
      <w:pPr>
        <w:pStyle w:val="BodyText"/>
      </w:pPr>
      <w:r>
        <w:t xml:space="preserve">تشمل الوظائف التحريرية تقييم جودة المحتوى وقرارات الموافقة، وتطوير وصيانة الإرشادات التحريرية، وتدريب المراجعين والتطوير المهني، وإنفاذ معايير المحتوى ومراقبة الامتثال، وتحديد أفضل الممارسات ونشرها، والتحسين المستمر لعمليات المراجعة.</w:t>
      </w:r>
    </w:p>
    <w:p>
      <w:pPr>
        <w:pStyle w:val="Heading3"/>
      </w:pPr>
      <w:bookmarkStart w:id="63" w:name="المستوى-3-مجموعات-العمل-الوظيفية"/>
      <w:r>
        <w:t xml:space="preserve">المستوى 3: مجموعات العمل الوظيفية</w:t>
      </w:r>
      <w:bookmarkEnd w:id="63"/>
    </w:p>
    <w:p>
      <w:pPr>
        <w:pStyle w:val="Heading4"/>
      </w:pPr>
      <w:bookmarkStart w:id="64" w:name="فريق-المحتوى-التقني"/>
      <w:r>
        <w:rPr>
          <w:b/>
        </w:rPr>
        <w:t xml:space="preserve">فريق المحتوى التقني</w:t>
      </w:r>
      <w:bookmarkEnd w:id="64"/>
    </w:p>
    <w:p>
      <w:pPr>
        <w:pStyle w:val="FirstParagraph"/>
      </w:pPr>
      <w:r>
        <w:t xml:space="preserve">تتضمن مجالات الخبرة التقنية مديري المنصة الذين يوفرون إدارة نظام إدارة المحتوى والإشراف على البنية التحتية التقنية، ومتخصصي تجربة المستخدم/واجهة المستخدم الذين يتعاملون مع تصميم تجربة المستخدم وتحسين الواجهة، ومحللي البيانات الذين يقومون بتحليل مقاييس الأداء وتوصيات التحسين، وضباط أمن تكنولوجيا المعلومات الذين يديرون أمان المحتوى والتحكم في الوصول وحماية البيانات، ومتخصصي تطوير الهاتف المحمول الذين يضمنون التوافق عبر المنصات وتحسين الهاتف المحمول.</w:t>
      </w:r>
    </w:p>
    <w:p>
      <w:pPr>
        <w:pStyle w:val="BodyText"/>
      </w:pPr>
      <w:r>
        <w:t xml:space="preserve">تغطي المسؤوليات التقنية صيانة المنصة وإدارة البنية التحتية التقنية، وتحسين تجربة المستخدم وتحسينات الواجهة، وأنظمة تحليل البيانات وقياس الأداء، وبروتوكولات الأمان وإدارة التحكم في الوصول، والتكامل مع الأنظمة الخارجية وخدمات الطرف الثالث، والدعم التقني لمساهمي المحتوى والمستخدمين.</w:t>
      </w:r>
    </w:p>
    <w:p>
      <w:pPr>
        <w:pStyle w:val="Heading4"/>
      </w:pPr>
      <w:bookmarkStart w:id="65" w:name="مجموعة-المعايير-التعليمية"/>
      <w:r>
        <w:rPr>
          <w:b/>
        </w:rPr>
        <w:t xml:space="preserve">مجموعة المعايير التعليمية</w:t>
      </w:r>
      <w:bookmarkEnd w:id="65"/>
    </w:p>
    <w:p>
      <w:pPr>
        <w:pStyle w:val="FirstParagraph"/>
      </w:pPr>
      <w:r>
        <w:t xml:space="preserve">تتضمن التخصصات الأكاديمية ضباط توافق المناهج الذين يضمنون امتثال وتكامل المنهج الوطني الإماراتي، ومتخصصي التقييم الذين يتعاملون مع التحقق من نتائج التعلم وطرق التقييم، وضباط الإدماج الذين يديرون إقامة الاحتياجات الخاصة وامتثال إمكانية الوصول، ومستشاري التكامل الثقافي الذين يشرفون على تكامل القيم الإماراتية والحساسية الثقافية، ومنسقي المعايير الدولية الذين يديرون تكامل أفضل الممارسات العالمية والمقارنة المرجعية.</w:t>
      </w:r>
    </w:p>
    <w:p>
      <w:pPr>
        <w:pStyle w:val="BodyText"/>
      </w:pPr>
      <w:r>
        <w:t xml:space="preserve">تشمل الوظائف التعليمية تطوير وصيانة معايير المناهج، وتقييم والتحقق من نتائج التعلم، ومراقبة امتثال إمكانية الوصول والإدماج، ومراجعة وإرشاد الملاءمة الثقافية، وبحث وتكامل أفضل الممارسات الدولية، والتطوير المهني للمراجعين التعليميين.</w:t>
      </w:r>
    </w:p>
    <w:p>
      <w:pPr>
        <w:pStyle w:val="Heading4"/>
      </w:pPr>
      <w:bookmarkStart w:id="66" w:name="شبكة-الاتصال-مع-أصحاب-المصلحة"/>
      <w:r>
        <w:rPr>
          <w:b/>
        </w:rPr>
        <w:t xml:space="preserve">شبكة الاتصال مع أصحاب المصلحة</w:t>
      </w:r>
      <w:bookmarkEnd w:id="66"/>
    </w:p>
    <w:p>
      <w:pPr>
        <w:pStyle w:val="FirstParagraph"/>
      </w:pPr>
      <w:r>
        <w:t xml:space="preserve">تتضمن مجالات إدارة العلاقات منسقي علاقات المدارس الذين يعملون كواجهات أساسية مع المؤسسات التعليمية، ومديري مجتمع الأولياء الذين يتعاملون مع مشاركة العائلة وأنظمة جمع التعليقات، وممثلي الطلاب الذين يدمجون وجهات نظر الشباب ويقومون باختبار قابلية الاستخدام، ومنسقي شراكة الصناعة الذين يديرون مدخلات أصحاب العمل والتحقق من صلة المهنة، ومتخصصي التواصل المجتمعي الذين يقومون بحملات المشاركة العامة والتوعية.</w:t>
      </w:r>
    </w:p>
    <w:p>
      <w:pPr>
        <w:pStyle w:val="BodyText"/>
      </w:pPr>
      <w:r>
        <w:t xml:space="preserve">تغطي مسؤوليات الاتصال التواصل مع أصحاب المصلحة وإدارة العلاقات، وجمع وتحليل التعليقات من جميع مجموعات المستخدمين، ومبادرات المشاركة المجتمعية والتوعية العامة، وتطوير وصيانة الشراكات، وحل النزاعات والوساطة في المشاكل، وخدمات التدريب والدعم لأصحاب المصلحة.</w:t>
      </w:r>
    </w:p>
    <w:p>
      <w:pPr>
        <w:pStyle w:val="Heading3"/>
      </w:pPr>
      <w:bookmarkStart w:id="67" w:name="المستوى-4-مساهمو-المحتوى-والمدققون"/>
      <w:r>
        <w:t xml:space="preserve">المستوى 4: مساهمو المحتوى والمدققون</w:t>
      </w:r>
      <w:bookmarkEnd w:id="67"/>
    </w:p>
    <w:p>
      <w:pPr>
        <w:pStyle w:val="Heading4"/>
      </w:pPr>
      <w:bookmarkStart w:id="68" w:name="منشئو-المحتوى-المؤسسي"/>
      <w:r>
        <w:rPr>
          <w:b/>
        </w:rPr>
        <w:t xml:space="preserve">منشئو المحتوى المؤسسي</w:t>
      </w:r>
      <w:bookmarkEnd w:id="68"/>
    </w:p>
    <w:p>
      <w:pPr>
        <w:pStyle w:val="FirstParagraph"/>
      </w:pPr>
      <w:r>
        <w:t xml:space="preserve">يتضمن المساهمون على مستوى المدرسة منسقي البرامج الذين يديرون إنشاء وتقديم المحتوى المباشر، ورؤساء الأقسام الذين يوفرون إشراف المحتوى المحدد للموضوع وضمان الجودة، وأعضاء هيئة التدريس الذين يوثقون تفاصيل المنهج والأساليب التربوية، وضباط شؤون الطلاب الذين يطورون محتوى البرامج اللامنهجية والدعم، والموظفين الإداريين الذين يتعاملون مع المعلومات اللوجستية وتوثيق إجراءات التسجيل.</w:t>
      </w:r>
    </w:p>
    <w:p>
      <w:pPr>
        <w:pStyle w:val="BodyText"/>
      </w:pPr>
      <w:r>
        <w:t xml:space="preserve">تشمل مسؤوليات إنشاء المحتوى تطوير معلومات البرنامج الشاملة، وإنشاء الأصول البصرية وإنتاج المحتوى متعدد الوسائط، وجمع شهادات الطلاب وقصص النجاح، والتحديثات المنتظمة للمحتوى والصيانة، وضمان الجودة على المستوى المؤسسي، وتنسيق أصحاب المصلحة داخل المدارس.</w:t>
      </w:r>
    </w:p>
    <w:p>
      <w:pPr>
        <w:pStyle w:val="Heading4"/>
      </w:pPr>
      <w:bookmarkStart w:id="69" w:name="المدققون-الخارجيون"/>
      <w:r>
        <w:rPr>
          <w:b/>
        </w:rPr>
        <w:t xml:space="preserve">المدققون الخارجيون</w:t>
      </w:r>
      <w:bookmarkEnd w:id="69"/>
    </w:p>
    <w:p>
      <w:pPr>
        <w:pStyle w:val="FirstParagraph"/>
      </w:pPr>
      <w:r>
        <w:t xml:space="preserve">تتضمن شبكة التحقق المهنية مستشارين تعليميين مستقلين يوفرون تقييم وتحقق الجودة من طرف ثالث، وخبراء موضوع الصناعة الذين يتعاملون مع التحقق من الصلة بالعالم الحقيقي وإعداد المهنة، ومجموعات تركيز الأولياء التي تقوم بتقييم تجربة المستخدم وتحديد الاحتياجات، وشبكات الخريجين التي تدير التحقق من النتائج طويلة المدى والتحقق من قصص النجاح، والجمعيات المهنية التي تضمن امتثال معايير الصناعة والتحقق من الشهادات.</w:t>
      </w:r>
    </w:p>
    <w:p>
      <w:pPr>
        <w:pStyle w:val="BodyText"/>
      </w:pPr>
      <w:r>
        <w:t xml:space="preserve">تشمل وظائف التحقق التقييم والتحقق المستقل من الجودة، والتحقق من الصلة بالصناعة وإعداد المهنة، واختبار تجربة المستخدم وتقديم التعليقات، وتتبع النتائج طويلة المدى وقياس النجاح، والتحقق من امتثال المعايير المهنية، وتوصيات التحسين المستمر.</w:t>
      </w:r>
    </w:p>
    <w:p>
      <w:r>
        <w:pict>
          <v:rect style="width:0;height:1.5pt" o:hralign="center" o:hrstd="t" o:hr="t"/>
        </w:pict>
      </w:r>
    </w:p>
    <w:p>
      <w:pPr>
        <w:pStyle w:val="Heading2"/>
      </w:pPr>
      <w:bookmarkStart w:id="70" w:name="علاقات-أصحاب-المصلحة"/>
      <w:r>
        <w:t xml:space="preserve">علاقات أصحاب المصلحة</w:t>
      </w:r>
      <w:bookmarkEnd w:id="70"/>
    </w:p>
    <w:p>
      <w:pPr>
        <w:pStyle w:val="Heading3"/>
      </w:pPr>
      <w:bookmarkStart w:id="71" w:name="شبكة-أصحاب-المصلحة-الداخليين"/>
      <w:r>
        <w:t xml:space="preserve">شبكة أصحاب المصلحة الداخليين</w:t>
      </w:r>
      <w:bookmarkEnd w:id="71"/>
    </w:p>
    <w:p>
      <w:pPr>
        <w:pStyle w:val="Heading4"/>
      </w:pPr>
      <w:bookmarkStart w:id="72" w:name="فرق-هيئة-المعرفة-والتنمية-البشرية"/>
      <w:r>
        <w:rPr>
          <w:b/>
        </w:rPr>
        <w:t xml:space="preserve">فرق هيئة المعرفة والتنمية البشرية</w:t>
      </w:r>
      <w:bookmarkEnd w:id="72"/>
    </w:p>
    <w:p>
      <w:pPr>
        <w:pStyle w:val="FirstParagraph"/>
      </w:pPr>
      <w:r>
        <w:t xml:space="preserve">تتعامل إدارة التحول الرقمي مع استراتيجية المنصة والإشراف على البنية التحتية التكنولوجية، والتكامل مع مبادرات الحكومة الرقمية الأخرى، وتقييم الابتكار والتكنولوجيا الناشئة، وامتثال إمكانية الوصول الرقمي والإدماج.</w:t>
      </w:r>
    </w:p>
    <w:p>
      <w:pPr>
        <w:pStyle w:val="BodyText"/>
      </w:pPr>
      <w:r>
        <w:t xml:space="preserve">تدير إدارة تطوير المناهج توافق وتحقق المعايير التعليمية، وتقييم وقياس نتائج التعلم، وتكامل الابتكار في المناهج وأفضل الممارسات، ودعم تدريب المعلمين والتطوير المهني.</w:t>
      </w:r>
    </w:p>
    <w:p>
      <w:pPr>
        <w:pStyle w:val="BodyText"/>
      </w:pPr>
      <w:r>
        <w:t xml:space="preserve">تشرف إدارة ضمان الجودة على تطوير وإنفاذ معايير جودة المحتوى، وأنظمة قياس وتقييم الأداء، وإدارة عمليات التحسين المستمر، ومراقبة الامتثال ووظائف التدقيق.</w:t>
      </w:r>
    </w:p>
    <w:p>
      <w:pPr>
        <w:pStyle w:val="BodyText"/>
      </w:pPr>
      <w:r>
        <w:t xml:space="preserve">تدير الاتصالات والعلاقات العامة حملات المشاركة العامة والتوعية، وإدارة العلاقات الإعلامية والتواصل في الأزمات، والتواصل مع أصحاب المصلحة وجمع التعليقات، وإدارة العلامة التجارية وحماية السمعة.</w:t>
      </w:r>
    </w:p>
    <w:p>
      <w:pPr>
        <w:pStyle w:val="Heading4"/>
      </w:pPr>
      <w:bookmarkStart w:id="73" w:name="التعاون-عبر-الحكومي"/>
      <w:r>
        <w:rPr>
          <w:b/>
        </w:rPr>
        <w:t xml:space="preserve">التعاون عبر الحكومي</w:t>
      </w:r>
      <w:bookmarkEnd w:id="73"/>
    </w:p>
    <w:p>
      <w:pPr>
        <w:pStyle w:val="FirstParagraph"/>
      </w:pPr>
      <w:r>
        <w:t xml:space="preserve">يتضمن التعاون مع مبادرة دبي الذكية التكامل الحكومي الرقمي وقابلية التشغيل البيني، وتكامل وابتكار تكنولوجيا المدينة الذكية، والتعاون في مشاركة البيانات والتحليلات، وتوحيد تجربة المستخدم عبر الخدمات الحكومية.</w:t>
      </w:r>
    </w:p>
    <w:p>
      <w:pPr>
        <w:pStyle w:val="BodyText"/>
      </w:pPr>
      <w:r>
        <w:t xml:space="preserve">تشمل الشراكة مع البرنامج الوطني الإماراتي للمبرمجين تطوير وتكامل مهارات التكنولوجيا، وترويج محو الأمية الرقمية والتفكير الحاسوبي، وتطوير شراكة الصناعة ومسار المهنة، وتوافق برامج الابتكار وريادة الأعمال.</w:t>
      </w:r>
    </w:p>
    <w:p>
      <w:pPr>
        <w:pStyle w:val="BodyText"/>
      </w:pPr>
      <w:r>
        <w:t xml:space="preserve">يغطي التعاون مع صندوق محمد بن راشد للابتكار تمويل ودعم مشاريع الابتكار، وتعليم ريادة الأعمال وحضانة الشركات الناشئة، ودعم نقل التكنولوجيا والتسويق، والتعاون في البحث والتطوير.</w:t>
      </w:r>
    </w:p>
    <w:p>
      <w:pPr>
        <w:pStyle w:val="Heading3"/>
      </w:pPr>
      <w:bookmarkStart w:id="74" w:name="نظام-أصحاب-المصلحة-الخارجيين"/>
      <w:r>
        <w:t xml:space="preserve">نظام أصحاب المصلحة الخارجيين</w:t>
      </w:r>
      <w:bookmarkEnd w:id="74"/>
    </w:p>
    <w:p>
      <w:pPr>
        <w:pStyle w:val="Heading4"/>
      </w:pPr>
      <w:bookmarkStart w:id="75" w:name="شركاء-المؤسسات-التعليمية"/>
      <w:r>
        <w:rPr>
          <w:b/>
        </w:rPr>
        <w:t xml:space="preserve">شركاء المؤسسات التعليمية</w:t>
      </w:r>
      <w:bookmarkEnd w:id="75"/>
    </w:p>
    <w:p>
      <w:pPr>
        <w:pStyle w:val="FirstParagraph"/>
      </w:pPr>
      <w:r>
        <w:t xml:space="preserve">يتضمن التعاون مع شبكة المدارس الحكومية المساهمة في المحتوى وضمان الجودة، ومشاركة أفضل الممارسات والتعاون، والمشاركة في التطوير المهني والتدريب، ومشاركة بيانات الأداء والتحليل.</w:t>
      </w:r>
    </w:p>
    <w:p>
      <w:pPr>
        <w:pStyle w:val="BodyText"/>
      </w:pPr>
      <w:r>
        <w:t xml:space="preserve">تشمل الشراكة مع جمعية المدارس الخاصة تطوير معايير الصناعة والامتثال، ودعم ضمان الجودة والاعتماد، وبرامج الاعتراف بالابتكار والتميز، ومبادرات مشاركة الأولياء والمجتمع.</w:t>
      </w:r>
    </w:p>
    <w:p>
      <w:pPr>
        <w:pStyle w:val="BodyText"/>
      </w:pPr>
      <w:r>
        <w:t xml:space="preserve">يغطي التعاون مع مؤسسات التعليم العالي تطوير المسارات واتفاقيات التوضيح، والتعاون البحثي ومشاركة المعرفة، وتبادل أعضاء هيئة التدريس والتطوير المهني، وبرامج انتقال وإعداد الطلاب.</w:t>
      </w:r>
    </w:p>
    <w:p>
      <w:pPr>
        <w:pStyle w:val="Heading4"/>
      </w:pPr>
      <w:bookmarkStart w:id="76" w:name="شركاء-الصناعة-والمهنيين"/>
      <w:r>
        <w:rPr>
          <w:b/>
        </w:rPr>
        <w:t xml:space="preserve">شركاء الصناعة والمهنيين</w:t>
      </w:r>
      <w:bookmarkEnd w:id="76"/>
    </w:p>
    <w:p>
      <w:pPr>
        <w:pStyle w:val="FirstParagraph"/>
      </w:pPr>
      <w:r>
        <w:t xml:space="preserve">تتضمن الشراكة مع غرف التجارة الإماراتية تقييم احتياجات الصناعة وتحليل فجوة المهارات، وتطوير وتحقق مسار المهنة، وتسهيل مشاركة وشراكة أصحاب العمل، ودعم التنمية الاقتصادية وتخطيط القوى العاملة.</w:t>
      </w:r>
    </w:p>
    <w:p>
      <w:pPr>
        <w:pStyle w:val="BodyText"/>
      </w:pPr>
      <w:r>
        <w:t xml:space="preserve">يشمل التعاون مع الجمعيات المهنية معايير الصناعة ومتطلبات الشهادات، والتطوير المهني والتعليم المستمر، وبرامج الإرشاد والتوجيه المهني، وتحليل اتجاهات الصناعة وتحديد المهارات المستقبلية.</w:t>
      </w:r>
    </w:p>
    <w:p>
      <w:pPr>
        <w:pStyle w:val="BodyText"/>
      </w:pPr>
      <w:r>
        <w:t xml:space="preserve">تغطي الشراكة مع الشركات متعددة الجنسيات فرص التدريب وتجربة العمل، وخبرة الصناعة والتطبيق في العالم الحقيقي، وتكامل التكنولوجيا والابتكار، ومشاركة أفضل الممارسات العالمية والمقارنة المرجعية.</w:t>
      </w:r>
    </w:p>
    <w:p>
      <w:pPr>
        <w:pStyle w:val="Heading4"/>
      </w:pPr>
      <w:bookmarkStart w:id="77" w:name="شبكات-المجتمع-والعائلة"/>
      <w:r>
        <w:rPr>
          <w:b/>
        </w:rPr>
        <w:t xml:space="preserve">شبكات المجتمع والعائلة</w:t>
      </w:r>
      <w:bookmarkEnd w:id="77"/>
    </w:p>
    <w:p>
      <w:pPr>
        <w:pStyle w:val="FirstParagraph"/>
      </w:pPr>
      <w:r>
        <w:t xml:space="preserve">تتضمن مشاركة مجالس الأولياء والجمعيات تقييم احتياجات المستخدمين وجمع التعليقات، وبناء المشاركة المجتمعية والتوعية، ومراقبة ضمان الجودة والرضا، والدعوة والدعم للمبادرات التعليمية.</w:t>
      </w:r>
    </w:p>
    <w:p>
      <w:pPr>
        <w:pStyle w:val="BodyText"/>
      </w:pPr>
      <w:r>
        <w:t xml:space="preserve">تشمل مشاركة منظمات القيادة الطلابية وجهة نظر الشباب ومدخلات تجربة المستخدم، وبرامج الدعم والإرشاد من الأقران، وتطوير مشاريع الابتكار والإبداع، وتطوير القيادة والمشاركة المدنية.</w:t>
      </w:r>
    </w:p>
    <w:p>
      <w:pPr>
        <w:pStyle w:val="BodyText"/>
      </w:pPr>
      <w:r>
        <w:t xml:space="preserve">يغطي التعاون مع المنظمات الثقافية والدينية مراجعة الملاءمة والحساسية الثقافية، وتكامل واحترام قيم المجتمع، والحفاظ على التراث والاحتفال به، وترويج الحوار والتفاهم بين الأديان.</w:t>
      </w:r>
    </w:p>
    <w:p>
      <w:r>
        <w:pict>
          <v:rect style="width:0;height:1.5pt" o:hralign="center" o:hrstd="t" o:hr="t"/>
        </w:pict>
      </w:r>
    </w:p>
    <w:p>
      <w:pPr>
        <w:pStyle w:val="Heading2"/>
      </w:pPr>
      <w:bookmarkStart w:id="78" w:name="إطار-ضمان-الجودة"/>
      <w:r>
        <w:t xml:space="preserve">إطار ضمان الجودة</w:t>
      </w:r>
      <w:bookmarkEnd w:id="78"/>
    </w:p>
    <w:p>
      <w:pPr>
        <w:pStyle w:val="Heading3"/>
      </w:pPr>
      <w:bookmarkStart w:id="79" w:name="معايير-ومعايير-المحتوى"/>
      <w:r>
        <w:t xml:space="preserve">معايير ومعايير المحتوى</w:t>
      </w:r>
      <w:bookmarkEnd w:id="79"/>
    </w:p>
    <w:p>
      <w:pPr>
        <w:pStyle w:val="Heading4"/>
      </w:pPr>
      <w:bookmarkStart w:id="80" w:name="معايير-الجودة-التعليمية"/>
      <w:r>
        <w:rPr>
          <w:b/>
        </w:rPr>
        <w:t xml:space="preserve">معايير الجودة التعليمية</w:t>
      </w:r>
      <w:bookmarkEnd w:id="80"/>
    </w:p>
    <w:p>
      <w:pPr>
        <w:pStyle w:val="FirstParagraph"/>
      </w:pPr>
      <w:r>
        <w:t xml:space="preserve">تتضمن متطلبات توافق المناهج التوافق الكامل مع معايير المنهج الوطني الإماراتي، والمحتوى المناسب للعمر والتقدم في التعلم، وأهداف التعلم الواضحة والنتائج القابلة للقياس، وفرص التكامل مع مجالات الموضوع الأخرى، وتحديد طرق التقييم ومعايير التقييم.</w:t>
      </w:r>
    </w:p>
    <w:p>
      <w:pPr>
        <w:pStyle w:val="BodyText"/>
      </w:pPr>
      <w:r>
        <w:t xml:space="preserve">تشمل معايير التميز التربوي منهجيات وأساليب التدريس القائمة على الأدلة، واستراتيجيات التعلم المتمركزة حول الطالب والمشاركة، والتعليم المتمايز لاحتياجات التعلم المتنوعة، وتكامل التكنولوجيا وتطوير محو الأمية الرقمية، وتطوير مهارات التفكير النقدي وحل المشكلات.</w:t>
      </w:r>
    </w:p>
    <w:p>
      <w:pPr>
        <w:pStyle w:val="BodyText"/>
      </w:pPr>
      <w:r>
        <w:t xml:space="preserve">تغطي متطلبات الصرامة الأكاديمية والعمق مستويات التحدي المناسبة للفئات العمرية المستهدفة، والتغطية الشاملة للمحتوى وتطوير المهارات، والتطبيق في العالم الحقيقي والصلة العملية، وتشجيع الابتكار والإبداع، وتكامل المنظور العالمي والوعي الثقافي.</w:t>
      </w:r>
    </w:p>
    <w:p>
      <w:pPr>
        <w:pStyle w:val="Heading4"/>
      </w:pPr>
      <w:bookmarkStart w:id="81" w:name="معايير-الجودة-التقنية"/>
      <w:r>
        <w:rPr>
          <w:b/>
        </w:rPr>
        <w:t xml:space="preserve">معايير الجودة التقنية</w:t>
      </w:r>
      <w:bookmarkEnd w:id="81"/>
    </w:p>
    <w:p>
      <w:pPr>
        <w:pStyle w:val="FirstParagraph"/>
      </w:pPr>
      <w:r>
        <w:t xml:space="preserve">تتضمن متطلبات عرض المحتوى جودة الكتابة المهنية والوضوح، واستخدام القواعد النحوية والإملاء واللغة الدقيقة، والتنسيق المتسق والعرض البصري، والتصميم القابل للوصول للمستخدمين ذوي الإعاقة، والاستجابة للهاتف المحمول والتوافق عبر المنصات.</w:t>
      </w:r>
    </w:p>
    <w:p>
      <w:pPr>
        <w:pStyle w:val="BodyText"/>
      </w:pPr>
      <w:r>
        <w:t xml:space="preserve">تشمل معايير الأصول البصرية الصور عالية الدقة والتصوير الفوتوغرافي المهني، وقيم الإنتاج المناسبة لجودة الفيديو، والعلامة التجارية المتسقة والهوية البصرية، والحساسية الثقافية في التمثيل البصري، وامتثال حقوق الطبع والنشر والإسناد المناسب.</w:t>
      </w:r>
    </w:p>
    <w:p>
      <w:pPr>
        <w:pStyle w:val="BodyText"/>
      </w:pPr>
      <w:r>
        <w:t xml:space="preserve">تتضمن معايير تجربة المستخدم التنقل البديهي وهندسة المعلومات، وأوقات التحميل السريعة والأداء الأمثل، ووظائف البحث وإمكانية اكتشاف المحتوى، والعناصر التفاعلية وميزات المشاركة، وآليات التعليقات وأنظمة دعم المستخدم.</w:t>
      </w:r>
    </w:p>
    <w:p>
      <w:pPr>
        <w:pStyle w:val="Heading3"/>
      </w:pPr>
      <w:bookmarkStart w:id="82" w:name="عمليات-ضمان-الجودة"/>
      <w:r>
        <w:t xml:space="preserve">عمليات ضمان الجودة</w:t>
      </w:r>
      <w:bookmarkEnd w:id="82"/>
    </w:p>
    <w:p>
      <w:pPr>
        <w:pStyle w:val="Heading4"/>
      </w:pPr>
      <w:bookmarkStart w:id="83" w:name="نظام-المراجعة-متعدد-المراحل"/>
      <w:r>
        <w:rPr>
          <w:b/>
        </w:rPr>
        <w:t xml:space="preserve">نظام المراجعة متعدد المراحل</w:t>
      </w:r>
      <w:bookmarkEnd w:id="83"/>
    </w:p>
    <w:p>
      <w:pPr>
        <w:pStyle w:val="FirstParagraph"/>
      </w:pPr>
      <w:r>
        <w:t xml:space="preserve">تتضمن فحوصات الجودة الآلية للمرحلة 1 التحقق التقني وامتثال التنسيق، واكتشاف الانتحال والتحقق من الأصالة، وتقييم جودة المحتوى الأساسي، ومسح امتثال إمكانية الوصول، والتحقق من بروتوكولات الأمان والسلامة.</w:t>
      </w:r>
    </w:p>
    <w:p>
      <w:pPr>
        <w:pStyle w:val="BodyText"/>
      </w:pPr>
      <w:r>
        <w:t xml:space="preserve">تشمل مراجعة المحتوى الخبير للمرحلة 2 تقييم وتحقق خبير الموضوع، وتقييم توافق المعايير التعليمية، ومراجعة وتعليقات الأسلوب التربوي، وفحص الحساسية والملاءمة الثقافية، والتحقق من الصلة بالصناعة وإعداد المهنة.</w:t>
      </w:r>
    </w:p>
    <w:p>
      <w:pPr>
        <w:pStyle w:val="BodyText"/>
      </w:pPr>
      <w:r>
        <w:t xml:space="preserve">يتضمن التحقق من أصحاب المصلحة للمرحلة 3 تعليقات مجموعة التركيز للأولياء والطلاب، ومراجعة وتأييد شريك الصناعة، وتأكيد الملاءمة الثقافية لقائد المجتمع، والتحقق من نتائج الخريجين والخريجين، ومقارنة أفضل الممارسات للمؤسسات النظيرة.</w:t>
      </w:r>
    </w:p>
    <w:p>
      <w:pPr>
        <w:pStyle w:val="Heading4"/>
      </w:pPr>
      <w:bookmarkStart w:id="84" w:name="مراقبة-الجودة-المستمرة"/>
      <w:r>
        <w:rPr>
          <w:b/>
        </w:rPr>
        <w:t xml:space="preserve">مراقبة الجودة المستمرة</w:t>
      </w:r>
      <w:bookmarkEnd w:id="84"/>
    </w:p>
    <w:p>
      <w:pPr>
        <w:pStyle w:val="FirstParagraph"/>
      </w:pPr>
      <w:r>
        <w:t xml:space="preserve">يشمل تتبع مقاييس الأداء قياس مشاركة ورضا المستخدم، ومراقبة دقة المحتوى ومعدل الخطأ، وتتبع تحويل التطبيق والتسجيل، وتقييم نتائج الطلاب طويلة المدى، وتحليل وتكامل تعليقات أصحاب المصلحة.</w:t>
      </w:r>
    </w:p>
    <w:p>
      <w:pPr>
        <w:pStyle w:val="BodyText"/>
      </w:pPr>
      <w:r>
        <w:t xml:space="preserve">يتضمن التدقيق والتقييم المنتظم عمليات تدقيق جودة المحتوى الفصلية، وتقييم البرنامج الشامل السنوي، ودراسات المراجعة من الأقران والمقارنة المرجعية، وعمليات التحقق الخارجي والاعتماد، وتخطيط وتنفيذ التحسين المستمر.</w:t>
      </w:r>
    </w:p>
    <w:p>
      <w:pPr>
        <w:pStyle w:val="Heading3"/>
      </w:pPr>
      <w:bookmarkStart w:id="85" w:name="آليات-تحسين-الجودة"/>
      <w:r>
        <w:t xml:space="preserve">آليات تحسين الجودة</w:t>
      </w:r>
      <w:bookmarkEnd w:id="85"/>
    </w:p>
    <w:p>
      <w:pPr>
        <w:pStyle w:val="Heading4"/>
      </w:pPr>
      <w:bookmarkStart w:id="86" w:name="أنظمة-تكامل-التعليقات"/>
      <w:r>
        <w:rPr>
          <w:b/>
        </w:rPr>
        <w:t xml:space="preserve">أنظمة تكامل التعليقات</w:t>
      </w:r>
      <w:bookmarkEnd w:id="86"/>
    </w:p>
    <w:p>
      <w:pPr>
        <w:pStyle w:val="FirstParagraph"/>
      </w:pPr>
      <w:r>
        <w:t xml:space="preserve">يتضمن جمع تعليقات المستخدمين أنظمة التقييم والمراجعة المتكاملة، وحملات الاستطلاع والتعليقات المنتظمة، وجلسات مجموعة التركيز واجتماعات الاستشارة، ومراقبة وسائل التواصل الاجتماعي وتحليل المشاعر، وقنوات التواصل المباشر وأنظمة الدعم.</w:t>
      </w:r>
    </w:p>
    <w:p>
      <w:pPr>
        <w:pStyle w:val="BodyText"/>
      </w:pPr>
      <w:r>
        <w:t xml:space="preserve">تشمل معالجة مدخلات أصحاب المصلحة تصنيف وتحليل التعليقات المنهجي، وترتيب الأولويات وتخطيط التحسين، والجدول الزمني للتنفيذ وتخصيص الموارد، وتتبع التقدم وقياس النتائج، والتواصل مع أصحاب المصلحة وتقديم التحديثات.</w:t>
      </w:r>
    </w:p>
    <w:p>
      <w:pPr>
        <w:pStyle w:val="Heading4"/>
      </w:pPr>
      <w:bookmarkStart w:id="87" w:name="تطوير-أفضل-الممارسات"/>
      <w:r>
        <w:rPr>
          <w:b/>
        </w:rPr>
        <w:t xml:space="preserve">تطوير أفضل الممارسات</w:t>
      </w:r>
      <w:bookmarkEnd w:id="87"/>
    </w:p>
    <w:p>
      <w:pPr>
        <w:pStyle w:val="FirstParagraph"/>
      </w:pPr>
      <w:r>
        <w:t xml:space="preserve">يتضمن توثيق قصص النجاح تحديد وتحليل البرامج عالية الأداء، واستخراج وتوثيق أفضل الممارسات، وتطوير القوالب والإرشادات، وإنشاء ونشر مواد التدريب، وتسهيل التعلم من الأقران ومشاركة المعرفة.</w:t>
      </w:r>
    </w:p>
    <w:p>
      <w:pPr>
        <w:pStyle w:val="BodyText"/>
      </w:pPr>
      <w:r>
        <w:t xml:space="preserve">يشمل الاعتراف بالابتكار والتميز الاعتراف بالبرامج المتميزة والجوائز، وأحداث عرض الابتكار والاحتفال، ومؤتمرات وورش عمل مشاركة أفضل الممارسات، وفرص التطوير المهني والتدريب، وترويج ثقافة التعلم المستمر والتحسين.</w:t>
      </w:r>
    </w:p>
    <w:p>
      <w:r>
        <w:pict>
          <v:rect style="width:0;height:1.5pt" o:hralign="center" o:hrstd="t" o:hr="t"/>
        </w:pict>
      </w:r>
    </w:p>
    <w:p>
      <w:pPr>
        <w:pStyle w:val="Heading2"/>
      </w:pPr>
      <w:bookmarkStart w:id="88" w:name="مقاييس-الأداء-ومؤشرات-الأداء-الرئيسية"/>
      <w:r>
        <w:t xml:space="preserve">مقاييس الأداء ومؤشرات الأداء الرئيسية</w:t>
      </w:r>
      <w:bookmarkEnd w:id="88"/>
    </w:p>
    <w:p>
      <w:pPr>
        <w:pStyle w:val="Heading3"/>
      </w:pPr>
      <w:bookmarkStart w:id="89" w:name="مقاييس-جودة-المحتوى"/>
      <w:r>
        <w:t xml:space="preserve">مقاييس جودة المحتوى</w:t>
      </w:r>
      <w:bookmarkEnd w:id="89"/>
    </w:p>
    <w:p>
      <w:pPr>
        <w:pStyle w:val="Heading4"/>
      </w:pPr>
      <w:bookmarkStart w:id="90" w:name="مؤشرات-الفعالية-التعليمية"/>
      <w:r>
        <w:rPr>
          <w:b/>
        </w:rPr>
        <w:t xml:space="preserve">مؤشرات الفعالية التعليمية</w:t>
      </w:r>
      <w:bookmarkEnd w:id="90"/>
    </w:p>
    <w:p>
      <w:pPr>
        <w:pStyle w:val="FirstParagraph"/>
      </w:pPr>
      <w:r>
        <w:t xml:space="preserve">تتضمن أهداف تحقيق نتائج التعلم 85% من الطلاب يظهرون تحسناً قابلاً للقياس، ومتوسط نقاط تقييم تطوير المهارات 4.2/5.0، ومعدلات الاحتفاظ بالمعرفة 90% بعد 6 أشهر، و80% يظهرون قدرات تحليلية محسنة في مهارات التفكير النقدي، و75% ينجحون في تطبيق المفاهيم المتعلمة في التطبيقات الواقعية.</w:t>
      </w:r>
    </w:p>
    <w:p>
      <w:pPr>
        <w:pStyle w:val="BodyText"/>
      </w:pPr>
      <w:r>
        <w:t xml:space="preserve">تستهدف مقاييس إكمال البرنامج والرضا معدلات إكمال 92% للطلاب المسجلين، ومتوسط نقاط رضا الطلاب 4.5/5.0، ومستويات رضا الأولياء المتوسطة 4.4/5.0، ومتوسط رضا المعلمين وأعضاء هيئة التدريس 4.3/5.0، ومعدلات توصية الخريجين 85%.</w:t>
      </w:r>
    </w:p>
    <w:p>
      <w:pPr>
        <w:pStyle w:val="Heading4"/>
      </w:pPr>
      <w:bookmarkStart w:id="91" w:name="جودة-ودقة-المحتوى"/>
      <w:r>
        <w:rPr>
          <w:b/>
        </w:rPr>
        <w:t xml:space="preserve">جودة ودقة المحتوى</w:t>
      </w:r>
      <w:bookmarkEnd w:id="91"/>
    </w:p>
    <w:p>
      <w:pPr>
        <w:pStyle w:val="FirstParagraph"/>
      </w:pPr>
      <w:r>
        <w:t xml:space="preserve">تتضمن أهداف دقة وحداثة المعلومات معدلات دقة واقعية 99.5%، و95% من المحتوى محدث خلال 12 شهراً، وحل الأخطاء خلال 48 ساعة، و100% تحقق للمعلومات الحرجة، و90% مصادر من مصادر موثقة.</w:t>
      </w:r>
    </w:p>
    <w:p>
      <w:pPr>
        <w:pStyle w:val="BodyText"/>
      </w:pPr>
      <w:r>
        <w:t xml:space="preserve">تستهدف مقاييس تجربة المستخدم وإمكانية الوصول أوقات تحميل الصفحة تحت 3 ثوانٍ على جميع الأجهزة، و95% توافق الاستجابة للهاتف المحمول عبر الأجهزة، و100% امتثال إمكانية الوصول WCAG 2.1 AA، و90% معدلات نجاح تنقل المستخدم لإكمال المهام المرغوبة، و85% العثور على المحتوى ذي الصلة خلال 3 عمليات بحث.</w:t>
      </w:r>
    </w:p>
    <w:p>
      <w:pPr>
        <w:pStyle w:val="Heading3"/>
      </w:pPr>
      <w:bookmarkStart w:id="92" w:name="مقاييس-الكفاءة-التشغيلية"/>
      <w:r>
        <w:t xml:space="preserve">مقاييس الكفاءة التشغيلية</w:t>
      </w:r>
      <w:bookmarkEnd w:id="92"/>
    </w:p>
    <w:p>
      <w:pPr>
        <w:pStyle w:val="Heading4"/>
      </w:pPr>
      <w:bookmarkStart w:id="93" w:name="مؤشرات-أداء-سير-العمل"/>
      <w:r>
        <w:rPr>
          <w:b/>
        </w:rPr>
        <w:t xml:space="preserve">مؤشرات أداء سير العمل</w:t>
      </w:r>
      <w:bookmarkEnd w:id="93"/>
    </w:p>
    <w:p>
      <w:pPr>
        <w:pStyle w:val="FirstParagraph"/>
      </w:pPr>
      <w:r>
        <w:t xml:space="preserve">تتضمن أهداف كفاءة معالجة المحتوى متوسط الجداول الزمنية للموافقة 18 يوماً (انخفاض من 21 يوماً الحالية)، و95% إكمال عملية المراجعة خلال الجدول الزمني المعياري، و80% معدلات الموافقة بعد المراجعة الأولى، وأوقات استجابة 24 ساعة لاستفسارات أصحاب المصلحة، و50 مقدمة تمت مراجعتها أسبوعياً في إنتاجية ضمان الجودة.</w:t>
      </w:r>
    </w:p>
    <w:p>
      <w:pPr>
        <w:pStyle w:val="BodyText"/>
      </w:pPr>
      <w:r>
        <w:t xml:space="preserve">تشمل أهداف استخدام الموارد والفعالية من حيث التكلفة انخفاض التكلفة 15% سنوياً لكل قطعة محتوى، وتحسين 20% في مقاييس إنتاجية الموظفين لمعالجة المحتوى، ومعدلات استخدام التكنولوجيا المثلى 85%، وعائد 3:1 على استثمار التدريب والتطوير، و40% أتمتة المهام الروتينية.</w:t>
      </w:r>
    </w:p>
    <w:p>
      <w:pPr>
        <w:pStyle w:val="Heading4"/>
      </w:pPr>
      <w:bookmarkStart w:id="94" w:name="مقاييس-مشاركة-أصحاب-المصلحة"/>
      <w:r>
        <w:rPr>
          <w:b/>
        </w:rPr>
        <w:t xml:space="preserve">مقاييس مشاركة أصحاب المصلحة</w:t>
      </w:r>
      <w:bookmarkEnd w:id="94"/>
    </w:p>
    <w:p>
      <w:pPr>
        <w:pStyle w:val="FirstParagraph"/>
      </w:pPr>
      <w:r>
        <w:t xml:space="preserve">تتضمن أهداف مشاركة المدارس والمؤسسات 80% من المدارس المؤهلة تساهم بنشاط في المحتوى، ومتوسط نقاط جودة التقديم الأولي 4.0/5.0، و90% من المدارس تقدم المحتوى سنوياً كمساهمين متكررين، وزيادة سنوية 15% في الشراكات النشطة والتعاون، و75% من الموظفين المؤهلين يكملون برامج التدريب.</w:t>
      </w:r>
    </w:p>
    <w:p>
      <w:pPr>
        <w:pStyle w:val="BodyText"/>
      </w:pPr>
      <w:r>
        <w:t xml:space="preserve">تستهدف مقاييس مشاركة ورضا المستخدمين نمو استخدام المنصة 25% سنوياً، ومتوسط مدة الجلسة 8 دقائق، و60% من المستخدمين يعودون خلال 30 يوماً، و30% من المستخدمين يشاركون المحتوى، و40% من المستخدمين يتفاعلون مع ميزات المجتمع.</w:t>
      </w:r>
    </w:p>
    <w:p>
      <w:pPr>
        <w:pStyle w:val="Heading3"/>
      </w:pPr>
      <w:bookmarkStart w:id="95" w:name="مقاييس-التأثير-والنتائج"/>
      <w:r>
        <w:t xml:space="preserve">مقاييس التأثير والنتائج</w:t>
      </w:r>
      <w:bookmarkEnd w:id="95"/>
    </w:p>
    <w:p>
      <w:pPr>
        <w:pStyle w:val="Heading4"/>
      </w:pPr>
      <w:bookmarkStart w:id="96" w:name="تقييم-التأثير-التعليمي"/>
      <w:r>
        <w:rPr>
          <w:b/>
        </w:rPr>
        <w:t xml:space="preserve">تقييم التأثير التعليمي</w:t>
      </w:r>
      <w:bookmarkEnd w:id="96"/>
    </w:p>
    <w:p>
      <w:pPr>
        <w:pStyle w:val="FirstParagraph"/>
      </w:pPr>
      <w:r>
        <w:t xml:space="preserve">تتضمن أهداف تطوير وإنجاز الطلاب تحسين 20% في نقاط الاختبارات المعيارية للأداء الأكاديمي، و85% من الطلاب يتقدمون إلى مستوى الكفاءة التالي في تطوير المهارات، و90% من الخريجين يلبون معايير الاستعداد المهني، و95% من الخريجين مؤهلون للتعليم العالي، و70% يظهرون مهارات قيادية محسنة في تطوير القيادة والمواطنة.</w:t>
      </w:r>
    </w:p>
    <w:p>
      <w:pPr>
        <w:pStyle w:val="BodyText"/>
      </w:pPr>
      <w:r>
        <w:t xml:space="preserve">تستهدف مؤشرات النجاح طويلة المدى 85% توظيف الخريجين خلال 6 أشهر، و90% متابعة التعليم ما بعد الثانوي في التسجيل في التعليم العالي، و75% التقدم في المهنة خلال سنتين، ورضا الخريجين 4.6/5.0 مع إعداد البرنامج، و60% يساهمون بنشاط في المجتمع.</w:t>
      </w:r>
    </w:p>
    <w:p>
      <w:pPr>
        <w:pStyle w:val="Heading4"/>
      </w:pPr>
      <w:bookmarkStart w:id="97" w:name="مقاييس-التأثير-على-مستوى-النظام"/>
      <w:r>
        <w:rPr>
          <w:b/>
        </w:rPr>
        <w:t xml:space="preserve">مقاييس التأثير على مستوى النظام</w:t>
      </w:r>
      <w:bookmarkEnd w:id="97"/>
    </w:p>
    <w:p>
      <w:pPr>
        <w:pStyle w:val="FirstParagraph"/>
      </w:pPr>
      <w:r>
        <w:t xml:space="preserve">تستهدف مساهمة المنصة في أهداف دولة الإمارات العربية المتحدة زيادة 30% في المشاركة الإماراتية في القطاعات المستهدفة لدعم التوطين، وتوافق البرنامج مع 80% من القطاعات ذات الأولوية لمساهمة التنويع الاقتصادي، و25% من الخريجين يتابعون مشاريع الابتكار، و90% من البرامج تدمج العناصر الثقافية الإماراتية للحفاظ على الثقافة، و85% من البرامج تلبي المعايير الدولية لتعزيز القدرة التنافسية العالمية.</w:t>
      </w:r>
    </w:p>
    <w:p>
      <w:pPr>
        <w:pStyle w:val="BodyText"/>
      </w:pPr>
      <w:r>
        <w:t xml:space="preserve">تستهدف أهداف تطوير نظام أصحاب المصلحة زيادة سنوية 20% في الشراكات النشطة لنمو شبكة الشراكة، وزيادة 50% في التعاون بين المؤسسات لمشاركة المعرفة، ومعدل اعتماد 75% للممارسات الناجحة من قبل مؤسسات أخرى، و10% من البرامج تتلقى اعترافاً وطنياً أو دولياً، و95% من البرامج تظهر تحسناً مستمراً للاستدامة.</w:t>
      </w:r>
    </w:p>
    <w:p>
      <w:pPr>
        <w:pStyle w:val="Heading3"/>
      </w:pPr>
      <w:bookmarkStart w:id="98" w:name="إطار-جمع-وتحليل-البيانات"/>
      <w:r>
        <w:t xml:space="preserve">إطار جمع وتحليل البيانات</w:t>
      </w:r>
      <w:bookmarkEnd w:id="98"/>
    </w:p>
    <w:p>
      <w:pPr>
        <w:pStyle w:val="Heading4"/>
      </w:pPr>
      <w:bookmarkStart w:id="99" w:name="آليات-جمع-البيانات"/>
      <w:r>
        <w:rPr>
          <w:b/>
        </w:rPr>
        <w:t xml:space="preserve">آليات جمع البيانات</w:t>
      </w:r>
      <w:bookmarkEnd w:id="99"/>
    </w:p>
    <w:p>
      <w:pPr>
        <w:pStyle w:val="FirstParagraph"/>
      </w:pPr>
      <w:r>
        <w:t xml:space="preserve">يتضمن التقاط البيانات الآلي تحليلات المنصة وتتبع سلوك المستخدم، ومراقبة الأداء ومقاييس صحة النظام، وقياس مشاركة المحتوى والتفاعل، وتحليل أنماط البحث والتنقل، وأنظمة تتبع الأخطاء وتحديد المشاكل.</w:t>
      </w:r>
    </w:p>
    <w:p>
      <w:pPr>
        <w:pStyle w:val="BodyText"/>
      </w:pPr>
      <w:r>
        <w:t xml:space="preserve">تشمل أنظمة الاستطلاع والتعليقات استطلاعات رضا المستخدمين المنتظمة وجمع التعليقات، وجلسات استشارة أصحاب المصلحة ومجموعات التركيز، واستطلاعات تتبع الخريجين وتقييم النتائج، وتقييم تعليقات أصحاب العمل وأداء الخريجين، وتقييم التأثير المجتمعي وقياس الفائدة الاجتماعية.</w:t>
      </w:r>
    </w:p>
    <w:p>
      <w:pPr>
        <w:pStyle w:val="Heading4"/>
      </w:pPr>
      <w:bookmarkStart w:id="100" w:name="هيكل-التحليل-والتقرير"/>
      <w:r>
        <w:rPr>
          <w:b/>
        </w:rPr>
        <w:t xml:space="preserve">هيكل التحليل والتقرير</w:t>
      </w:r>
      <w:bookmarkEnd w:id="100"/>
    </w:p>
    <w:p>
      <w:pPr>
        <w:pStyle w:val="FirstParagraph"/>
      </w:pPr>
      <w:r>
        <w:t xml:space="preserve">تتضمن أنظمة لوحة المعلومات الفورية لوحات معلومات الملخص التنفيذي لاتخاذ القرارات القيادية، ولوحات معلومات الأداء التشغيلي للإدارة اليومية، ولوحات معلومات ضمان الجودة للمراقبة المستمرة، ولوحات معلومات مشاركة أصحاب المصلحة لإدارة العلاقات، وتحليل الاتجاهات والنمذجة التنبؤية للتخطيط الاستراتيجي.</w:t>
      </w:r>
    </w:p>
    <w:p>
      <w:pPr>
        <w:pStyle w:val="BodyText"/>
      </w:pPr>
      <w:r>
        <w:t xml:space="preserve">تشمل دورات التقرير المنتظمة التقارير التشغيلية اليومية وتنبيهات المشاكل، وملخصات الأداء الأسبوعية وتحليل الاتجاهات، ومراجعات الأداء الشاملة الشهرية، وتقارير التقييم الاستراتيجي والتخطيط الفصلية، وتقييم التأثير السنوي ووثائق التخطيط الاستراتيجي.</w:t>
      </w:r>
    </w:p>
    <w:p>
      <w:r>
        <w:pict>
          <v:rect style="width:0;height:1.5pt" o:hralign="center" o:hrstd="t" o:hr="t"/>
        </w:pict>
      </w:r>
    </w:p>
    <w:p>
      <w:pPr>
        <w:pStyle w:val="Heading2"/>
      </w:pPr>
      <w:bookmarkStart w:id="101" w:name="إدارة-المخاطر"/>
      <w:r>
        <w:t xml:space="preserve">إدارة المخاطر</w:t>
      </w:r>
      <w:bookmarkEnd w:id="101"/>
    </w:p>
    <w:p>
      <w:pPr>
        <w:pStyle w:val="Heading3"/>
      </w:pPr>
      <w:bookmarkStart w:id="102" w:name="فئات-المخاطر-المتعلقة-بالمحتوى"/>
      <w:r>
        <w:t xml:space="preserve">فئات المخاطر المتعلقة بالمحتوى</w:t>
      </w:r>
      <w:bookmarkEnd w:id="102"/>
    </w:p>
    <w:p>
      <w:pPr>
        <w:pStyle w:val="Heading4"/>
      </w:pPr>
      <w:bookmarkStart w:id="103" w:name="مخاطر-الجودة-التعليمية"/>
      <w:r>
        <w:rPr>
          <w:b/>
        </w:rPr>
        <w:t xml:space="preserve">مخاطر الجودة التعليمية</w:t>
      </w:r>
      <w:bookmarkEnd w:id="103"/>
    </w:p>
    <w:p>
      <w:pPr>
        <w:pStyle w:val="FirstParagraph"/>
      </w:pPr>
      <w:r>
        <w:t xml:space="preserve">تشكل المعلومات المنهجية غير الدقيقة أو القديمة مخاطر متوسطة (احتمالية 15-25% بدون ضوابط مناسبة) مع تأثيرات تشمل حصول الطلاب على إرشادات غير صحيحة تؤثر على القرارات الأكاديمية والمهنية. تتضمن استراتيجيات التخفيف دورات مراجعة وتحديث المحتوى الفصلية، وأنظمة الإشعار الفوري لتغييرات المناهج، وشبكات المراجعين الخبراء للتحقق من الموضوع، والتنبيهات الآلية للمحتوى الذي يتقادم بعد 12 شهراً، والاتصال المباشر مع فرق تطوير المناهج في هيئة المعرفة والتنمية البشرية.</w:t>
      </w:r>
    </w:p>
    <w:p>
      <w:pPr>
        <w:pStyle w:val="BodyText"/>
      </w:pPr>
      <w:r>
        <w:t xml:space="preserve">يمثل عدم التوافق مع معايير التعليم الوطنية الإماراتية مخاطر منخفضة (5-10% مع عمليات المراجعة الحالية) مع تأثيرات فشل البرامج في تلبية المتطلبات الوطنية وتأثير تقدم الطلاب. تشمل استراتيجيات التخفيف قوائم التحقق الإلزامية للتوافق لجميع مقدمات المحتوى، والتكامل المباشر مع قواعد بيانات معايير هيئة المعرفة والتنمية البشرية، وتدريب المراجعين المتخصص على المعايير الوطنية، وعمليات التدقيق المنتظمة والتحقق من الامتثال، وبروتوكولات التصعيد لنزاعات تفسير المعايير.</w:t>
      </w:r>
    </w:p>
    <w:p>
      <w:pPr>
        <w:pStyle w:val="Heading4"/>
      </w:pPr>
      <w:bookmarkStart w:id="104" w:name="المخاطر-القانونية-والامتثال"/>
      <w:r>
        <w:rPr>
          <w:b/>
        </w:rPr>
        <w:t xml:space="preserve">المخاطر القانونية والامتثال</w:t>
      </w:r>
      <w:bookmarkEnd w:id="104"/>
    </w:p>
    <w:p>
      <w:pPr>
        <w:pStyle w:val="FirstParagraph"/>
      </w:pPr>
      <w:r>
        <w:t xml:space="preserve">يحمل عدم الامتثال للوائح التعليم الإماراتية مخاطر منخفضة (5% مع المراجعة القانونية المناسبة) ولكن تأثير عالي بما في ذلك المسؤولية القانونية وإغلاق المنصة وضرر السمعة. تتضمن استراتيجيات التخفيف متطلبات المراجعة القانونية لجميع المحتوى قبل النشر، والتدريب المنتظم على الامتثال لجميع الموظفين والمراجعين، والاستشارة المباشرة مع الأقسام القانونية في هيئة المعرفة والتنمية البشرية، وأنظمة فحص الامتثال الآلية، والتدقيق القانوني المنتظم وعمليات التقييم.</w:t>
      </w:r>
    </w:p>
    <w:p>
      <w:pPr>
        <w:pStyle w:val="BodyText"/>
      </w:pPr>
      <w:r>
        <w:t xml:space="preserve">تمثل انتهاكات حقوق الطبع والنشر والملكية الفكرية مخاطر متوسطة (10-15% بدون ضوابط مناسبة) مع تأثيرات الإجراءات القانونية والعقوبات المالية ومتطلبات إزالة المحتوى. تشمل استراتيجيات التخفيف التحقق الإلزامي من حقوق الطبع والنشر لجميع المحتوى البصري والمكتوب، ومتطلبات وإرشادات إنشاء المحتوى الأصلي، وأنظمة الكشف الآلي عن الانتحال والتحقق، وعمليات التخليص القانوني لاستخدام محتوى الطرف الثالث، وتدريب الموظفين على حقوق الملكية الفكرية والمتطلبات.</w:t>
      </w:r>
    </w:p>
    <w:p>
      <w:pPr>
        <w:pStyle w:val="Heading3"/>
      </w:pPr>
      <w:bookmarkStart w:id="105" w:name="إدارة-المخاطر-التشغيلية"/>
      <w:r>
        <w:t xml:space="preserve">إدارة المخاطر التشغيلية</w:t>
      </w:r>
      <w:bookmarkEnd w:id="105"/>
    </w:p>
    <w:p>
      <w:pPr>
        <w:pStyle w:val="Heading4"/>
      </w:pPr>
      <w:bookmarkStart w:id="106" w:name="مخاطر-التكنولوجيا-والمنصة"/>
      <w:r>
        <w:rPr>
          <w:b/>
        </w:rPr>
        <w:t xml:space="preserve">مخاطر التكنولوجيا والمنصة</w:t>
      </w:r>
      <w:bookmarkEnd w:id="106"/>
    </w:p>
    <w:p>
      <w:pPr>
        <w:pStyle w:val="FirstParagraph"/>
      </w:pPr>
      <w:r>
        <w:t xml:space="preserve">تمثل أعطال النظام والأعطال التقنية مخاطر متوسطة (20-30% حدوث سنوي بدون بنية تحتية مناسبة) مع تأثيرات انقطاع الخدمة وإحباط المستخدم وعدم إمكانية الوصول للمحتوى. تتضمن استراتيجيات التخفيف البنية التحتية الاحتياطية للخادم وأنظمة النسخ الاحتياطي، ومراقبة 24/7 وبروتوكولات الاستجابة السريعة، وجداول الصيانة المنتظمة للنظام والتحديث، وتخطيط التعافي من الكوارث واستمرارية الأعمال، واتفاقيات مستوى الخدمة مع موردي التكنولوجيا.</w:t>
      </w:r>
    </w:p>
    <w:p>
      <w:pPr>
        <w:pStyle w:val="BodyText"/>
      </w:pPr>
      <w:r>
        <w:t xml:space="preserve">تحمل انتهاكات أمن البيانات والخصوصية مخاطر منخفضة (5-10% مع تدابير الأمان المناسبة) ولكن تأثير عالي بما في ذلك تعرض المعلومات الشخصية والمسؤولية القانونية وتآكل الثقة. تشمل استراتيجيات التخفيف البنية التحتية المتقدمة للأمن السيبراني والمراقبة، والتدقيق الأمني المنتظم واختبار الاختراق، وتدريب الموظفين على حماية البيانات ومتطلبات الخصوصية، والامتثال للوائح حماية البيانات الإماراتية، وإجراءات الاستجابة للحوادث وإشعار الانتهاك.</w:t>
      </w:r>
    </w:p>
    <w:p>
      <w:pPr>
        <w:pStyle w:val="Heading4"/>
      </w:pPr>
      <w:bookmarkStart w:id="107" w:name="مخاطر-علاقات-أصحاب-المصلحة"/>
      <w:r>
        <w:rPr>
          <w:b/>
        </w:rPr>
        <w:t xml:space="preserve">مخاطر علاقات أصحاب المصلحة</w:t>
      </w:r>
      <w:bookmarkEnd w:id="107"/>
    </w:p>
    <w:p>
      <w:pPr>
        <w:pStyle w:val="FirstParagraph"/>
      </w:pPr>
      <w:r>
        <w:t xml:space="preserve">يمثل انفصال المدارس والمؤسسات مخاطر متوسطة (15-25% بدون إدارة علاقات مناسبة) مع تأثيرات انخفاض جودة وكمية المحتوى وتراجع صلة المنصة. تتضمن استراتيجيات التخفيف استطلاعات رضا أصحاب المصلحة المنتظمة وجمع التعليقات، وخدمات إدارة العلاقات المخصصة والدعم، وبرامج الاعتراف والحوافز للمساهمين النشطين، وفرص التطوير المهني والتدريب، وقنوات التواصل الواضحة وأنظمة الدعم المتجاوبة.</w:t>
      </w:r>
    </w:p>
    <w:p>
      <w:pPr>
        <w:pStyle w:val="BodyText"/>
      </w:pPr>
      <w:r>
        <w:t xml:space="preserve">يحمل عدم رضا المستخدمين وهجر المنصة مخاطر متوسطة (20-30% بدون تحسين مستمر) مع تأثيرات انخفاض استخدام المنصة والسمعة السلبية وفشل تحقيق الأهداف. تشمل استراتيجيات التخفيف مراقبة وتحسين تجربة المستخدم المستمر، وجمع وتكامل تعليقات المستخدمين المنتظم، وأنظمة خدمة العملاء المتجاوبة والدعم، وتعزيز ميزات المنصة بناءً على احتياجات المستخدمين، ومبادرات بناء المجتمع والمشاركة.</w:t>
      </w:r>
    </w:p>
    <w:p>
      <w:pPr>
        <w:pStyle w:val="Heading3"/>
      </w:pPr>
      <w:bookmarkStart w:id="108" w:name="التقييم-الاستراتيجي-للمخاطر"/>
      <w:r>
        <w:t xml:space="preserve">التقييم الاستراتيجي للمخاطر</w:t>
      </w:r>
      <w:bookmarkEnd w:id="108"/>
    </w:p>
    <w:p>
      <w:pPr>
        <w:pStyle w:val="Heading4"/>
      </w:pPr>
      <w:bookmarkStart w:id="109" w:name="مخاطر-السوق-والمنافسة"/>
      <w:r>
        <w:rPr>
          <w:b/>
        </w:rPr>
        <w:t xml:space="preserve">مخاطر السوق والمنافسة</w:t>
      </w:r>
      <w:bookmarkEnd w:id="109"/>
    </w:p>
    <w:p>
      <w:pPr>
        <w:pStyle w:val="FirstParagraph"/>
      </w:pPr>
      <w:r>
        <w:t xml:space="preserve">يمثل ظهور منصات أو خدمات منافسة مخاطر متوسطة (25-35% خلال فترة 5 سنوات) مع تأثيرات هجرة المستخدمين وانخفاض حصة السوق وتراجع صلة المنصة. تتضمن استراتيجيات التخفيف التطوير المستمر للابتكار والميزات، والتمايز القوي من خلال الدعم الحكومي والوضع الرسمي، وجودة المحتوى الفائقة والتغطية الشاملة، واتفاقيات الشراكة الاستراتيجية والمحتوى الحصري، وبرامج ولاء المستخدمين ومبادرات بناء المجتمع.</w:t>
      </w:r>
    </w:p>
    <w:p>
      <w:pPr>
        <w:pStyle w:val="BodyText"/>
      </w:pPr>
      <w:r>
        <w:t xml:space="preserve">تحمل التغييرات في السياسة التعليمية أو الأولويات الحكومية مخاطر متوسطة (20-30% احتمالية تغييرات كبيرة) مع تأثيرات عدم توافق المنصة وإعادة تخصيص الموارد ومتطلبات إعادة التوجيه الاستراتيجي. تشمل استراتيجيات التخفيف التوافق الوثيق والتواصل مع القيادة الحكومية، وهندسة المنصة المرنة التي تسمح بالتكيف السريع، ومحفظة المحتوى المتنوعة التي تقلل من مخاطر نقطة الفشل الواحدة، وعلاقات أصحاب المصلحة القوية التي تمكن الاستجابة السريعة، والمراقبة المستمرة لتطورات السياسة والاتجاهات.</w:t>
      </w:r>
    </w:p>
    <w:p>
      <w:pPr>
        <w:pStyle w:val="Heading4"/>
      </w:pPr>
      <w:bookmarkStart w:id="110" w:name="المخاطر-المالية-والموارد"/>
      <w:r>
        <w:rPr>
          <w:b/>
        </w:rPr>
        <w:t xml:space="preserve">المخاطر المالية والموارد</w:t>
      </w:r>
      <w:bookmarkEnd w:id="110"/>
    </w:p>
    <w:p>
      <w:pPr>
        <w:pStyle w:val="FirstParagraph"/>
      </w:pPr>
      <w:r>
        <w:t xml:space="preserve">تمثل قيود الميزانية وحدود الموارد مخاطر متوسطة (15-25% احتمالية خلال فترات الانكماش الاقتصادي) مع تأثيرات انخفاض جودة الخدمة والتحسينات المتأخرة وتقليل الموظفين. تتضمن استراتيجيات التخفيف مصادر التمويل المتنوعة وتدفقات الإيرادات، والعمليات التشغيلية الفعالة وإدارة التكاليف، والشراكات الاستراتيجية التي تقلل من متطلبات الموارد، والبنية التحتية التكنولوجية القابلة للتوسع التي تقلل من التكاليف الثابتة، والميزانية القائمة على الأداء وتخصيص الموارد.</w:t>
      </w:r>
    </w:p>
    <w:p>
      <w:pPr>
        <w:pStyle w:val="BodyText"/>
      </w:pPr>
      <w:r>
        <w:t xml:space="preserve">يحمل رحيل الموظفين الرئيسيين وفقدان المعرفة مخاطر عالية (40-50% معدل دوران سنوي في المناصب الرئيسية بدون استراتيجيات الاحتفاظ) مع تأثيرات اضطراب العمليات وتراجع الجودة وفقدان المعرفة المؤسسية. تشمل استراتيجيات التخفيف حزم التعويضات والمزايا التنافسية، وفرص التطوير المهني والتقدم الوظيفي، وأنظمة إدارة المعرفة والتوثيق، وبرامج التخطيط للخلافة والتدريب المتقاطع، والثقافة التنظيمية القوية ومبادرات مشاركة الموظفين.</w:t>
      </w:r>
    </w:p>
    <w:p>
      <w:pPr>
        <w:pStyle w:val="Heading3"/>
      </w:pPr>
      <w:bookmarkStart w:id="111" w:name="إطار-مراقبة-المخاطر-والاستجابة"/>
      <w:r>
        <w:t xml:space="preserve">إطار مراقبة المخاطر والاستجابة</w:t>
      </w:r>
      <w:bookmarkEnd w:id="111"/>
    </w:p>
    <w:p>
      <w:pPr>
        <w:pStyle w:val="Heading4"/>
      </w:pPr>
      <w:bookmarkStart w:id="112" w:name="أنظمة-تقييم-ومراقبة-المخاطر"/>
      <w:r>
        <w:rPr>
          <w:b/>
        </w:rPr>
        <w:t xml:space="preserve">أنظمة تقييم ومراقبة المخاطر</w:t>
      </w:r>
      <w:bookmarkEnd w:id="112"/>
    </w:p>
    <w:p>
      <w:pPr>
        <w:pStyle w:val="FirstParagraph"/>
      </w:pPr>
      <w:r>
        <w:t xml:space="preserve">تتضمن مراقبة المخاطر المستمرة مراقبة النظام الفوري وأنظمة التنبيه، واستطلاعات تعليقات أصحاب المصلحة المنتظمة والرضا، وتتبع مقاييس الأداء وتحليل الاتجاهات، ومسح البيئة الخارجية وتقييم التهديدات، وورش تقييم المخاطر المنتظمة وجلسات التقييم.</w:t>
      </w:r>
    </w:p>
    <w:p>
      <w:pPr>
        <w:pStyle w:val="BodyText"/>
      </w:pPr>
      <w:r>
        <w:t xml:space="preserve">تشمل بروتوكولات الاستجابة للمخاطر إجراءات التصعيد المحددة بوضوح ومصفوفات المسؤولية، وفرق الاستجابة السريعة للحوادث الحرجة والطوارئ، وبروتوكولات التواصل لإشعار أصحاب المصلحة والتحديثات، وتخطيط التعافي والاستمرارية للاضطرابات الرئيسية، وعمليات تحليل ما بعد الحادث وتخطيط التحسين.</w:t>
      </w:r>
    </w:p>
    <w:p>
      <w:pPr>
        <w:pStyle w:val="Heading4"/>
      </w:pPr>
      <w:bookmarkStart w:id="113" w:name="إدارة-الأزمات-والتواصل"/>
      <w:r>
        <w:rPr>
          <w:b/>
        </w:rPr>
        <w:t xml:space="preserve">إدارة الأزمات والتواصل</w:t>
      </w:r>
      <w:bookmarkEnd w:id="113"/>
    </w:p>
    <w:p>
      <w:pPr>
        <w:pStyle w:val="FirstParagraph"/>
      </w:pPr>
      <w:r>
        <w:t xml:space="preserve">يتضمن هيكل فريق الاستجابة للأزمات فرق القيادة التنفيذية لاتخاذ القرارات الاستراتيجية، وفرق الاستجابة التشغيلية للعمل الفوري والتنسيق، وفرق التواصل لإشعار أصحاب المصلحة والعلاقات الإعلامية، وفرق تقنية لاستعادة النظام والاستجابة الأمنية، وفرق قانونية لإدارة الامتثال والمسؤولية.</w:t>
      </w:r>
    </w:p>
    <w:p>
      <w:pPr>
        <w:pStyle w:val="BodyText"/>
      </w:pPr>
      <w:r>
        <w:t xml:space="preserve">تشمل استراتيجيات التواصل قوالب التواصل المعتمدة مسبقاً وأطر الرسائل، وقنوات التواصل المتعددة لمجموعات أصحاب المصلحة المختلفة، وجداول التحديث المنتظمة وتقارير التقدم، والشفافية والمساءلة في تواصل الأزمات، وتقييم ما بعد الأزمة وتخطيط استعادة السمعة.</w:t>
      </w:r>
    </w:p>
    <w:p>
      <w:r>
        <w:pict>
          <v:rect style="width:0;height:1.5pt" o:hralign="center" o:hrstd="t" o:hr="t"/>
        </w:pict>
      </w:r>
    </w:p>
    <w:p>
      <w:pPr>
        <w:pStyle w:val="Heading2"/>
      </w:pPr>
      <w:bookmarkStart w:id="114" w:name="الجدول-الزمني-للتنفيذ"/>
      <w:r>
        <w:t xml:space="preserve">الجدول الزمني للتنفيذ</w:t>
      </w:r>
      <w:bookmarkEnd w:id="114"/>
    </w:p>
    <w:p>
      <w:pPr>
        <w:pStyle w:val="Heading3"/>
      </w:pPr>
      <w:bookmarkStart w:id="115" w:name="المرحلة-1-الأساس-والإعداد-الأشهر-1-3"/>
      <w:r>
        <w:t xml:space="preserve">المرحلة 1: الأساس والإعداد (الأشهر 1-3)</w:t>
      </w:r>
      <w:bookmarkEnd w:id="115"/>
    </w:p>
    <w:p>
      <w:pPr>
        <w:pStyle w:val="Heading4"/>
      </w:pPr>
      <w:bookmarkStart w:id="116" w:name="الشهر-1-إنشاء-هيكل-الحوكمة"/>
      <w:r>
        <w:rPr>
          <w:b/>
        </w:rPr>
        <w:t xml:space="preserve">الشهر 1: إنشاء هيكل الحوكمة</w:t>
      </w:r>
      <w:bookmarkEnd w:id="116"/>
    </w:p>
    <w:p>
      <w:pPr>
        <w:pStyle w:val="FirstParagraph"/>
      </w:pPr>
      <w:r>
        <w:t xml:space="preserve">تركز الأسبوعان الأولان على تشكيل فريق القيادة بما في ذلك إنشاء لجنة توجيه المحتوى وموافقة الميثاق، وتحديد وتوظيف أعضاء المجلس الاستشاري، وتوظيف مكتب إدارة المحتوى والهيكل التنظيمي، وعمليات توظيف وإدماج الموظفين الرئيسيين، وتخصيص الميزانية الأولي وتخطيط الموارد.</w:t>
      </w:r>
    </w:p>
    <w:p>
      <w:pPr>
        <w:pStyle w:val="BodyText"/>
      </w:pPr>
      <w:r>
        <w:t xml:space="preserve">تركز الأسابيع 3-4 على تطوير السياسات والإجراءات الشامل لتطوير معايير جودة المحتوى والإرشادات، ومراجعة سير العمل وإجراءات الموافقة، وبروتوكولات مشاركة أصحاب المصلحة وأطر التواصل، وسياسات إدارة المخاطر وإجراءات الاستجابة للطوارئ، وتصميم أنظمة قياس الأداء والتقييم.</w:t>
      </w:r>
    </w:p>
    <w:p>
      <w:pPr>
        <w:pStyle w:val="Heading4"/>
      </w:pPr>
      <w:bookmarkStart w:id="117" w:name="الشهر-2-تطوير-البنية-التحتية-التكنولوجية"/>
      <w:r>
        <w:rPr>
          <w:b/>
        </w:rPr>
        <w:t xml:space="preserve">الشهر 2: تطوير البنية التحتية التكنولوجية</w:t>
      </w:r>
      <w:bookmarkEnd w:id="117"/>
    </w:p>
    <w:p>
      <w:pPr>
        <w:pStyle w:val="FirstParagraph"/>
      </w:pPr>
      <w:r>
        <w:t xml:space="preserve">تتناول الأسبوعان الأولان هندسة وتصميم المنصة بما في ذلك اختيار وتخصيص نظام إدارة المحتوى، وتصميم واجهة المستخدم وتحسين تجربة المستخدم، وتخطيط التكامل مع أنظمة وقواعد بيانات هيئة المعرفة والتنمية البشرية الموجودة، وتنفيذ البنية التحتية الأمنية وحماية البيانات، وتطوير الاستجابة للهاتف المحمول وامتثال إمكانية الوصول.</w:t>
      </w:r>
    </w:p>
    <w:p>
      <w:pPr>
        <w:pStyle w:val="BodyText"/>
      </w:pPr>
      <w:r>
        <w:t xml:space="preserve">تركز الأسابيع 3-4 على الاختبار وضمان الجودة من خلال اختبار وظائف النظام وتحديد الأخطاء، واختبار قبول المستخدم مع مجموعات المستخدمين التجريبية، واختبار الأمان وتقييم الثغرات، واختبار الأداء والتحسين، وتدريب الموظفين على استخدام وإدارة المنصة.</w:t>
      </w:r>
    </w:p>
    <w:p>
      <w:pPr>
        <w:pStyle w:val="Heading4"/>
      </w:pPr>
      <w:bookmarkStart w:id="118" w:name="الشهر-3-مشاركة-أصحاب-المصلحة-والتدريب"/>
      <w:r>
        <w:rPr>
          <w:b/>
        </w:rPr>
        <w:t xml:space="preserve">الشهر 3: مشاركة أصحاب المصلحة والتدريب</w:t>
      </w:r>
      <w:bookmarkEnd w:id="118"/>
    </w:p>
    <w:p>
      <w:pPr>
        <w:pStyle w:val="FirstParagraph"/>
      </w:pPr>
      <w:r>
        <w:t xml:space="preserve">تتعامل الأسبوعان الأولان مع إدماج أصحاب المصلحة بما في ذلك تسجيل وتوجيه المدارس والمؤسسات، وبرامج تدريب وشهادة مساهمي المحتوى، وتدريب فريق المراجعة وضمان الجودة، ومبادرات مشاركة الأولياء والمجتمع، وتوظيف شركاء الصناعة واتفاقيات التعاون.</w:t>
      </w:r>
    </w:p>
    <w:p>
      <w:pPr>
        <w:pStyle w:val="BodyText"/>
      </w:pPr>
      <w:r>
        <w:t xml:space="preserve">تدير الأسابيع 3-4 إطلاق البرنامج التجريبي من خلال برامج تقديم ومراجعة المحتوى التجريبية المحدودة، وجمع التعليقات وتحسين النظام، وتحسين العمليات وتحسين سير العمل، والتحقق من ضمان الجودة والامتثال، وتقييم رضا أصحاب المصلحة والتعديل.</w:t>
      </w:r>
    </w:p>
    <w:p>
      <w:pPr>
        <w:pStyle w:val="Heading3"/>
      </w:pPr>
      <w:bookmarkStart w:id="119" w:name="X9ec5b4a6ef989cf6ccf0fb0008ab56ba5216055"/>
      <w:r>
        <w:t xml:space="preserve">المرحلة 2: تطوير ومراجعة المحتوى (الأشهر 4-6)</w:t>
      </w:r>
      <w:bookmarkEnd w:id="119"/>
    </w:p>
    <w:p>
      <w:pPr>
        <w:pStyle w:val="Heading4"/>
      </w:pPr>
      <w:bookmarkStart w:id="120" w:name="الشهر-4-إنشاء-المحتوى-الأولي"/>
      <w:r>
        <w:rPr>
          <w:b/>
        </w:rPr>
        <w:t xml:space="preserve">الشهر 4: إنشاء المحتوى الأولي</w:t>
      </w:r>
      <w:bookmarkEnd w:id="120"/>
    </w:p>
    <w:p>
      <w:pPr>
        <w:pStyle w:val="FirstParagraph"/>
      </w:pPr>
      <w:r>
        <w:t xml:space="preserve">تقوم الأسبوعان الأولان بحملات تقديم المحتوى بما في ذلك التواصل مع المدارس وتشجيع تقديم المحتوى، وتوزيع القوالب والإرشادات لمنشئي المحتوى، والدعم التقني والمساعدة لتطوير المحتوى، وتدريب ضمان الجودة وإعداد المراجعين، وتقديم ومعالجة المحتوى الأولي.</w:t>
      </w:r>
    </w:p>
    <w:p>
      <w:pPr>
        <w:pStyle w:val="BodyText"/>
      </w:pPr>
      <w:r>
        <w:t xml:space="preserve">تنفذ الأسابيع 3-4 عمليات المراجعة من خلال تفعيل وإدارة عملية المراجعة متعددة المراحل، وضمان الجودة والتحقق من الامتثال، وتكامل تعليقات أصحاب المصلحة وتحسين المحتوى، وإدارة دورة الموافقة والمراجعة، ومراقبة الأداء وتحسين العمليات.</w:t>
      </w:r>
    </w:p>
    <w:p>
      <w:pPr>
        <w:pStyle w:val="Heading4"/>
      </w:pPr>
      <w:bookmarkStart w:id="121" w:name="الشهر-5-تعزيز-جودة-المحتوى"/>
      <w:r>
        <w:rPr>
          <w:b/>
        </w:rPr>
        <w:t xml:space="preserve">الشهر 5: تعزيز جودة المحتوى</w:t>
      </w:r>
      <w:bookmarkEnd w:id="121"/>
    </w:p>
    <w:p>
      <w:pPr>
        <w:pStyle w:val="FirstParagraph"/>
      </w:pPr>
      <w:r>
        <w:t xml:space="preserve">تركز الأسبوعان الأولان على مبادرات تحسين الجودة بما في ذلك تقييم جودة المحتوى وتوصيات التحسين، وتحديد ونشر أفضل الممارسات، والتدريب والدعم الإضافي لمنشئي المحتوى، وتعليقات المراجعين وتحسين العمليات، ومراقبة وتحسين رضا أصحاب المصلحة.</w:t>
      </w:r>
    </w:p>
    <w:p>
      <w:pPr>
        <w:pStyle w:val="BodyText"/>
      </w:pPr>
      <w:r>
        <w:t xml:space="preserve">تتعامل الأسابيع 3-4 مع توسيع محفظة المحتوى من خلال فئات البرامج الإضافية وأنواع المحتوى، والمحتوى المتخصص للفئات العمرية والاحتياجات المختلفة، وتطوير وتكامل المحتوى متعدد الوسائط، وتعزيز محتوى إمكانية الوصول والإدماج، والتحقق من الحساسية والملاءمة الثقافية.</w:t>
      </w:r>
    </w:p>
    <w:p>
      <w:pPr>
        <w:pStyle w:val="Heading4"/>
      </w:pPr>
      <w:bookmarkStart w:id="122" w:name="الشهر-6-التحضير-لما-قبل-الإطلاق"/>
      <w:r>
        <w:rPr>
          <w:b/>
        </w:rPr>
        <w:t xml:space="preserve">الشهر 6: التحضير لما قبل الإطلاق</w:t>
      </w:r>
      <w:bookmarkEnd w:id="122"/>
    </w:p>
    <w:p>
      <w:pPr>
        <w:pStyle w:val="FirstParagraph"/>
      </w:pPr>
      <w:r>
        <w:t xml:space="preserve">تقوم الأسبوعان الأولان بضمان الجودة النهائي بما في ذلك مراجعة وتحقق المحتوى الشامل، واختبار وتحسين أداء النظام، واختبار تجربة المستخدم وتحسين الواجهة، وتقييم الأمان ومعالجة الثغرات، وتقييم استعداد أصحاب المصلحة والتحضير النهائي.</w:t>
      </w:r>
    </w:p>
    <w:p>
      <w:pPr>
        <w:pStyle w:val="BodyText"/>
      </w:pPr>
      <w:r>
        <w:t xml:space="preserve">تدير الأسابيع 3-4 التحضير للإطلاق من خلال تطوير حملة التسويق والتواصل، وتخطيط إشعار أصحاب المصلحة والمشاركة، وإعداد العلاقات الإعلامية والإعلان العام، وتفعيل تدريب الموظفين ونظام الدعم، وفحوصات النظام النهائية والتحقق من استعداد الإطلاق.</w:t>
      </w:r>
    </w:p>
    <w:p>
      <w:pPr>
        <w:pStyle w:val="Heading3"/>
      </w:pPr>
      <w:bookmarkStart w:id="123" w:name="X99b41323abfe02c5036ddc8009d0b6722695542"/>
      <w:r>
        <w:t xml:space="preserve">المرحلة 3: إطلاق المنصة والعمليات الأولية (الأشهر 7-9)</w:t>
      </w:r>
      <w:bookmarkEnd w:id="123"/>
    </w:p>
    <w:p>
      <w:pPr>
        <w:pStyle w:val="Heading4"/>
      </w:pPr>
      <w:bookmarkStart w:id="124" w:name="الشهر-7-الإطلاق-التجريبي-والاختبار"/>
      <w:r>
        <w:rPr>
          <w:b/>
        </w:rPr>
        <w:t xml:space="preserve">الشهر 7: الإطلاق التجريبي والاختبار</w:t>
      </w:r>
      <w:bookmarkEnd w:id="124"/>
    </w:p>
    <w:p>
      <w:pPr>
        <w:pStyle w:val="FirstParagraph"/>
      </w:pPr>
      <w:r>
        <w:t xml:space="preserve">تتعامل الأسبوعان الأولان مع الإصدار المحدود من خلال الإطلاق التجريبي لمجموعات مستخدمين ومصلحة مختارة، وجمع وتحليل تعليقات المستخدمين، ومراقبة وتحسين أداء النظام، وتحديد وحل المشاكل السريع، وتقييم وتحسين رضا أصحاب المصلحة.</w:t>
      </w:r>
    </w:p>
    <w:p>
      <w:pPr>
        <w:pStyle w:val="BodyText"/>
      </w:pPr>
      <w:r>
        <w:t xml:space="preserve">تدير الأسابيع 3-4 التوسع والتحسين بما في ذلك التوسع التدريجي لقاعدة المستخدمين وتوفير الوصول، ومراقبة وتحسين جودة المحتوى، وتحسين تجربة المستخدم وتعزيز الواجهة، وتحسين مشاركة أصحاب المصلحة ونظام الدعم، وتتبع وتحليل مقاييس الأداء.</w:t>
      </w:r>
    </w:p>
    <w:p>
      <w:pPr>
        <w:pStyle w:val="Heading4"/>
      </w:pPr>
      <w:bookmarkStart w:id="125" w:name="الشهر-8-الإطلاق-العام-الكامل"/>
      <w:r>
        <w:rPr>
          <w:b/>
        </w:rPr>
        <w:t xml:space="preserve">الشهر 8: الإطلاق العام الكامل</w:t>
      </w:r>
      <w:bookmarkEnd w:id="125"/>
    </w:p>
    <w:p>
      <w:pPr>
        <w:pStyle w:val="FirstParagraph"/>
      </w:pPr>
      <w:r>
        <w:t xml:space="preserve">تقوم الأسبوعان الأولان بحملات الإطلاق العام بما في ذلك الإطلاق الرسمي للمنصة والإعلان العام، وحملات إعلامية وتواصل أصحاب المصلحة، ودعم تسجيل المستخدمين والإدماج، وترويج المحتوى وبناء الوعي، وتشجيع المشاركة المجتمعية والمشاركة.</w:t>
      </w:r>
    </w:p>
    <w:p>
      <w:pPr>
        <w:pStyle w:val="BodyText"/>
      </w:pPr>
      <w:r>
        <w:t xml:space="preserve">تقدم الأسابيع 3-4 دعم الإطلاق والتحسين من خلال توفير دعم المستخدمين والمساعدة التقنية، ومراقبة وتحسين أداء النظام، وضمان جودة المحتوى والتحسين المستمر، وتكامل واستجابة تعليقات أصحاب المصلحة، وتحليل وتقرير مقاييس الأداء.</w:t>
      </w:r>
    </w:p>
    <w:p>
      <w:pPr>
        <w:pStyle w:val="Heading4"/>
      </w:pPr>
      <w:bookmarkStart w:id="126" w:name="الشهر-9-تقييم-ما-بعد-الإطلاق"/>
      <w:r>
        <w:rPr>
          <w:b/>
        </w:rPr>
        <w:t xml:space="preserve">الشهر 9: تقييم ما بعد الإطلاق</w:t>
      </w:r>
      <w:bookmarkEnd w:id="126"/>
    </w:p>
    <w:p>
      <w:pPr>
        <w:pStyle w:val="FirstParagraph"/>
      </w:pPr>
      <w:r>
        <w:t xml:space="preserve">تقوم الأسبوعان الأولان بتقييم الأداء بما في ذلك تقييم الأداء الشامل للمنصة، وتحليل رضا ومشاركة المستخدمين، وتقييم جودة وفعالية المحتوى، وتجميع وتحليل تعليقات أصحاب المصلحة، وتقييم الأداء والتقييم التقني للنظام.</w:t>
      </w:r>
    </w:p>
    <w:p>
      <w:pPr>
        <w:pStyle w:val="BodyText"/>
      </w:pPr>
      <w:r>
        <w:t xml:space="preserve">تتعامل الأسابيع 3-4 مع تخطيط التحسين من خلال توصيات التحسين وتحديد الأولويات، وتخصيص الموارد وتخطيط التنفيذ، وتواصل أصحاب المصلحة وإدارة التوقعات، وتحسين العمليات وتعزيز الكفاءة، والتخطيط الاستراتيجي لتطوير المرحلة التالية.</w:t>
      </w:r>
    </w:p>
    <w:p>
      <w:pPr>
        <w:pStyle w:val="Heading3"/>
      </w:pPr>
      <w:bookmarkStart w:id="127" w:name="المرحلة-4-التحسين-والنمو-الأشهر-10-12"/>
      <w:r>
        <w:t xml:space="preserve">المرحلة 4: التحسين والنمو (الأشهر 10-12)</w:t>
      </w:r>
      <w:bookmarkEnd w:id="127"/>
    </w:p>
    <w:p>
      <w:pPr>
        <w:pStyle w:val="Heading4"/>
      </w:pPr>
      <w:bookmarkStart w:id="128" w:name="الشهر-10-تحسين-النظام"/>
      <w:r>
        <w:rPr>
          <w:b/>
        </w:rPr>
        <w:t xml:space="preserve">الشهر 10: تحسين النظام</w:t>
      </w:r>
      <w:bookmarkEnd w:id="128"/>
    </w:p>
    <w:p>
      <w:pPr>
        <w:pStyle w:val="FirstParagraph"/>
      </w:pPr>
      <w:r>
        <w:t xml:space="preserve">تركز الأسبوعان الأولان على تعزيز الأداء بما في ذلك تحسين وتعزيز أداء النظام، وتحسين تجربة المستخدم وتحسين الواجهة، وتحسين وتوحيد جودة المحتوى، وتحسين كفاءة العمليات والأتمتة، ومبادرات تحسين رضا أصحاب المصلحة.</w:t>
      </w:r>
    </w:p>
    <w:p>
      <w:pPr>
        <w:pStyle w:val="BodyText"/>
      </w:pPr>
      <w:r>
        <w:t xml:space="preserve">تتعامل الأسابيع 3-4 مع تعزيز الميزات من خلال تطوير وتنفيذ الميزات الجديدة، وتكامل واختبار الوظائف المتقدمة، وتكامل وتخصيص تعليقات المستخدمين، وتعزيز إمكانية الوصول والإدماج، وتكامل الابتكار والتكنولوجيا.</w:t>
      </w:r>
    </w:p>
    <w:p>
      <w:pPr>
        <w:pStyle w:val="Heading4"/>
      </w:pPr>
      <w:bookmarkStart w:id="129" w:name="الشهر-11-التوسع-والتوسيع"/>
      <w:r>
        <w:rPr>
          <w:b/>
        </w:rPr>
        <w:t xml:space="preserve">الشهر 11: التوسع والتوسيع</w:t>
      </w:r>
      <w:bookmarkEnd w:id="129"/>
    </w:p>
    <w:p>
      <w:pPr>
        <w:pStyle w:val="FirstParagraph"/>
      </w:pPr>
      <w:r>
        <w:t xml:space="preserve">تدير الأسبوعان الأولان توسيع محفظة المحتوى بما في ذلك فئات المحتوى الإضافية وأنواع البرامج، والتوسع الجغرافي والتخصيص الإقليمي، والمحتوى المتخصص لاحتياجات المستخدمين المتنوعة، وتوسيع الشراكة وتعزيز التعاون، وتوسيع وتوحيد ضمان الجودة.</w:t>
      </w:r>
    </w:p>
    <w:p>
      <w:pPr>
        <w:pStyle w:val="BodyText"/>
      </w:pPr>
      <w:r>
        <w:t xml:space="preserve">تركز الأسابيع 3-4 على نمو شبكة أصحاب المصلحة من خلال توظيف وإدماج أصحاب المصلحة الجدد، وتطوير الشراكة وتوسيع التعاون، وبناء المجتمع وتعزيز المشاركة، وتوسيع التطوير المهني والتدريب، وتنفيذ برامج الاعتراف والحوافز.</w:t>
      </w:r>
    </w:p>
    <w:p>
      <w:pPr>
        <w:pStyle w:val="Heading4"/>
      </w:pPr>
      <w:bookmarkStart w:id="130" w:name="X556bd8a19ac9808ac9868db6efee13681f57555"/>
      <w:r>
        <w:rPr>
          <w:b/>
        </w:rPr>
        <w:t xml:space="preserve">الشهر 12: التخطيط الاستراتيجي والتطوير المستقبلي</w:t>
      </w:r>
      <w:bookmarkEnd w:id="130"/>
    </w:p>
    <w:p>
      <w:pPr>
        <w:pStyle w:val="FirstParagraph"/>
      </w:pPr>
      <w:r>
        <w:t xml:space="preserve">تقوم الأسبوعان الأولان بمراجعة الأداء السنوي بما في ذلك تقييم الأداء السنوي الشامل، وتقييم وتحليل تحقيق الأهداف، وقياس رضا أصحاب المصلحة والتأثير، ومراجعة الأداء المالي واستخدام الموارد، وتحديد النجاح الاستراتيجي والتحديات.</w:t>
      </w:r>
    </w:p>
    <w:p>
      <w:pPr>
        <w:pStyle w:val="BodyText"/>
      </w:pPr>
      <w:r>
        <w:t xml:space="preserve">تتعامل الأسابيع 3-4 مع التخطيط والتطوير المستقبلي من خلال التخطيط الاستراتيجي للسنة الثانية وما بعدها، وتطوير خارطة طريق الابتكار والتكنولوجيا، واستراتيجية مشاركة أصحاب المصلحة والشراكة، وتخطيط الموارد وتطوير الميزانية، والتحسين المستمر وتخطيط التميز.</w:t>
      </w:r>
    </w:p>
    <w:p>
      <w:r>
        <w:pict>
          <v:rect style="width:0;height:1.5pt" o:hralign="center" o:hrstd="t" o:hr="t"/>
        </w:pict>
      </w:r>
    </w:p>
    <w:p>
      <w:pPr>
        <w:pStyle w:val="Heading2"/>
      </w:pPr>
      <w:bookmarkStart w:id="131" w:name="الملاحق"/>
      <w:r>
        <w:t xml:space="preserve">الملاحق</w:t>
      </w:r>
      <w:bookmarkEnd w:id="131"/>
    </w:p>
    <w:p>
      <w:pPr>
        <w:pStyle w:val="Heading3"/>
      </w:pPr>
      <w:bookmarkStart w:id="132" w:name="الملحق-أ-قوالب-تقديم-المحتوى"/>
      <w:r>
        <w:t xml:space="preserve">الملحق أ: قوالب تقديم المحتوى</w:t>
      </w:r>
      <w:bookmarkEnd w:id="132"/>
    </w:p>
    <w:p>
      <w:pPr>
        <w:pStyle w:val="Heading4"/>
      </w:pPr>
      <w:bookmarkStart w:id="133" w:name="قالب-معلومات-البرنامج"/>
      <w:r>
        <w:rPr>
          <w:b/>
        </w:rPr>
        <w:t xml:space="preserve">قالب معلومات البرنامج</w:t>
      </w:r>
      <w:bookmarkEnd w:id="133"/>
    </w:p>
    <w:p>
      <w:pPr>
        <w:pStyle w:val="FirstParagraph"/>
      </w:pPr>
      <w:r>
        <w:t xml:space="preserve">يتضمن نموذج تقديم البرنامج الشامل معلومات البرنامج الأساسية التي تغطي اسم البرنامج والمدرسة/المؤسسة ونوع البرنامج (أكاديمي/لامنهجي/مهني/احتياجات خاصة) والفئة العمرية المستهدفة ومدة البرنامج والحد الأقصى لسعة التسجيل.</w:t>
      </w:r>
    </w:p>
    <w:p>
      <w:pPr>
        <w:pStyle w:val="BodyText"/>
      </w:pPr>
      <w:r>
        <w:t xml:space="preserve">تشمل أقسام وصف البرنامج بيان المهمة وأهداف البرنامج والميزات الفريدة ونتائج التعلم. تتضمن تفاصيل المنهج مجالات الموضوع وطرق التدريس وأساليب التقييم ومكونات تكامل التكنولوجيا.</w:t>
      </w:r>
    </w:p>
    <w:p>
      <w:pPr>
        <w:pStyle w:val="BodyText"/>
      </w:pPr>
      <w:r>
        <w:t xml:space="preserve">تغطي وثائق الموارد والمرافق مؤهلات أعضاء هيئة التدريس ووصف المرافق والمعدات والمواد وخدمات الدعم. تتضمن معلومات القبول والتسجيل المتطلبات الأساسية وعمليات التقديم وهياكل الرسوم وتوافر المساعدة المالية.</w:t>
      </w:r>
    </w:p>
    <w:p>
      <w:pPr>
        <w:pStyle w:val="BodyText"/>
      </w:pPr>
      <w:r>
        <w:t xml:space="preserve">تشمل معلومات الاتصال تفاصيل منسق البرنامج وأرقام الهواتف وعناوين البريد الإلكتروني ومعلومات الموقع الإلكتروني.</w:t>
      </w:r>
    </w:p>
    <w:p>
      <w:pPr>
        <w:pStyle w:val="Heading3"/>
      </w:pPr>
      <w:bookmarkStart w:id="134" w:name="الملحق-ب-معايير-تقييم-الجودة"/>
      <w:r>
        <w:t xml:space="preserve">الملحق ب: معايير تقييم الجودة</w:t>
      </w:r>
      <w:bookmarkEnd w:id="134"/>
    </w:p>
    <w:p>
      <w:pPr>
        <w:pStyle w:val="Heading4"/>
      </w:pPr>
      <w:bookmarkStart w:id="135" w:name="معيار-جودة-المحتوى-التعليمي"/>
      <w:r>
        <w:rPr>
          <w:b/>
        </w:rPr>
        <w:t xml:space="preserve">معيار جودة المحتوى التعليمي</w:t>
      </w:r>
      <w:bookmarkEnd w:id="135"/>
    </w:p>
    <w:p>
      <w:pPr>
        <w:pStyle w:val="FirstParagraph"/>
      </w:pPr>
      <w:r>
        <w:t xml:space="preserve">يقيم معيار تقييم جودة المحتوى خمسة مجالات رئيسية مع تخصيصات نقاط محددة. يتراوح توافق المناهج (25 نقطة) من ممتاز (23-25 نقطة) للتوافق الكامل مع معايير دولة الإمارات العربية المتحدة إلى غير مرضٍ (0-7 نقاط) للتوافق الضعيف الذي يتطلب مراجعة كبيرة.</w:t>
      </w:r>
    </w:p>
    <w:p>
      <w:pPr>
        <w:pStyle w:val="BodyText"/>
      </w:pPr>
      <w:r>
        <w:t xml:space="preserve">يمتد تقييم القيمة التعليمية (25 نقطة) من ممتاز (23-25 نقطة) للقيمة التعليمية العالية ونتائج التعلم إلى غير مرضٍ (0-7 نقاط) للقيمة التعليمية الضعيفة. يتراوح تقييم دقة المحتوى (20 نقطة) من ممتاز (18-20 نقطة) للمحتوى الدقيق والحالي تماماً إلى غير مرضٍ (0-5 نقاط) لمشاكل الدقة الكبيرة.</w:t>
      </w:r>
    </w:p>
    <w:p>
      <w:pPr>
        <w:pStyle w:val="BodyText"/>
      </w:pPr>
      <w:r>
        <w:t xml:space="preserve">يغطي تقييم جودة العرض (15 نقطة) ممتاز (14-15 نقطة) للعرض المهني والجذاب إلى غير مرضٍ (0-4 نقاط) للعرض غير المقبول. يمتد تقييم الملاءمة الثقافية (15 نقطة) من ممتاز (14-15 نقطة) للمحتوى المناسب والحساس تماماً إلى غير مرضٍ (0-4 نقاط) للمحتوى غير المناسب.</w:t>
      </w:r>
    </w:p>
    <w:p>
      <w:pPr>
        <w:pStyle w:val="BodyText"/>
      </w:pPr>
      <w:r>
        <w:t xml:space="preserve">تحدد النقاط الإجمالية توصيات الموافقة مع 90-100 نقطة تتلقى موافقة فورية، و75-89 نقطة تتلقى موافقة مشروطة، و60-74 نقطة تتطلب مراجعة كبيرة، وأقل من 60 نقطة تؤدي إلى الرفض.</w:t>
      </w:r>
    </w:p>
    <w:p>
      <w:pPr>
        <w:pStyle w:val="Heading3"/>
      </w:pPr>
      <w:bookmarkStart w:id="136" w:name="الملحق-ج-إطار-التواصل-مع-أصحاب-المصلحة"/>
      <w:r>
        <w:t xml:space="preserve">الملحق ج: إطار التواصل مع أصحاب المصلحة</w:t>
      </w:r>
      <w:bookmarkEnd w:id="136"/>
    </w:p>
    <w:p>
      <w:pPr>
        <w:pStyle w:val="Heading4"/>
      </w:pPr>
      <w:bookmarkStart w:id="137" w:name="مصفوفة-قناة-التواصل"/>
      <w:r>
        <w:rPr>
          <w:b/>
        </w:rPr>
        <w:t xml:space="preserve">مصفوفة قناة التواصل</w:t>
      </w:r>
      <w:bookmarkEnd w:id="137"/>
    </w:p>
    <w:p>
      <w:pPr>
        <w:pStyle w:val="FirstParagraph"/>
      </w:pPr>
      <w:r>
        <w:t xml:space="preserve">يتضمن التواصل مع أصحاب المصلحة الداخليين قيادة هيئة المعرفة والتنمية البشرية التي تتلقى إحاطات تنفيذية وتقارير رسمية مع تحديثات استراتيجية شهرية ومراجعات فصلية تغطي مقاييس الأداء والقضايا الاستراتيجية وتوصيات السياسة.</w:t>
      </w:r>
    </w:p>
    <w:p>
      <w:pPr>
        <w:pStyle w:val="BodyText"/>
      </w:pPr>
      <w:r>
        <w:t xml:space="preserve">تستخدم فرق إدارة المحتوى اجتماعات الفريق ومنصات التعاون مع اجتماعات تشغيلية أسبوعية وتحديثات يومية تغطي حالة سير العمل وقضايا الجودة وتحسينات العملية. يصل الموظفون التقنيون والدعم إلى الوثائق التقنية وجلسات التدريب حسب الحاجة للتحديثات والتدريب، وتغطي تحديثات النظام وتغييرات الإجراءات والمتطلبات التقنية.</w:t>
      </w:r>
    </w:p>
    <w:p>
      <w:pPr>
        <w:pStyle w:val="BodyText"/>
      </w:pPr>
      <w:r>
        <w:t xml:space="preserve">يشمل التواصل مع أصحاب المصلحة الخارجيين المدارس والمؤسسات التعليمية التي تستخدم بوابات مخصصة وتواصل بالبريد الإلكتروني وورش عمل مع نشرات إخبارية شهرية وجلسات تدريب فصلية تغطي الإرشادات وأفضل الممارسات والاعتراف وموارد الدعم.</w:t>
      </w:r>
    </w:p>
    <w:p>
      <w:pPr>
        <w:pStyle w:val="BodyText"/>
      </w:pPr>
      <w:r>
        <w:t xml:space="preserve">يتلقى الأولياء والطلاب إشعارات المنصة وتحديثات وسائل التواصل الاجتماعي وأحداث المجتمع مع تحديثات منتظمة وحملات موسمية تغطي البرامج الجديدة وقصص النجاح ومواعيد التقديم النهائية. يشارك شركاء الصناعة والمجتمع في اجتماعات الشراكة والشبكات المهنية مع مراجعات شراكة فصلية ومؤتمرات سنوية تغطي فرص التعاون واتجاهات الصناعة والفوائد المتبادلة.</w:t>
      </w:r>
    </w:p>
    <w:p>
      <w:pPr>
        <w:pStyle w:val="BodyText"/>
      </w:pPr>
      <w:r>
        <w:t xml:space="preserve">يتضمن التواصل في الأزمات أنظمة الإشعار الطارئ مع أنظمة تنبيه متعددة القنوات يتم تفعيلها فوراً للقضايا الحرجة، وتغطي أوصاف المشاكل والتأثيرات والجداول الزمنية للحل. تستخدم العلاقات الإعلامية البيانات الصحفية والإحاطات الإعلامية حسب الحاجة للقضايا العامة، وتغطي البيانات الرسمية والإجراءات التصحيحية وتدابير الوقاية المستقبلية.</w:t>
      </w:r>
    </w:p>
    <w:p>
      <w:pPr>
        <w:pStyle w:val="Heading3"/>
      </w:pPr>
      <w:bookmarkStart w:id="138" w:name="الملحق-د-لوحة-قياس-الأداء"/>
      <w:r>
        <w:t xml:space="preserve">الملحق د: لوحة قياس الأداء</w:t>
      </w:r>
      <w:bookmarkEnd w:id="138"/>
    </w:p>
    <w:p>
      <w:pPr>
        <w:pStyle w:val="Heading4"/>
      </w:pPr>
      <w:bookmarkStart w:id="139" w:name="تتبع-مؤشرات-الأداء-الرئيسية"/>
      <w:r>
        <w:rPr>
          <w:b/>
        </w:rPr>
        <w:t xml:space="preserve">تتبع مؤشرات الأداء الرئيسية</w:t>
      </w:r>
      <w:bookmarkEnd w:id="139"/>
    </w:p>
    <w:p>
      <w:pPr>
        <w:pStyle w:val="FirstParagraph"/>
      </w:pPr>
      <w:r>
        <w:t xml:space="preserve">يتضمن تتبع مقاييس جودة المحتوى معدلات دقة المحتوى المستهدفة 99.5%، ونقاط رضا المستخدمين المستهدفة 4.5/5.0، ومعدلات إكمال البرنامج المستهدفة 92%، ومعدلات حداثة المحتوى المستهدفة 95% محدثة خلال 12 شهراً.</w:t>
      </w:r>
    </w:p>
    <w:p>
      <w:pPr>
        <w:pStyle w:val="BodyText"/>
      </w:pPr>
      <w:r>
        <w:t xml:space="preserve">تشمل مقاييس الكفاءة التشغيلية متوسط أوقات الموافقة المستهدفة 18 يوماً، ومعدلات الموافقة في المرور الأول المستهدفة 60%، ومعدلات نجاح المراجعة المستهدفة 80% موافقة بعد المراجعة الأولى، وأوقات استجابة أصحاب المصلحة المستهدفة 24 ساعة.</w:t>
      </w:r>
    </w:p>
    <w:p>
      <w:pPr>
        <w:pStyle w:val="BodyText"/>
      </w:pPr>
      <w:r>
        <w:t xml:space="preserve">تتضمن مقاييس مشاركة المستخدمين المستخدمين النشطين الشهريين المستهدفين نمو 25% سنوياً، ومتوسط مدة الجلسة المستهدفة 8 دقائق، ومعدلات المستخدمين العائدين المستهدفة 60% خلال 30 يوماً، ومعدلات مشاركة المحتوى المستهدفة 30% من المستخدمين يشاركون المحتوى.</w:t>
      </w:r>
    </w:p>
    <w:p>
      <w:pPr>
        <w:pStyle w:val="BodyText"/>
      </w:pPr>
      <w:r>
        <w:t xml:space="preserve">تغطي مقاييس التأثير معدلات تسجيل البرنامج المستهدفة تحويل 30%، وتحسين أداء الطلاب المستهدف تحسين 20%، ومعدلات توظيف الخريجين المستهدفة 85% خلال 6 أشهر، ورضا أصحاب المصلحة المستهدف 4.4/5.0.</w:t>
      </w:r>
    </w:p>
    <w:p>
      <w:pPr>
        <w:pStyle w:val="BodyText"/>
      </w:pPr>
      <w:r>
        <w:t xml:space="preserve">تتضمن مقاييس أداء النظام وقت تشغيل المنصة المستهدف 99.9%، وأوقات تحميل الصفحة المستهدفة تحت 3 ثوانٍ، والتوافق مع الهاتف المحمول المستهدف 95%، وامتثال إمكانية الوصول المستهدف 100% امتثال WCAG 2.1 AA.</w:t>
      </w:r>
    </w:p>
    <w:p>
      <w:r>
        <w:pict>
          <v:rect style="width:0;height:1.5pt" o:hralign="center" o:hrstd="t" o:hr="t"/>
        </w:pict>
      </w:r>
    </w:p>
    <w:p>
      <w:pPr>
        <w:pStyle w:val="FirstParagraph"/>
      </w:pPr>
      <w:r>
        <w:rPr>
          <w:b/>
        </w:rPr>
        <w:t xml:space="preserve">إصدار الوثيقة</w:t>
      </w:r>
      <w:r>
        <w:t xml:space="preserve">: 1.0</w:t>
      </w:r>
      <w:r>
        <w:br/>
      </w:r>
      <w:r>
        <w:rPr>
          <w:b/>
        </w:rPr>
        <w:t xml:space="preserve">آخر تحديث</w:t>
      </w:r>
      <w:r>
        <w:t xml:space="preserve">: [التاريخ الحالي]</w:t>
      </w:r>
      <w:r>
        <w:br/>
      </w:r>
      <w:r>
        <w:rPr>
          <w:b/>
        </w:rPr>
        <w:t xml:space="preserve">تاريخ المراجعة التالية</w:t>
      </w:r>
      <w:r>
        <w:t xml:space="preserve">: [جدول المراجعة الفصلية]</w:t>
      </w:r>
      <w:r>
        <w:br/>
      </w:r>
      <w:r>
        <w:rPr>
          <w:b/>
        </w:rPr>
        <w:t xml:space="preserve">مالك الوثيقة</w:t>
      </w:r>
      <w:r>
        <w:t xml:space="preserve">: مكتب إدارة المحتوى، هيئة المعرفة والتنمية البشرية</w:t>
      </w:r>
      <w:r>
        <w:br/>
      </w:r>
      <w:r>
        <w:rPr>
          <w:b/>
        </w:rPr>
        <w:t xml:space="preserve">سلطة الموافقة</w:t>
      </w:r>
      <w:r>
        <w:t xml:space="preserve">: لجنة توجيه المحتوى</w:t>
      </w:r>
    </w:p>
    <w:p>
      <w:r>
        <w:pict>
          <v:rect style="width:0;height:1.5pt" o:hralign="center" o:hrstd="t" o:hr="t"/>
        </w:pict>
      </w:r>
    </w:p>
    <w:p>
      <w:pPr>
        <w:pStyle w:val="FirstParagraph"/>
      </w:pPr>
      <w:r>
        <w:rPr>
          <w:i/>
        </w:rPr>
        <w:t xml:space="preserve">تعمل هذه الوثيقة كدليل شامل لإدارة محتوى وحوكمة صفحة البرامج المدرسية. التحديثات والمراجعات المنتظمة تضمن التوافق المستمر مع أولويات التعليم الوطنية الإماراتية واحتياجات أصحاب المصلحة.</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6" Target="media/rId56.png" /><Relationship Type="http://schemas.openxmlformats.org/officeDocument/2006/relationships/image" Id="rId32" Target="media/rId32.png"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2025-09-24T02:23:10Z</dcterms:created>
  <dcterms:modified xsi:type="dcterms:W3CDTF">2025-09-24T02:23:10Z</dcterms:modified>
</cp:coreProperties>
</file>

<file path=docProps/custom.xml><?xml version="1.0" encoding="utf-8"?>
<Properties xmlns="http://schemas.openxmlformats.org/officeDocument/2006/custom-properties" xmlns:vt="http://schemas.openxmlformats.org/officeDocument/2006/docPropsVTypes"/>
</file>