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6e84cd848589e016b817fd78267fd3d8cafaa0"/>
      <w:r>
        <w:t xml:space="preserve">School Programs Page: Content Management &amp; Governance Guide</w:t>
      </w:r>
      <w:bookmarkEnd w:id="20"/>
    </w:p>
    <w:p>
      <w:pPr>
        <w:pStyle w:val="Heading2"/>
      </w:pPr>
      <w:bookmarkStart w:id="21" w:name="executive-summary"/>
      <w:r>
        <w:t xml:space="preserve">Executive Summary</w:t>
      </w:r>
      <w:bookmarkEnd w:id="21"/>
    </w:p>
    <w:p>
      <w:pPr>
        <w:pStyle w:val="FirstParagraph"/>
      </w:pPr>
      <w:r>
        <w:t xml:space="preserve">This comprehensive guide outlines the content management strategy, workflow processes, and governance structure for the School Programs page within the Emirati Pathways Platform. The School Programs page serves as the first touchpoint in the Education Pathway, connecting Emirati students and families with quality educational opportunities across the UAE.</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hyperlink w:anchor="content-management-strategy">
        <w:r>
          <w:rPr>
            <w:rStyle w:val="Hyperlink"/>
          </w:rPr>
          <w:t xml:space="preserve">Content Management Strategy</w:t>
        </w:r>
      </w:hyperlink>
    </w:p>
    <w:p>
      <w:pPr>
        <w:numPr>
          <w:ilvl w:val="0"/>
          <w:numId w:val="1001"/>
        </w:numPr>
        <w:pStyle w:val="Compact"/>
      </w:pPr>
      <w:hyperlink w:anchor="detailed-content-workflow">
        <w:r>
          <w:rPr>
            <w:rStyle w:val="Hyperlink"/>
          </w:rPr>
          <w:t xml:space="preserve">Detailed Content Workflow</w:t>
        </w:r>
      </w:hyperlink>
    </w:p>
    <w:p>
      <w:pPr>
        <w:numPr>
          <w:ilvl w:val="0"/>
          <w:numId w:val="1001"/>
        </w:numPr>
        <w:pStyle w:val="Compact"/>
      </w:pPr>
      <w:hyperlink w:anchor="governance-structure">
        <w:r>
          <w:rPr>
            <w:rStyle w:val="Hyperlink"/>
          </w:rPr>
          <w:t xml:space="preserve">Governance Structure</w:t>
        </w:r>
      </w:hyperlink>
    </w:p>
    <w:p>
      <w:pPr>
        <w:numPr>
          <w:ilvl w:val="0"/>
          <w:numId w:val="1001"/>
        </w:numPr>
        <w:pStyle w:val="Compact"/>
      </w:pPr>
      <w:hyperlink w:anchor="stakeholder-relationships">
        <w:r>
          <w:rPr>
            <w:rStyle w:val="Hyperlink"/>
          </w:rPr>
          <w:t xml:space="preserve">Stakeholder Relationships</w:t>
        </w:r>
      </w:hyperlink>
    </w:p>
    <w:p>
      <w:pPr>
        <w:numPr>
          <w:ilvl w:val="0"/>
          <w:numId w:val="1001"/>
        </w:numPr>
        <w:pStyle w:val="Compact"/>
      </w:pPr>
      <w:hyperlink w:anchor="quality-assurance-framework">
        <w:r>
          <w:rPr>
            <w:rStyle w:val="Hyperlink"/>
          </w:rPr>
          <w:t xml:space="preserve">Quality Assurance Framework</w:t>
        </w:r>
      </w:hyperlink>
    </w:p>
    <w:p>
      <w:pPr>
        <w:numPr>
          <w:ilvl w:val="0"/>
          <w:numId w:val="1001"/>
        </w:numPr>
        <w:pStyle w:val="Compact"/>
      </w:pPr>
      <w:hyperlink w:anchor="performance-metrics--kpis">
        <w:r>
          <w:rPr>
            <w:rStyle w:val="Hyperlink"/>
          </w:rPr>
          <w:t xml:space="preserve">Performance Metrics &amp; KPIs</w:t>
        </w:r>
      </w:hyperlink>
    </w:p>
    <w:p>
      <w:pPr>
        <w:numPr>
          <w:ilvl w:val="0"/>
          <w:numId w:val="1001"/>
        </w:numPr>
        <w:pStyle w:val="Compact"/>
      </w:pPr>
      <w:hyperlink w:anchor="risk-management">
        <w:r>
          <w:rPr>
            <w:rStyle w:val="Hyperlink"/>
          </w:rPr>
          <w:t xml:space="preserve">Risk Management</w:t>
        </w:r>
      </w:hyperlink>
    </w:p>
    <w:p>
      <w:pPr>
        <w:numPr>
          <w:ilvl w:val="0"/>
          <w:numId w:val="1001"/>
        </w:numPr>
        <w:pStyle w:val="Compact"/>
      </w:pPr>
      <w:hyperlink w:anchor="implementation-timeline">
        <w:r>
          <w:rPr>
            <w:rStyle w:val="Hyperlink"/>
          </w:rPr>
          <w:t xml:space="preserve">Implementation Timeline</w:t>
        </w:r>
      </w:hyperlink>
    </w:p>
    <w:p>
      <w:pPr>
        <w:numPr>
          <w:ilvl w:val="0"/>
          <w:numId w:val="1001"/>
        </w:numPr>
        <w:pStyle w:val="Compact"/>
      </w:pPr>
      <w:hyperlink w:anchor="appendices">
        <w:r>
          <w:rPr>
            <w:rStyle w:val="Hyperlink"/>
          </w:rPr>
          <w:t xml:space="preserve">Appendices</w:t>
        </w:r>
      </w:hyperlink>
    </w:p>
    <w:p>
      <w:r>
        <w:pict>
          <v:rect style="width:0;height:1.5pt" o:hralign="center" o:hrstd="t" o:hr="t"/>
        </w:pict>
      </w:r>
    </w:p>
    <w:p>
      <w:pPr>
        <w:pStyle w:val="Heading2"/>
      </w:pPr>
      <w:bookmarkStart w:id="23" w:name="content-management-strategy"/>
      <w:r>
        <w:t xml:space="preserve">Content Management Strategy</w:t>
      </w:r>
      <w:bookmarkEnd w:id="23"/>
    </w:p>
    <w:p>
      <w:pPr>
        <w:pStyle w:val="Heading3"/>
      </w:pPr>
      <w:bookmarkStart w:id="24" w:name="overview"/>
      <w:r>
        <w:t xml:space="preserve">Overview</w:t>
      </w:r>
      <w:bookmarkEnd w:id="24"/>
    </w:p>
    <w:p>
      <w:pPr>
        <w:pStyle w:val="FirstParagraph"/>
      </w:pPr>
      <w:r>
        <w:t xml:space="preserve">The School Programs page requires a hybrid content management approach that balances centralized quality control with distributed content creation. This ensures educational excellence while enabling scalability and real-time updates from educational institutions across the UAE.</w:t>
      </w:r>
    </w:p>
    <w:p>
      <w:pPr>
        <w:pStyle w:val="Heading3"/>
      </w:pPr>
      <w:bookmarkStart w:id="25" w:name="content-ownership-structure"/>
      <w:r>
        <w:t xml:space="preserve">Content Ownership Structure</w:t>
      </w:r>
      <w:bookmarkEnd w:id="25"/>
    </w:p>
    <w:p>
      <w:pPr>
        <w:pStyle w:val="Heading4"/>
      </w:pPr>
      <w:bookmarkStart w:id="26" w:name="primary-content-creators"/>
      <w:r>
        <w:rPr>
          <w:b/>
        </w:rPr>
        <w:t xml:space="preserve">Primary Content Creators</w:t>
      </w:r>
      <w:bookmarkEnd w:id="26"/>
    </w:p>
    <w:p>
      <w:pPr>
        <w:numPr>
          <w:ilvl w:val="0"/>
          <w:numId w:val="1002"/>
        </w:numPr>
        <w:pStyle w:val="Compact"/>
      </w:pPr>
      <w:r>
        <w:rPr>
          <w:b/>
        </w:rPr>
        <w:t xml:space="preserve">Knowledge and Human Development Authority (KHDA) in alignment with the Ministry of Education</w:t>
      </w:r>
      <w:r>
        <w:t xml:space="preserve"> </w:t>
      </w:r>
      <w:r>
        <w:t xml:space="preserve">content teams provide strategic oversight and policy alignment</w:t>
      </w:r>
    </w:p>
    <w:p>
      <w:pPr>
        <w:numPr>
          <w:ilvl w:val="0"/>
          <w:numId w:val="1002"/>
        </w:numPr>
        <w:pStyle w:val="Compact"/>
      </w:pPr>
      <w:r>
        <w:rPr>
          <w:b/>
        </w:rPr>
        <w:t xml:space="preserve">Individual schools</w:t>
      </w:r>
      <w:r>
        <w:t xml:space="preserve"> </w:t>
      </w:r>
      <w:r>
        <w:t xml:space="preserve">and educational institutions contribute program-specific details</w:t>
      </w:r>
    </w:p>
    <w:p>
      <w:pPr>
        <w:numPr>
          <w:ilvl w:val="0"/>
          <w:numId w:val="1002"/>
        </w:numPr>
        <w:pStyle w:val="Compact"/>
      </w:pPr>
      <w:r>
        <w:rPr>
          <w:b/>
        </w:rPr>
        <w:t xml:space="preserve">Educational consultants</w:t>
      </w:r>
      <w:r>
        <w:t xml:space="preserve"> </w:t>
      </w:r>
      <w:r>
        <w:t xml:space="preserve">and curriculum specialists provide quality assurance support</w:t>
      </w:r>
    </w:p>
    <w:p>
      <w:pPr>
        <w:pStyle w:val="Heading4"/>
      </w:pPr>
      <w:bookmarkStart w:id="27" w:name="content-control-framework"/>
      <w:r>
        <w:rPr>
          <w:b/>
        </w:rPr>
        <w:t xml:space="preserve">Content Control Framework</w:t>
      </w:r>
      <w:bookmarkEnd w:id="27"/>
    </w:p>
    <w:p>
      <w:pPr>
        <w:numPr>
          <w:ilvl w:val="0"/>
          <w:numId w:val="1003"/>
        </w:numPr>
        <w:pStyle w:val="Compact"/>
      </w:pPr>
      <w:r>
        <w:rPr>
          <w:b/>
        </w:rPr>
        <w:t xml:space="preserve">Centralized Approval</w:t>
      </w:r>
      <w:r>
        <w:t xml:space="preserve">: KHDA maintains editorial oversight and final approval authority</w:t>
      </w:r>
    </w:p>
    <w:p>
      <w:pPr>
        <w:numPr>
          <w:ilvl w:val="0"/>
          <w:numId w:val="1003"/>
        </w:numPr>
        <w:pStyle w:val="Compact"/>
      </w:pPr>
      <w:r>
        <w:rPr>
          <w:b/>
        </w:rPr>
        <w:t xml:space="preserve">Distributed Creation</w:t>
      </w:r>
      <w:r>
        <w:t xml:space="preserve">: Schools and educational institutions contribute detailed program information</w:t>
      </w:r>
    </w:p>
    <w:p>
      <w:pPr>
        <w:numPr>
          <w:ilvl w:val="0"/>
          <w:numId w:val="1003"/>
        </w:numPr>
        <w:pStyle w:val="Compact"/>
      </w:pPr>
      <w:r>
        <w:rPr>
          <w:b/>
        </w:rPr>
        <w:t xml:space="preserve">Quality Assurance</w:t>
      </w:r>
      <w:r>
        <w:t xml:space="preserve">: Dedicated content review board ensures standards compliance and accuracy</w:t>
      </w:r>
    </w:p>
    <w:p>
      <w:pPr>
        <w:pStyle w:val="Heading3"/>
      </w:pPr>
      <w:bookmarkStart w:id="28" w:name="content-categories"/>
      <w:r>
        <w:t xml:space="preserve">Content Categories</w:t>
      </w:r>
      <w:bookmarkEnd w:id="28"/>
    </w:p>
    <w:p>
      <w:pPr>
        <w:pStyle w:val="Heading4"/>
      </w:pPr>
      <w:bookmarkStart w:id="29" w:name="core-program-information"/>
      <w:r>
        <w:rPr>
          <w:b/>
        </w:rPr>
        <w:t xml:space="preserve">Core Program Information</w:t>
      </w:r>
      <w:bookmarkEnd w:id="29"/>
    </w:p>
    <w:p>
      <w:pPr>
        <w:numPr>
          <w:ilvl w:val="0"/>
          <w:numId w:val="1004"/>
        </w:numPr>
        <w:pStyle w:val="Compact"/>
      </w:pPr>
      <w:r>
        <w:t xml:space="preserve">Program overview and objectives</w:t>
      </w:r>
    </w:p>
    <w:p>
      <w:pPr>
        <w:numPr>
          <w:ilvl w:val="0"/>
          <w:numId w:val="1004"/>
        </w:numPr>
        <w:pStyle w:val="Compact"/>
      </w:pPr>
      <w:r>
        <w:t xml:space="preserve">Curriculum details and learning outcomes</w:t>
      </w:r>
    </w:p>
    <w:p>
      <w:pPr>
        <w:numPr>
          <w:ilvl w:val="0"/>
          <w:numId w:val="1004"/>
        </w:numPr>
        <w:pStyle w:val="Compact"/>
      </w:pPr>
      <w:r>
        <w:t xml:space="preserve">Admission requirements and procedures</w:t>
      </w:r>
    </w:p>
    <w:p>
      <w:pPr>
        <w:numPr>
          <w:ilvl w:val="0"/>
          <w:numId w:val="1004"/>
        </w:numPr>
        <w:pStyle w:val="Compact"/>
      </w:pPr>
      <w:r>
        <w:t xml:space="preserve">Faculty profiles and qualifications</w:t>
      </w:r>
    </w:p>
    <w:p>
      <w:pPr>
        <w:numPr>
          <w:ilvl w:val="0"/>
          <w:numId w:val="1004"/>
        </w:numPr>
        <w:pStyle w:val="Compact"/>
      </w:pPr>
      <w:r>
        <w:t xml:space="preserve">Facilities and resources available</w:t>
      </w:r>
    </w:p>
    <w:p>
      <w:pPr>
        <w:pStyle w:val="Heading4"/>
      </w:pPr>
      <w:bookmarkStart w:id="30" w:name="supporting-materials"/>
      <w:r>
        <w:rPr>
          <w:b/>
        </w:rPr>
        <w:t xml:space="preserve">Supporting Materials</w:t>
      </w:r>
      <w:bookmarkEnd w:id="30"/>
    </w:p>
    <w:p>
      <w:pPr>
        <w:numPr>
          <w:ilvl w:val="0"/>
          <w:numId w:val="1005"/>
        </w:numPr>
        <w:pStyle w:val="Compact"/>
      </w:pPr>
      <w:r>
        <w:t xml:space="preserve">Student testimonials and success stories</w:t>
      </w:r>
    </w:p>
    <w:p>
      <w:pPr>
        <w:numPr>
          <w:ilvl w:val="0"/>
          <w:numId w:val="1005"/>
        </w:numPr>
        <w:pStyle w:val="Compact"/>
      </w:pPr>
      <w:r>
        <w:t xml:space="preserve">Visual assets (photos, videos, virtual tours)</w:t>
      </w:r>
    </w:p>
    <w:p>
      <w:pPr>
        <w:numPr>
          <w:ilvl w:val="0"/>
          <w:numId w:val="1005"/>
        </w:numPr>
        <w:pStyle w:val="Compact"/>
      </w:pPr>
      <w:r>
        <w:t xml:space="preserve">Program schedules and academic calendars</w:t>
      </w:r>
    </w:p>
    <w:p>
      <w:pPr>
        <w:numPr>
          <w:ilvl w:val="0"/>
          <w:numId w:val="1005"/>
        </w:numPr>
        <w:pStyle w:val="Compact"/>
      </w:pPr>
      <w:r>
        <w:t xml:space="preserve">Fee structures and financial aid information</w:t>
      </w:r>
    </w:p>
    <w:p>
      <w:pPr>
        <w:numPr>
          <w:ilvl w:val="0"/>
          <w:numId w:val="1005"/>
        </w:numPr>
        <w:pStyle w:val="Compact"/>
      </w:pPr>
      <w:r>
        <w:t xml:space="preserve">Contact information and application procedures</w:t>
      </w:r>
    </w:p>
    <w:p>
      <w:r>
        <w:pict>
          <v:rect style="width:0;height:1.5pt" o:hralign="center" o:hrstd="t" o:hr="t"/>
        </w:pict>
      </w:r>
    </w:p>
    <w:p>
      <w:pPr>
        <w:pStyle w:val="Heading2"/>
      </w:pPr>
      <w:bookmarkStart w:id="31" w:name="detailed-content-workflow"/>
      <w:r>
        <w:t xml:space="preserve">Detailed Content Workflow</w:t>
      </w:r>
      <w:bookmarkEnd w:id="31"/>
    </w:p>
    <w:p>
      <w:pPr>
        <w:pStyle w:val="FirstParagraph"/>
      </w:pPr>
      <w:r>
        <w:t xml:space="preserve">The following diagram illustrates the comprehensive 25-day content workflow process from initial program identification through ongoing maintenance:</w:t>
      </w:r>
    </w:p>
    <w:p>
      <w:pPr>
        <w:pStyle w:val="CaptionedFigure"/>
      </w:pPr>
      <w:r>
        <w:drawing>
          <wp:inline>
            <wp:extent cx="5334000" cy="14627678"/>
            <wp:effectExtent b="0" l="0" r="0" t="0"/>
            <wp:docPr descr="Content Workflow Diagram" title="" id="1" name="Picture"/>
            <a:graphic>
              <a:graphicData uri="http://schemas.openxmlformats.org/drawingml/2006/picture">
                <pic:pic>
                  <pic:nvPicPr>
                    <pic:cNvPr descr="school-programs-workflow.png" id="0" name="Picture"/>
                    <pic:cNvPicPr>
                      <a:picLocks noChangeArrowheads="1" noChangeAspect="1"/>
                    </pic:cNvPicPr>
                  </pic:nvPicPr>
                  <pic:blipFill>
                    <a:blip r:embed="rId32"/>
                    <a:stretch>
                      <a:fillRect/>
                    </a:stretch>
                  </pic:blipFill>
                  <pic:spPr bwMode="auto">
                    <a:xfrm>
                      <a:off x="0" y="0"/>
                      <a:ext cx="5334000" cy="14627678"/>
                    </a:xfrm>
                    <a:prstGeom prst="rect">
                      <a:avLst/>
                    </a:prstGeom>
                    <a:noFill/>
                    <a:ln w="9525">
                      <a:noFill/>
                      <a:headEnd/>
                      <a:tailEnd/>
                    </a:ln>
                  </pic:spPr>
                </pic:pic>
              </a:graphicData>
            </a:graphic>
          </wp:inline>
        </w:drawing>
      </w:r>
    </w:p>
    <w:p>
      <w:pPr>
        <w:pStyle w:val="ImageCaption"/>
      </w:pPr>
      <w:r>
        <w:t xml:space="preserve">Content Workflow Diagram</w:t>
      </w:r>
    </w:p>
    <w:p>
      <w:pPr>
        <w:pStyle w:val="Heading3"/>
      </w:pPr>
      <w:bookmarkStart w:id="33" w:name="X973b17c9d237b1742d6df4c443ddc5ea3764375"/>
      <w:r>
        <w:t xml:space="preserve">Phase 1: Content Initiation &amp; Creation (Days 1-5)</w:t>
      </w:r>
      <w:bookmarkEnd w:id="33"/>
    </w:p>
    <w:p>
      <w:pPr>
        <w:pStyle w:val="Heading4"/>
      </w:pPr>
      <w:bookmarkStart w:id="34" w:name="step-1.1-program-identification"/>
      <w:r>
        <w:rPr>
          <w:b/>
        </w:rPr>
        <w:t xml:space="preserve">Step 1.1: Program Identification</w:t>
      </w:r>
      <w:bookmarkEnd w:id="34"/>
    </w:p>
    <w:p>
      <w:pPr>
        <w:pStyle w:val="FirstParagraph"/>
      </w:pPr>
      <w:r>
        <w:t xml:space="preserve">Schools identify programs suitable for platform inclusion through a systematic assessment process. This involves evaluating programs against KHDA educational standards and UAE national priorities, analyzing market demand through student and parent interest surveys, confirming adequate faculty, facilities, and support infrastructure, and verifying contribution to Education 33 and national development goals.</w:t>
      </w:r>
    </w:p>
    <w:p>
      <w:pPr>
        <w:pStyle w:val="Heading4"/>
      </w:pPr>
      <w:bookmarkStart w:id="35" w:name="step-1.2-content-development-process"/>
      <w:r>
        <w:rPr>
          <w:b/>
        </w:rPr>
        <w:t xml:space="preserve">Step 1.2: Content Development Process</w:t>
      </w:r>
      <w:bookmarkEnd w:id="35"/>
    </w:p>
    <w:p>
      <w:pPr>
        <w:pStyle w:val="FirstParagraph"/>
      </w:pPr>
      <w:r>
        <w:t xml:space="preserve">Program coordinators develop comprehensive content packages that include detailed program overviews with mission statements and educational philosophy, unique value propositions and competitive advantages, target student demographics and prerequisites, and program duration and academic structure. The curriculum information encompasses subject breakdowns with learning objectives, assessment methods and evaluation criteria, practical components and hands-on learning opportunities, and integration with UAE national curriculum standards.</w:t>
      </w:r>
    </w:p>
    <w:p>
      <w:pPr>
        <w:pStyle w:val="BodyText"/>
      </w:pPr>
      <w:r>
        <w:t xml:space="preserve">Logistical details cover class schedules and academic calendars, location and facility information, student capacity and enrollment procedures, and fee structures with payment options. Resource documentation includes faculty profiles with qualifications and experience, facility descriptions and equipment inventories, partnership agreements with industry and institutions, and technology integration with digital learning tools.</w:t>
      </w:r>
    </w:p>
    <w:p>
      <w:pPr>
        <w:pStyle w:val="BodyText"/>
      </w:pPr>
      <w:r>
        <w:t xml:space="preserve">Success metrics and outcomes feature historical performance data and graduation rates, graduate placement and career progression statistics, student satisfaction surveys and feedback, and recognition and accreditation achievements.</w:t>
      </w:r>
    </w:p>
    <w:p>
      <w:pPr>
        <w:pStyle w:val="Heading4"/>
      </w:pPr>
      <w:bookmarkStart w:id="36" w:name="step-1.3-stakeholder-input-collection"/>
      <w:r>
        <w:rPr>
          <w:b/>
        </w:rPr>
        <w:t xml:space="preserve">Step 1.3: Stakeholder Input Collection</w:t>
      </w:r>
      <w:bookmarkEnd w:id="36"/>
    </w:p>
    <w:p>
      <w:pPr>
        <w:pStyle w:val="FirstParagraph"/>
      </w:pPr>
      <w:r>
        <w:t xml:space="preserve">Comprehensive stakeholder engagement ensures content accuracy and relevance through multiple channels. Educational staff contributions include teachers providing detailed curriculum information and pedagogical approaches, department heads validating program structure and resource requirements, and academic coordinators ensuring alignment with educational standards.</w:t>
      </w:r>
    </w:p>
    <w:p>
      <w:pPr>
        <w:pStyle w:val="BodyText"/>
      </w:pPr>
      <w:r>
        <w:t xml:space="preserve">Student and alumni perspectives involve current students sharing learning experiences and program benefits, recent graduates providing career outcome testimonials, and alumni contributing long-term success stories and professional achievements. Parent and community feedback encompasses parent surveys assessing program impact and satisfaction levels, community leaders validating cultural appropriateness and local relevance, and employer partners confirming industry alignment and graduate preparedness.</w:t>
      </w:r>
    </w:p>
    <w:p>
      <w:pPr>
        <w:pStyle w:val="BodyText"/>
      </w:pPr>
      <w:r>
        <w:t xml:space="preserve">Industry validation includes professional associations verifying curriculum relevance and industry standards, employer partners providing feedback on graduate competencies, and career counselors assessing employment prospects and market demand.</w:t>
      </w:r>
    </w:p>
    <w:p>
      <w:pPr>
        <w:pStyle w:val="Heading3"/>
      </w:pPr>
      <w:bookmarkStart w:id="37" w:name="X041e2f9953600bd0e96d6c8d5e7b0e1e0048a65"/>
      <w:r>
        <w:t xml:space="preserve">Phase 2: Content Submission &amp; Initial Processing (Days 6-8)</w:t>
      </w:r>
      <w:bookmarkEnd w:id="37"/>
    </w:p>
    <w:p>
      <w:pPr>
        <w:pStyle w:val="Heading4"/>
      </w:pPr>
      <w:bookmarkStart w:id="38" w:name="step-2.1-digital-submission-process"/>
      <w:r>
        <w:rPr>
          <w:b/>
        </w:rPr>
        <w:t xml:space="preserve">Step 2.1: Digital Submission Process</w:t>
      </w:r>
      <w:bookmarkEnd w:id="38"/>
    </w:p>
    <w:p>
      <w:pPr>
        <w:pStyle w:val="FirstParagraph"/>
      </w:pPr>
      <w:r>
        <w:t xml:space="preserve">Schools utilize a dedicated portal system for content submission that features structured forms with mandatory and optional fields, file upload capabilities for documents, images, and videos, progress tracking and submission status monitoring, and automated validation checks for completeness and format compliance.</w:t>
      </w:r>
    </w:p>
    <w:p>
      <w:pPr>
        <w:pStyle w:val="BodyText"/>
      </w:pPr>
      <w:r>
        <w:t xml:space="preserve">Submission requirements include complete program information in standardized format, high-quality visual assets meeting technical specifications, supporting documentation and verification materials, and digital signatures from authorized school representatives.</w:t>
      </w:r>
    </w:p>
    <w:p>
      <w:pPr>
        <w:pStyle w:val="Heading4"/>
      </w:pPr>
      <w:bookmarkStart w:id="39" w:name="step-2.2-content-categorization-system"/>
      <w:r>
        <w:rPr>
          <w:b/>
        </w:rPr>
        <w:t xml:space="preserve">Step 2.2: Content Categorization System</w:t>
      </w:r>
      <w:bookmarkEnd w:id="39"/>
    </w:p>
    <w:p>
      <w:pPr>
        <w:pStyle w:val="FirstParagraph"/>
      </w:pPr>
      <w:r>
        <w:t xml:space="preserve">Automated and manual categorization ensures proper content organization through program type classification including academic programs covering STEM, Humanities, Languages, and Arts, extracurricular activities encompassing Sports, Clubs, and Community Service, vocational training focusing on technical skills and professional certifications, and special needs programs providing inclusive education and learning support.</w:t>
      </w:r>
    </w:p>
    <w:p>
      <w:pPr>
        <w:pStyle w:val="BodyText"/>
      </w:pPr>
      <w:r>
        <w:t xml:space="preserve">Age group segmentation covers primary education for ages 6-10, intermediate education for ages 11-14, secondary education for ages 15-18, and post-secondary preparation programs. Priority classification includes new program launches requiring immediate attention, updated content for existing programs, seasonal programs with time-sensitive enrollment periods, and emergency updates for policy or safety changes.</w:t>
      </w:r>
    </w:p>
    <w:p>
      <w:pPr>
        <w:pStyle w:val="Heading4"/>
      </w:pPr>
      <w:bookmarkStart w:id="40" w:name="step-2.3-initial-quality-assessment"/>
      <w:r>
        <w:rPr>
          <w:b/>
        </w:rPr>
        <w:t xml:space="preserve">Step 2.3: Initial Quality Assessment</w:t>
      </w:r>
      <w:bookmarkEnd w:id="40"/>
    </w:p>
    <w:p>
      <w:pPr>
        <w:pStyle w:val="FirstParagraph"/>
      </w:pPr>
      <w:r>
        <w:t xml:space="preserve">Technical and content teams perform preliminary quality checks through technical validation covering file format compatibility and size requirements, image resolution and video quality standards, website integration and mobile responsiveness, and accessibility compliance for users with disabilities.</w:t>
      </w:r>
    </w:p>
    <w:p>
      <w:pPr>
        <w:pStyle w:val="BodyText"/>
      </w:pPr>
      <w:r>
        <w:t xml:space="preserve">Content quality review encompasses grammar, spelling, and language accuracy, factual information verification, cultural sensitivity and appropriateness, and compliance with KHDA content guidelines. Originality verification includes plagiarism detection and content uniqueness, copyright compliance for images and materials, attribution requirements for third-party content, and intellectual property protection measures.</w:t>
      </w:r>
    </w:p>
    <w:p>
      <w:pPr>
        <w:pStyle w:val="Heading3"/>
      </w:pPr>
      <w:bookmarkStart w:id="41" w:name="Xfeb13f64d905d19976c5007d76f484651e22b66"/>
      <w:r>
        <w:t xml:space="preserve">Phase 3: Multi-Level Review Process (Days 9-18)</w:t>
      </w:r>
      <w:bookmarkEnd w:id="41"/>
    </w:p>
    <w:p>
      <w:pPr>
        <w:pStyle w:val="Heading4"/>
      </w:pPr>
      <w:bookmarkStart w:id="42" w:name="X104fd575f7f9edbe82d6e8b4991c382e5c9af94"/>
      <w:r>
        <w:rPr>
          <w:b/>
        </w:rPr>
        <w:t xml:space="preserve">Step 3.1: Educational Content Review (Days 9-12)</w:t>
      </w:r>
      <w:bookmarkEnd w:id="42"/>
    </w:p>
    <w:p>
      <w:pPr>
        <w:pStyle w:val="FirstParagraph"/>
      </w:pPr>
      <w:r>
        <w:t xml:space="preserve">Specialized teams evaluate educational quality and standards compliance through curriculum specialists assessment covering alignment with UAE national curriculum standards, age-appropriate content and learning objectives, progressive skill development and knowledge building, and integration opportunities with other subject areas.</w:t>
      </w:r>
    </w:p>
    <w:p>
      <w:pPr>
        <w:pStyle w:val="BodyText"/>
      </w:pPr>
      <w:r>
        <w:t xml:space="preserve">Subject matter expert evaluation focuses on technical accuracy and current industry relevance, depth and breadth of content coverage, practical application and real-world connections, and innovation and creative teaching approaches. Pedagogical review examines teaching methodologies and learning strategies, student engagement and motivation techniques, assessment methods and evaluation criteria, and differentiated instruction for diverse learning needs.</w:t>
      </w:r>
    </w:p>
    <w:p>
      <w:pPr>
        <w:pStyle w:val="BodyText"/>
      </w:pPr>
      <w:r>
        <w:t xml:space="preserve">Accessibility and inclusion assessment covers special needs accommodation and support services, language accessibility for diverse student populations, cultural sensitivity and inclusive practices, and technology accessibility for students with disabilities.</w:t>
      </w:r>
    </w:p>
    <w:p>
      <w:pPr>
        <w:pStyle w:val="Heading4"/>
      </w:pPr>
      <w:bookmarkStart w:id="43" w:name="X9c7caf3657a934de5616defb2049af8cf1e70d9"/>
      <w:r>
        <w:rPr>
          <w:b/>
        </w:rPr>
        <w:t xml:space="preserve">Step 3.2: Policy &amp; Compliance Review (Days 13-15)</w:t>
      </w:r>
      <w:bookmarkEnd w:id="43"/>
    </w:p>
    <w:p>
      <w:pPr>
        <w:pStyle w:val="FirstParagraph"/>
      </w:pPr>
      <w:r>
        <w:t xml:space="preserve">Legal and policy teams ensure regulatory compliance and alignment through KHDA policy alignment covering compliance with UAE education laws and regulations, adherence to national education strategy priorities, integration with government initiatives and programs, and contribution to national development objectives.</w:t>
      </w:r>
    </w:p>
    <w:p>
      <w:pPr>
        <w:pStyle w:val="BodyText"/>
      </w:pPr>
      <w:r>
        <w:t xml:space="preserve">Legal and regulatory review encompasses student safety and welfare protection measures, data privacy and information security compliance, liability and insurance coverage verification, and contractual obligations and legal requirements. Cultural and social appropriateness evaluation includes respect for UAE values, traditions, and customs, Islamic principles integration where applicable, multicultural sensitivity and global citizenship, and community engagement and social responsibility.</w:t>
      </w:r>
    </w:p>
    <w:p>
      <w:pPr>
        <w:pStyle w:val="BodyText"/>
      </w:pPr>
      <w:r>
        <w:t xml:space="preserve">Safety and risk assessment covers physical safety protocols and emergency procedures, health and wellness program components, risk management and mitigation strategies, and insurance coverage and liability protection.</w:t>
      </w:r>
    </w:p>
    <w:p>
      <w:pPr>
        <w:pStyle w:val="Heading4"/>
      </w:pPr>
      <w:bookmarkStart w:id="44" w:name="X4244704a64fb62a57f03c9af9ec068d92aac920"/>
      <w:r>
        <w:rPr>
          <w:b/>
        </w:rPr>
        <w:t xml:space="preserve">Step 3.3: Strategic Alignment Review (Days 16-18)</w:t>
      </w:r>
      <w:bookmarkEnd w:id="44"/>
    </w:p>
    <w:p>
      <w:pPr>
        <w:pStyle w:val="FirstParagraph"/>
      </w:pPr>
      <w:r>
        <w:t xml:space="preserve">Senior leadership evaluates strategic fit and resource implications through national priority alignment covering contribution to Education 33 objectives, support for national economic diversification goals, development of future-ready skills and competencies, and enhancement of UAE’s global competitiveness.</w:t>
      </w:r>
    </w:p>
    <w:p>
      <w:pPr>
        <w:pStyle w:val="BodyText"/>
      </w:pPr>
      <w:r>
        <w:t xml:space="preserve">Resource and infrastructure assessment includes adequate funding and financial sustainability, sufficient faculty and staff resources, appropriate facilities and equipment availability, and technology infrastructure and digital capabilities. Impact and reach evaluation covers potential student enrollment and demographic reach, community impact and social benefit assessment, long-term sustainability and growth potential, and scalability and replication opportunities.</w:t>
      </w:r>
    </w:p>
    <w:p>
      <w:pPr>
        <w:pStyle w:val="BodyText"/>
      </w:pPr>
      <w:r>
        <w:t xml:space="preserve">Quality and excellence standards assessment includes alignment with international best practices, continuous improvement and innovation commitment, performance measurement and accountability systems, and recognition and accreditation potential.</w:t>
      </w:r>
    </w:p>
    <w:p>
      <w:pPr>
        <w:pStyle w:val="Heading3"/>
      </w:pPr>
      <w:bookmarkStart w:id="45" w:name="X28ce5fa3b9a60751e002fc8726b541b8a70b63b"/>
      <w:r>
        <w:t xml:space="preserve">Phase 4: Approval &amp; Revision Cycle (Days 19-21)</w:t>
      </w:r>
      <w:bookmarkEnd w:id="45"/>
    </w:p>
    <w:p>
      <w:pPr>
        <w:pStyle w:val="Heading4"/>
      </w:pPr>
      <w:bookmarkStart w:id="46" w:name="X8aaa70d4d3c69ead5fd7548d0ad3c7075371696"/>
      <w:r>
        <w:rPr>
          <w:b/>
        </w:rPr>
        <w:t xml:space="preserve">Step 4.1: Review Outcomes and Decision Matrix</w:t>
      </w:r>
      <w:bookmarkEnd w:id="46"/>
    </w:p>
    <w:p>
      <w:pPr>
        <w:pStyle w:val="FirstParagraph"/>
      </w:pPr>
      <w:r>
        <w:t xml:space="preserve">Content submissions receive one of four possible outcomes. Immediate approval applies to 60% of submissions where content meets all quality and compliance standards, requires no revisions for publication, follows fast-track to publication phase, and triggers automatic stakeholder notification.</w:t>
      </w:r>
    </w:p>
    <w:p>
      <w:pPr>
        <w:pStyle w:val="BodyText"/>
      </w:pPr>
      <w:r>
        <w:t xml:space="preserve">Conditional approval covers 30% of submissions requiring minor revisions for compliance, with specific feedback provided for improvements, a 5-day revision window for schools, and expedited re-review process. Major revision required affects 8% of submissions needing significant changes for approval, requiring detailed improvement plans, full review cycles upon resubmission, and potentially additional stakeholder consultation.</w:t>
      </w:r>
    </w:p>
    <w:p>
      <w:pPr>
        <w:pStyle w:val="BodyText"/>
      </w:pPr>
      <w:r>
        <w:t xml:space="preserve">Rejection applies to 2% of submissions where content fails to meet minimum standards, has fundamental issues with program quality or compliance, requires comprehensive redesign, and offers options for future resubmission with major improvements.</w:t>
      </w:r>
    </w:p>
    <w:p>
      <w:pPr>
        <w:pStyle w:val="Heading4"/>
      </w:pPr>
      <w:bookmarkStart w:id="47" w:name="Xba428dd042234fddef9d8eec00971d833923a8c"/>
      <w:r>
        <w:rPr>
          <w:b/>
        </w:rPr>
        <w:t xml:space="preserve">Step 4.2: Revision and Resubmission Process</w:t>
      </w:r>
      <w:bookmarkEnd w:id="47"/>
    </w:p>
    <w:p>
      <w:pPr>
        <w:pStyle w:val="FirstParagraph"/>
      </w:pPr>
      <w:r>
        <w:t xml:space="preserve">Structured support systems assist schools in content improvement through feedback and guidance providing detailed written feedback with specific improvement areas, best practice examples and templates, one-on-one consultation sessions, and technical support for content development.</w:t>
      </w:r>
    </w:p>
    <w:p>
      <w:pPr>
        <w:pStyle w:val="BodyText"/>
      </w:pPr>
      <w:r>
        <w:t xml:space="preserve">Revision timelines allow 5 business days for minor revisions, 15 business days for major revisions, extension requests considered on case-by-case basis, and priority handling for time-sensitive programs. Quality assurance support includes content development workshops and training sessions, peer review opportunities with successful schools, expert consultation services, and quality improvement resources and tools.</w:t>
      </w:r>
    </w:p>
    <w:p>
      <w:pPr>
        <w:pStyle w:val="Heading3"/>
      </w:pPr>
      <w:bookmarkStart w:id="48" w:name="phase-5-publication-launch-days-22-25"/>
      <w:r>
        <w:t xml:space="preserve">Phase 5: Publication &amp; Launch (Days 22-25)</w:t>
      </w:r>
      <w:bookmarkEnd w:id="48"/>
    </w:p>
    <w:p>
      <w:pPr>
        <w:pStyle w:val="Heading4"/>
      </w:pPr>
      <w:bookmarkStart w:id="49" w:name="step-5.1-pre-publication-preparation"/>
      <w:r>
        <w:rPr>
          <w:b/>
        </w:rPr>
        <w:t xml:space="preserve">Step 5.1: Pre-Publication Preparation</w:t>
      </w:r>
      <w:bookmarkEnd w:id="49"/>
    </w:p>
    <w:p>
      <w:pPr>
        <w:pStyle w:val="FirstParagraph"/>
      </w:pPr>
      <w:r>
        <w:t xml:space="preserve">Technical teams prepare approved content for platform integration through content formatting and optimization covering platform-specific formatting and layout optimization, mobile responsiveness and cross-device compatibility, search engine optimization implementation, and integration with platform search and filtering systems.</w:t>
      </w:r>
    </w:p>
    <w:p>
      <w:pPr>
        <w:pStyle w:val="BodyText"/>
      </w:pPr>
      <w:r>
        <w:t xml:space="preserve">Quality assurance testing encompasses comprehensive functionality testing across devices, user experience and navigation verification, content accuracy and link validation, and performance optimization and loading speed testing.</w:t>
      </w:r>
    </w:p>
    <w:p>
      <w:pPr>
        <w:pStyle w:val="Heading4"/>
      </w:pPr>
      <w:bookmarkStart w:id="50" w:name="step-5.2-staged-release-process"/>
      <w:r>
        <w:rPr>
          <w:b/>
        </w:rPr>
        <w:t xml:space="preserve">Step 5.2: Staged Release Process</w:t>
      </w:r>
      <w:bookmarkEnd w:id="50"/>
    </w:p>
    <w:p>
      <w:pPr>
        <w:pStyle w:val="FirstParagraph"/>
      </w:pPr>
      <w:r>
        <w:t xml:space="preserve">Phased publication approach ensures quality and stakeholder satisfaction through internal preview on Day 22 where KHDA stakeholders review final formatted content, technical teams validate all functionality, final approval comes from content management office, and last-minute corrections and adjustments are made.</w:t>
      </w:r>
    </w:p>
    <w:p>
      <w:pPr>
        <w:pStyle w:val="BodyText"/>
      </w:pPr>
      <w:r>
        <w:t xml:space="preserve">School verification on Day 23 involves contributing schools reviewing published content, accuracy verification and fact-checking, contact information and application process validation, and final approval from school representatives. Soft launch testing on Day 24 includes limited release to select parent and student groups, user experience testing and feedback collection, performance monitoring and issue identification, and final adjustments based on user feedback.</w:t>
      </w:r>
    </w:p>
    <w:p>
      <w:pPr>
        <w:pStyle w:val="BodyText"/>
      </w:pPr>
      <w:r>
        <w:t xml:space="preserve">Full publication on Day 25 features complete platform integration and public availability, announcement campaigns to stakeholders and community, social media promotion and marketing support, and performance monitoring and analytics activation.</w:t>
      </w:r>
    </w:p>
    <w:p>
      <w:pPr>
        <w:pStyle w:val="Heading3"/>
      </w:pPr>
      <w:bookmarkStart w:id="51" w:name="Xa3ed33ef206d5205c01280b7e87cb91d7dd131f"/>
      <w:r>
        <w:t xml:space="preserve">Phase 6: Post-Publication Management (Ongoing)</w:t>
      </w:r>
      <w:bookmarkEnd w:id="51"/>
    </w:p>
    <w:p>
      <w:pPr>
        <w:pStyle w:val="Heading4"/>
      </w:pPr>
      <w:bookmarkStart w:id="52" w:name="X256dd12439c24e6b8193e3e26e29f7d5f583c6c"/>
      <w:r>
        <w:rPr>
          <w:b/>
        </w:rPr>
        <w:t xml:space="preserve">Step 6.1: Performance Monitoring and Analytics</w:t>
      </w:r>
      <w:bookmarkEnd w:id="52"/>
    </w:p>
    <w:p>
      <w:pPr>
        <w:pStyle w:val="FirstParagraph"/>
      </w:pPr>
      <w:r>
        <w:t xml:space="preserve">Comprehensive tracking systems monitor content effectiveness through real-time analytics covering page views, user engagement, and session duration, geographic distribution and demographic analysis, device usage patterns and accessibility metrics, and conversion rates and application submissions.</w:t>
      </w:r>
    </w:p>
    <w:p>
      <w:pPr>
        <w:pStyle w:val="BodyText"/>
      </w:pPr>
      <w:r>
        <w:t xml:space="preserve">User feedback integration includes comment systems and rating mechanisms, survey feedback and satisfaction measurements, direct inquiry tracking and response management, and social media monitoring and sentiment analysis. Quality metrics tracking encompasses content accuracy reports and error identification, user satisfaction scores and recommendation rates, program enrollment and completion statistics, and long-term outcome tracking and success measurement.</w:t>
      </w:r>
    </w:p>
    <w:p>
      <w:pPr>
        <w:pStyle w:val="Heading4"/>
      </w:pPr>
      <w:bookmarkStart w:id="53" w:name="step-6.2-content-maintenance-and-updates"/>
      <w:r>
        <w:rPr>
          <w:b/>
        </w:rPr>
        <w:t xml:space="preserve">Step 6.2: Content Maintenance and Updates</w:t>
      </w:r>
      <w:bookmarkEnd w:id="53"/>
    </w:p>
    <w:p>
      <w:pPr>
        <w:pStyle w:val="FirstParagraph"/>
      </w:pPr>
      <w:r>
        <w:t xml:space="preserve">Systematic approaches ensure content remains current and accurate through regular update cycles including quarterly comprehensive content reviews, annual program evaluation and renewal processes, seasonal adjustments for enrollment periods, and emergency updates for policy or safety changes.</w:t>
      </w:r>
    </w:p>
    <w:p>
      <w:pPr>
        <w:pStyle w:val="BodyText"/>
      </w:pPr>
      <w:r>
        <w:t xml:space="preserve">Content lifecycle management features automated alerts for outdated information, version control and change tracking systems, archive management for historical content, and migration planning for platform updates. Stakeholder communication includes regular updates to schools and content contributors, performance reports and improvement recommendations, best practice sharing and success story highlighting, and training and support for content management.</w:t>
      </w:r>
    </w:p>
    <w:p>
      <w:pPr>
        <w:pStyle w:val="Heading4"/>
      </w:pPr>
      <w:bookmarkStart w:id="54" w:name="step-6.3-continuous-improvement-process"/>
      <w:r>
        <w:rPr>
          <w:b/>
        </w:rPr>
        <w:t xml:space="preserve">Step 6.3: Continuous Improvement Process</w:t>
      </w:r>
      <w:bookmarkEnd w:id="54"/>
    </w:p>
    <w:p>
      <w:pPr>
        <w:pStyle w:val="FirstParagraph"/>
      </w:pPr>
      <w:r>
        <w:t xml:space="preserve">Data-driven optimization ensures ongoing enhancement through performance analysis including monthly analytics reviews and trend identification, comparative analysis with similar programs, user behavior pattern analysis and optimization, and conversion funnel analysis and improvement.</w:t>
      </w:r>
    </w:p>
    <w:p>
      <w:pPr>
        <w:pStyle w:val="BodyText"/>
      </w:pPr>
      <w:r>
        <w:t xml:space="preserve">Stakeholder feedback integration encompasses regular surveys and focus groups with users, school feedback sessions and improvement suggestions, parent and student advisory panels, and industry expert consultation and validation. Platform enhancement covers feature requests and functionality improvements, user interface and experience optimization, technology upgrades and innovation integration, and accessibility improvements and compliance updates.</w:t>
      </w:r>
    </w:p>
    <w:p>
      <w:r>
        <w:pict>
          <v:rect style="width:0;height:1.5pt" o:hralign="center" o:hrstd="t" o:hr="t"/>
        </w:pict>
      </w:r>
    </w:p>
    <w:p>
      <w:pPr>
        <w:pStyle w:val="Heading2"/>
      </w:pPr>
      <w:bookmarkStart w:id="55" w:name="governance-structure"/>
      <w:r>
        <w:t xml:space="preserve">Governance Structure</w:t>
      </w:r>
      <w:bookmarkEnd w:id="55"/>
    </w:p>
    <w:p>
      <w:pPr>
        <w:pStyle w:val="FirstParagraph"/>
      </w:pPr>
      <w:r>
        <w:t xml:space="preserve">The following diagram illustrates the four-tier governance hierarchy for content management:</w:t>
      </w:r>
    </w:p>
    <w:p>
      <w:pPr>
        <w:pStyle w:val="CaptionedFigure"/>
      </w:pPr>
      <w:r>
        <w:drawing>
          <wp:inline>
            <wp:extent cx="5334000" cy="6579053"/>
            <wp:effectExtent b="0" l="0" r="0" t="0"/>
            <wp:docPr descr="Governance Structure Diagram" title="" id="1" name="Picture"/>
            <a:graphic>
              <a:graphicData uri="http://schemas.openxmlformats.org/drawingml/2006/picture">
                <pic:pic>
                  <pic:nvPicPr>
                    <pic:cNvPr descr="governance-structure-revised.png" id="0" name="Picture"/>
                    <pic:cNvPicPr>
                      <a:picLocks noChangeArrowheads="1" noChangeAspect="1"/>
                    </pic:cNvPicPr>
                  </pic:nvPicPr>
                  <pic:blipFill>
                    <a:blip r:embed="rId56"/>
                    <a:stretch>
                      <a:fillRect/>
                    </a:stretch>
                  </pic:blipFill>
                  <pic:spPr bwMode="auto">
                    <a:xfrm>
                      <a:off x="0" y="0"/>
                      <a:ext cx="5334000" cy="6579053"/>
                    </a:xfrm>
                    <a:prstGeom prst="rect">
                      <a:avLst/>
                    </a:prstGeom>
                    <a:noFill/>
                    <a:ln w="9525">
                      <a:noFill/>
                      <a:headEnd/>
                      <a:tailEnd/>
                    </a:ln>
                  </pic:spPr>
                </pic:pic>
              </a:graphicData>
            </a:graphic>
          </wp:inline>
        </w:drawing>
      </w:r>
    </w:p>
    <w:p>
      <w:pPr>
        <w:pStyle w:val="ImageCaption"/>
      </w:pPr>
      <w:r>
        <w:t xml:space="preserve">Governance Structure Diagram</w:t>
      </w:r>
    </w:p>
    <w:p>
      <w:pPr>
        <w:pStyle w:val="Heading3"/>
      </w:pPr>
      <w:bookmarkStart w:id="57" w:name="tier-1-strategic-governance-council"/>
      <w:r>
        <w:t xml:space="preserve">Tier 1: Strategic Governance Council</w:t>
      </w:r>
      <w:bookmarkEnd w:id="57"/>
    </w:p>
    <w:p>
      <w:pPr>
        <w:pStyle w:val="Heading4"/>
      </w:pPr>
      <w:bookmarkStart w:id="58" w:name="content-steering-committee"/>
      <w:r>
        <w:rPr>
          <w:b/>
        </w:rPr>
        <w:t xml:space="preserve">Content Steering Committee</w:t>
      </w:r>
      <w:bookmarkEnd w:id="58"/>
    </w:p>
    <w:p>
      <w:pPr>
        <w:pStyle w:val="FirstParagraph"/>
      </w:pPr>
      <w:r>
        <w:t xml:space="preserve">The leadership structure includes a Chairperson who is the Undersecretary of Knowledge and Human Development Authority, core members comprising Directors of Curriculum Development, Digital Transformation, Quality Assurance, and Communications, monthly strategic sessions and quarterly comprehensive reviews, and decision authority for final approval on major policy changes, strategic direction, and resource allocation.</w:t>
      </w:r>
    </w:p>
    <w:p>
      <w:pPr>
        <w:pStyle w:val="BodyText"/>
      </w:pPr>
      <w:r>
        <w:t xml:space="preserve">Key responsibilities encompass establishing content strategy aligned with UAE national education priorities, approving quality standards and performance benchmarks, resolving escalated disputes and complex policy interpretations, ensuring alignment with Education 33 and national development goals, overseeing budget allocation and resource distribution, and approving major partnerships and collaboration agreements.</w:t>
      </w:r>
    </w:p>
    <w:p>
      <w:pPr>
        <w:pStyle w:val="Heading4"/>
      </w:pPr>
      <w:bookmarkStart w:id="59" w:name="advisory-board"/>
      <w:r>
        <w:rPr>
          <w:b/>
        </w:rPr>
        <w:t xml:space="preserve">Advisory Board</w:t>
      </w:r>
      <w:bookmarkEnd w:id="59"/>
    </w:p>
    <w:p>
      <w:pPr>
        <w:pStyle w:val="FirstParagraph"/>
      </w:pPr>
      <w:r>
        <w:t xml:space="preserve">The composition and expertise include education experts who are renowned academics and curriculum specialists, industry leaders representing key UAE economic sectors, parent representatives elected from parent councils, student council delegates providing youth representation from secondary schools, and community leaders including cultural and religious authorities.</w:t>
      </w:r>
    </w:p>
    <w:p>
      <w:pPr>
        <w:pStyle w:val="BodyText"/>
      </w:pPr>
      <w:r>
        <w:t xml:space="preserve">Advisory functions involve providing strategic guidance on content direction and priorities, offering stakeholder perspectives on user needs and expectations, validating cultural appropriateness and community relevance, recommending emerging trends and future skill requirements, and supporting public engagement and community outreach initiatives.</w:t>
      </w:r>
    </w:p>
    <w:p>
      <w:pPr>
        <w:pStyle w:val="Heading3"/>
      </w:pPr>
      <w:bookmarkStart w:id="60" w:name="tier-2-operational-management-layer"/>
      <w:r>
        <w:t xml:space="preserve">Tier 2: Operational Management Layer</w:t>
      </w:r>
      <w:bookmarkEnd w:id="60"/>
    </w:p>
    <w:p>
      <w:pPr>
        <w:pStyle w:val="Heading4"/>
      </w:pPr>
      <w:bookmarkStart w:id="61" w:name="content-management-office-cmo"/>
      <w:r>
        <w:rPr>
          <w:b/>
        </w:rPr>
        <w:t xml:space="preserve">Content Management Office (CMO)</w:t>
      </w:r>
      <w:bookmarkEnd w:id="61"/>
    </w:p>
    <w:p>
      <w:pPr>
        <w:pStyle w:val="FirstParagraph"/>
      </w:pPr>
      <w:r>
        <w:t xml:space="preserve">The organizational structure features a Director who is a Senior KHDA official with direct reporting to Steering Committee, Deputy Directors heading Editorial, Technical, Quality Assurance, and Stakeholder Relations, and Team Leads specializing in content development, platform management, and performance analytics.</w:t>
      </w:r>
    </w:p>
    <w:p>
      <w:pPr>
        <w:pStyle w:val="BodyText"/>
      </w:pPr>
      <w:r>
        <w:t xml:space="preserve">Operational responsibilities include daily oversight of content operations and workflow management, resource allocation and team coordination across functional areas, performance monitoring and reporting to strategic leadership, stakeholder relationship management and communication coordination, crisis management and issue resolution protocols, and budget management and operational efficiency optimization.</w:t>
      </w:r>
    </w:p>
    <w:p>
      <w:pPr>
        <w:pStyle w:val="Heading4"/>
      </w:pPr>
      <w:bookmarkStart w:id="62" w:name="editorial-review-board"/>
      <w:r>
        <w:rPr>
          <w:b/>
        </w:rPr>
        <w:t xml:space="preserve">Editorial Review Board</w:t>
      </w:r>
      <w:bookmarkEnd w:id="62"/>
    </w:p>
    <w:p>
      <w:pPr>
        <w:pStyle w:val="FirstParagraph"/>
      </w:pPr>
      <w:r>
        <w:t xml:space="preserve">The professional composition includes a Lead Editor who is a senior curriculum specialist with advanced degree and 10+ years experience, Subject Area Editors specializing in STEM, Arts, Languages, Vocational Training, and Special Education, Quality Control Specialists serving as content accuracy reviewers and compliance officers, and Cultural Advisors who are experts in UAE heritage, Islamic studies, and multicultural education.</w:t>
      </w:r>
    </w:p>
    <w:p>
      <w:pPr>
        <w:pStyle w:val="BodyText"/>
      </w:pPr>
      <w:r>
        <w:t xml:space="preserve">Editorial functions encompass content quality assessment and approval decisions, editorial guidelines development and maintenance, reviewer training and professional development, content standards enforcement and compliance monitoring, best practice identification and dissemination, and continuous improvement of review processes.</w:t>
      </w:r>
    </w:p>
    <w:p>
      <w:pPr>
        <w:pStyle w:val="Heading3"/>
      </w:pPr>
      <w:bookmarkStart w:id="63" w:name="tier-3-functional-working-groups"/>
      <w:r>
        <w:t xml:space="preserve">Tier 3: Functional Working Groups</w:t>
      </w:r>
      <w:bookmarkEnd w:id="63"/>
    </w:p>
    <w:p>
      <w:pPr>
        <w:pStyle w:val="Heading4"/>
      </w:pPr>
      <w:bookmarkStart w:id="64" w:name="technical-content-team"/>
      <w:r>
        <w:rPr>
          <w:b/>
        </w:rPr>
        <w:t xml:space="preserve">Technical Content Team</w:t>
      </w:r>
      <w:bookmarkEnd w:id="64"/>
    </w:p>
    <w:p>
      <w:pPr>
        <w:pStyle w:val="FirstParagraph"/>
      </w:pPr>
      <w:r>
        <w:t xml:space="preserve">Technical expertise areas include Platform Managers providing CMS administration and technical infrastructure oversight, UX/UI Specialists handling user experience design and interface optimization, Data Analysts conducting performance metrics analysis and optimization recommendations, IT Security Officers managing content security, access control, and data protection, and Mobile Development Specialists ensuring cross-platform compatibility and mobile optimization.</w:t>
      </w:r>
    </w:p>
    <w:p>
      <w:pPr>
        <w:pStyle w:val="BodyText"/>
      </w:pPr>
      <w:r>
        <w:t xml:space="preserve">Technical responsibilities cover platform maintenance and technical infrastructure management, user experience optimization and interface improvements, data analytics and performance measurement systems, security protocols and access control management, integration with external systems and third-party services, and technical support for content contributors and users.</w:t>
      </w:r>
    </w:p>
    <w:p>
      <w:pPr>
        <w:pStyle w:val="Heading4"/>
      </w:pPr>
      <w:bookmarkStart w:id="65" w:name="educational-standards-group"/>
      <w:r>
        <w:rPr>
          <w:b/>
        </w:rPr>
        <w:t xml:space="preserve">Educational Standards Group</w:t>
      </w:r>
      <w:bookmarkEnd w:id="65"/>
    </w:p>
    <w:p>
      <w:pPr>
        <w:pStyle w:val="FirstParagraph"/>
      </w:pPr>
      <w:r>
        <w:t xml:space="preserve">Academic specializations include Curriculum Alignment Officers ensuring UAE national curriculum compliance and integration, Assessment Specialists handling learning outcome validation and evaluation methods, Inclusion Officers managing special needs accommodation and accessibility compliance, Cultural Integration Advisors overseeing UAE values integration and cultural sensitivity, and International Standards Coordinators managing global best practice integration and benchmarking.</w:t>
      </w:r>
    </w:p>
    <w:p>
      <w:pPr>
        <w:pStyle w:val="BodyText"/>
      </w:pPr>
      <w:r>
        <w:t xml:space="preserve">Educational functions encompass curriculum standards development and maintenance, learning outcome assessment and validation, accessibility and inclusion compliance monitoring, cultural appropriateness review and guidance, international best practice research and integration, and professional development for educational reviewers.</w:t>
      </w:r>
    </w:p>
    <w:p>
      <w:pPr>
        <w:pStyle w:val="Heading4"/>
      </w:pPr>
      <w:bookmarkStart w:id="66" w:name="stakeholder-liaison-network"/>
      <w:r>
        <w:rPr>
          <w:b/>
        </w:rPr>
        <w:t xml:space="preserve">Stakeholder Liaison Network</w:t>
      </w:r>
      <w:bookmarkEnd w:id="66"/>
    </w:p>
    <w:p>
      <w:pPr>
        <w:pStyle w:val="FirstParagraph"/>
      </w:pPr>
      <w:r>
        <w:t xml:space="preserve">Relationship management areas include School Relations Coordinators serving as primary interfaces with educational institutions, Parent Community Managers handling family engagement and feedback collection systems, Student Representatives integrating youth perspectives and conducting usability testing, Industry Partnership Coordinators managing employer input and career relevance validation, and Community Outreach Specialists conducting public engagement and awareness campaigns.</w:t>
      </w:r>
    </w:p>
    <w:p>
      <w:pPr>
        <w:pStyle w:val="BodyText"/>
      </w:pPr>
      <w:r>
        <w:t xml:space="preserve">Liaison responsibilities cover stakeholder communication and relationship management, feedback collection and analysis from all user groups, community engagement and public awareness initiatives, partnership development and maintenance, conflict resolution and issue mediation, and stakeholder training and support services.</w:t>
      </w:r>
    </w:p>
    <w:p>
      <w:pPr>
        <w:pStyle w:val="Heading3"/>
      </w:pPr>
      <w:bookmarkStart w:id="67" w:name="tier-4-content-contributors-validators"/>
      <w:r>
        <w:t xml:space="preserve">Tier 4: Content Contributors &amp; Validators</w:t>
      </w:r>
      <w:bookmarkEnd w:id="67"/>
    </w:p>
    <w:p>
      <w:pPr>
        <w:pStyle w:val="Heading4"/>
      </w:pPr>
      <w:bookmarkStart w:id="68" w:name="institutional-content-creators"/>
      <w:r>
        <w:rPr>
          <w:b/>
        </w:rPr>
        <w:t xml:space="preserve">Institutional Content Creators</w:t>
      </w:r>
      <w:bookmarkEnd w:id="68"/>
    </w:p>
    <w:p>
      <w:pPr>
        <w:pStyle w:val="FirstParagraph"/>
      </w:pPr>
      <w:r>
        <w:t xml:space="preserve">School-level contributors include Program Coordinators managing direct content creation and submission, Department Heads providing subject-specific content oversight and quality assurance, Teaching Faculty documenting curriculum details and pedagogical approaches, Student Affairs Officers developing extracurricular and support program content, and Administrative Staff handling logistical information and enrollment procedure documentation.</w:t>
      </w:r>
    </w:p>
    <w:p>
      <w:pPr>
        <w:pStyle w:val="BodyText"/>
      </w:pPr>
      <w:r>
        <w:t xml:space="preserve">Content creation responsibilities encompass comprehensive program information development, visual asset creation and multimedia content production, student testimonial and success story collection, regular content updates and maintenance, quality assurance at institutional level, and stakeholder coordination within schools.</w:t>
      </w:r>
    </w:p>
    <w:p>
      <w:pPr>
        <w:pStyle w:val="Heading4"/>
      </w:pPr>
      <w:bookmarkStart w:id="69" w:name="external-validators"/>
      <w:r>
        <w:rPr>
          <w:b/>
        </w:rPr>
        <w:t xml:space="preserve">External Validators</w:t>
      </w:r>
      <w:bookmarkEnd w:id="69"/>
    </w:p>
    <w:p>
      <w:pPr>
        <w:pStyle w:val="FirstParagraph"/>
      </w:pPr>
      <w:r>
        <w:t xml:space="preserve">The professional validation network includes Independent Education Consultants providing third-party quality assessment and validation, Industry Subject Matter Experts handling real-world relevance and career preparation validation, Parent Focus Groups conducting user experience assessment and needs identification, Alumni Networks managing long-term outcome verification and success story validation, and Professional Associations ensuring industry standards compliance and certification validation.</w:t>
      </w:r>
    </w:p>
    <w:p>
      <w:pPr>
        <w:pStyle w:val="BodyText"/>
      </w:pPr>
      <w:r>
        <w:t xml:space="preserve">Validation functions encompass independent quality assessment and verification, industry relevance and career preparation validation, user experience testing and feedback provision, long-term outcome tracking and success measurement, professional standards compliance verification, and continuous improvement recommendations.</w:t>
      </w:r>
    </w:p>
    <w:p>
      <w:r>
        <w:pict>
          <v:rect style="width:0;height:1.5pt" o:hralign="center" o:hrstd="t" o:hr="t"/>
        </w:pict>
      </w:r>
    </w:p>
    <w:p>
      <w:pPr>
        <w:pStyle w:val="Heading2"/>
      </w:pPr>
      <w:bookmarkStart w:id="70" w:name="stakeholder-relationships"/>
      <w:r>
        <w:t xml:space="preserve">Stakeholder Relationships</w:t>
      </w:r>
      <w:bookmarkEnd w:id="70"/>
    </w:p>
    <w:p>
      <w:pPr>
        <w:pStyle w:val="Heading3"/>
      </w:pPr>
      <w:bookmarkStart w:id="71" w:name="internal-stakeholder-network"/>
      <w:r>
        <w:t xml:space="preserve">Internal Stakeholder Network</w:t>
      </w:r>
      <w:bookmarkEnd w:id="71"/>
    </w:p>
    <w:p>
      <w:pPr>
        <w:pStyle w:val="Heading4"/>
      </w:pPr>
      <w:bookmarkStart w:id="72" w:name="Xdebd261b5518595a913fc4d7cf4c9c4664c3cb6"/>
      <w:r>
        <w:rPr>
          <w:b/>
        </w:rPr>
        <w:t xml:space="preserve">Knowledge and Human Development Authority Teams</w:t>
      </w:r>
      <w:bookmarkEnd w:id="72"/>
    </w:p>
    <w:p>
      <w:pPr>
        <w:pStyle w:val="FirstParagraph"/>
      </w:pPr>
      <w:r>
        <w:t xml:space="preserve">The Digital Transformation Department handles platform strategy and technology infrastructure oversight, integration with other government digital initiatives, innovation and emerging technology evaluation, and digital accessibility and inclusion compliance.</w:t>
      </w:r>
    </w:p>
    <w:p>
      <w:pPr>
        <w:pStyle w:val="BodyText"/>
      </w:pPr>
      <w:r>
        <w:t xml:space="preserve">The Curriculum Development Department manages educational standards alignment and validation, learning outcome assessment and measurement, curriculum innovation and best practice integration, and teacher training and professional development support.</w:t>
      </w:r>
    </w:p>
    <w:p>
      <w:pPr>
        <w:pStyle w:val="BodyText"/>
      </w:pPr>
      <w:r>
        <w:t xml:space="preserve">The Quality Assurance Department oversees content quality standards development and enforcement, performance measurement and evaluation systems, continuous improvement process management, and compliance monitoring and audit functions.</w:t>
      </w:r>
    </w:p>
    <w:p>
      <w:pPr>
        <w:pStyle w:val="BodyText"/>
      </w:pPr>
      <w:r>
        <w:t xml:space="preserve">Communications and Public Relations manages public engagement and awareness campaigns, media relations and crisis communication management, stakeholder communication and feedback collection, and brand management and reputation protection.</w:t>
      </w:r>
    </w:p>
    <w:p>
      <w:pPr>
        <w:pStyle w:val="Heading4"/>
      </w:pPr>
      <w:bookmarkStart w:id="73" w:name="cross-government-collaboration"/>
      <w:r>
        <w:rPr>
          <w:b/>
        </w:rPr>
        <w:t xml:space="preserve">Cross-Government Collaboration</w:t>
      </w:r>
      <w:bookmarkEnd w:id="73"/>
    </w:p>
    <w:p>
      <w:pPr>
        <w:pStyle w:val="FirstParagraph"/>
      </w:pPr>
      <w:r>
        <w:t xml:space="preserve">Smart Dubai Initiative collaboration includes digital government integration and interoperability, smart city technology integration and innovation, data sharing and analytics collaboration, and user experience standardization across government services.</w:t>
      </w:r>
    </w:p>
    <w:p>
      <w:pPr>
        <w:pStyle w:val="BodyText"/>
      </w:pPr>
      <w:r>
        <w:t xml:space="preserve">UAE National Program for Coders partnership encompasses technology skills development and integration, digital literacy and computational thinking promotion, industry partnership and career pathway development, and innovation and entrepreneurship program alignment.</w:t>
      </w:r>
    </w:p>
    <w:p>
      <w:pPr>
        <w:pStyle w:val="BodyText"/>
      </w:pPr>
      <w:r>
        <w:t xml:space="preserve">Mohammed Bin Rashid Innovation Fund collaboration covers innovation project funding and support, entrepreneurship education and startup incubation, technology transfer and commercialization support, and research and development collaboration.</w:t>
      </w:r>
    </w:p>
    <w:p>
      <w:pPr>
        <w:pStyle w:val="Heading3"/>
      </w:pPr>
      <w:bookmarkStart w:id="74" w:name="external-stakeholder-ecosystem"/>
      <w:r>
        <w:t xml:space="preserve">External Stakeholder Ecosystem</w:t>
      </w:r>
      <w:bookmarkEnd w:id="74"/>
    </w:p>
    <w:p>
      <w:pPr>
        <w:pStyle w:val="Heading4"/>
      </w:pPr>
      <w:bookmarkStart w:id="75" w:name="educational-institution-partners"/>
      <w:r>
        <w:rPr>
          <w:b/>
        </w:rPr>
        <w:t xml:space="preserve">Educational Institution Partners</w:t>
      </w:r>
      <w:bookmarkEnd w:id="75"/>
    </w:p>
    <w:p>
      <w:pPr>
        <w:pStyle w:val="FirstParagraph"/>
      </w:pPr>
      <w:r>
        <w:t xml:space="preserve">Public Schools Network collaboration includes content contribution and quality assurance, best practice sharing and collaboration, professional development and training participation, and performance data sharing and analysis.</w:t>
      </w:r>
    </w:p>
    <w:p>
      <w:pPr>
        <w:pStyle w:val="BodyText"/>
      </w:pPr>
      <w:r>
        <w:t xml:space="preserve">Private Schools Association partnership encompasses industry standards development and compliance, quality assurance and accreditation support, innovation and excellence recognition programs, and parent and community engagement initiatives.</w:t>
      </w:r>
    </w:p>
    <w:p>
      <w:pPr>
        <w:pStyle w:val="BodyText"/>
      </w:pPr>
      <w:r>
        <w:t xml:space="preserve">Higher Education Institutions collaboration covers pathway development and articulation agreements, research collaboration and knowledge sharing, faculty exchange and professional development, and student transition and preparation programs.</w:t>
      </w:r>
    </w:p>
    <w:p>
      <w:pPr>
        <w:pStyle w:val="Heading4"/>
      </w:pPr>
      <w:bookmarkStart w:id="76" w:name="industry-and-professional-partners"/>
      <w:r>
        <w:rPr>
          <w:b/>
        </w:rPr>
        <w:t xml:space="preserve">Industry and Professional Partners</w:t>
      </w:r>
      <w:bookmarkEnd w:id="76"/>
    </w:p>
    <w:p>
      <w:pPr>
        <w:pStyle w:val="FirstParagraph"/>
      </w:pPr>
      <w:r>
        <w:t xml:space="preserve">UAE Chambers of Commerce partnership includes industry needs assessment and skill gap analysis, career pathway development and validation, employer engagement and partnership facilitation, and economic development and workforce planning support.</w:t>
      </w:r>
    </w:p>
    <w:p>
      <w:pPr>
        <w:pStyle w:val="BodyText"/>
      </w:pPr>
      <w:r>
        <w:t xml:space="preserve">Professional Associations collaboration encompasses industry standards and certification requirements, professional development and continuing education, career guidance and mentorship programs, and industry trend analysis and future skill identification.</w:t>
      </w:r>
    </w:p>
    <w:p>
      <w:pPr>
        <w:pStyle w:val="BodyText"/>
      </w:pPr>
      <w:r>
        <w:t xml:space="preserve">Multinational Corporations partnership covers internship and work experience opportunities, industry expertise and real-world application, technology and innovation integration, and global best practice sharing and benchmarking.</w:t>
      </w:r>
    </w:p>
    <w:p>
      <w:pPr>
        <w:pStyle w:val="Heading4"/>
      </w:pPr>
      <w:bookmarkStart w:id="77" w:name="community-and-family-networks"/>
      <w:r>
        <w:rPr>
          <w:b/>
        </w:rPr>
        <w:t xml:space="preserve">Community and Family Networks</w:t>
      </w:r>
      <w:bookmarkEnd w:id="77"/>
    </w:p>
    <w:p>
      <w:pPr>
        <w:pStyle w:val="FirstParagraph"/>
      </w:pPr>
      <w:r>
        <w:t xml:space="preserve">Parent Councils and Associations engagement includes user needs assessment and feedback collection, community engagement and awareness building, quality assurance and satisfaction monitoring, and advocacy and support for educational initiatives.</w:t>
      </w:r>
    </w:p>
    <w:p>
      <w:pPr>
        <w:pStyle w:val="BodyText"/>
      </w:pPr>
      <w:r>
        <w:t xml:space="preserve">Student Leadership Organizations participation encompasses youth perspective and user experience input, peer-to-peer support and mentorship programs, innovation and creativity project development, and leadership development and civic engagement.</w:t>
      </w:r>
    </w:p>
    <w:p>
      <w:pPr>
        <w:pStyle w:val="BodyText"/>
      </w:pPr>
      <w:r>
        <w:t xml:space="preserve">Cultural and Religious Organizations collaboration covers cultural appropriateness and sensitivity review, community values integration and respect, heritage preservation and celebration, and interfaith dialogue and understanding promotion.</w:t>
      </w:r>
    </w:p>
    <w:p>
      <w:r>
        <w:pict>
          <v:rect style="width:0;height:1.5pt" o:hralign="center" o:hrstd="t" o:hr="t"/>
        </w:pict>
      </w:r>
    </w:p>
    <w:p>
      <w:pPr>
        <w:pStyle w:val="Heading2"/>
      </w:pPr>
      <w:bookmarkStart w:id="78" w:name="quality-assurance-framework"/>
      <w:r>
        <w:t xml:space="preserve">Quality Assurance Framework</w:t>
      </w:r>
      <w:bookmarkEnd w:id="78"/>
    </w:p>
    <w:p>
      <w:pPr>
        <w:pStyle w:val="Heading3"/>
      </w:pPr>
      <w:bookmarkStart w:id="79" w:name="content-standards-and-criteria"/>
      <w:r>
        <w:t xml:space="preserve">Content Standards and Criteria</w:t>
      </w:r>
      <w:bookmarkEnd w:id="79"/>
    </w:p>
    <w:p>
      <w:pPr>
        <w:pStyle w:val="Heading4"/>
      </w:pPr>
      <w:bookmarkStart w:id="80" w:name="educational-quality-standards"/>
      <w:r>
        <w:rPr>
          <w:b/>
        </w:rPr>
        <w:t xml:space="preserve">Educational Quality Standards</w:t>
      </w:r>
      <w:bookmarkEnd w:id="80"/>
    </w:p>
    <w:p>
      <w:pPr>
        <w:pStyle w:val="FirstParagraph"/>
      </w:pPr>
      <w:r>
        <w:t xml:space="preserve">Curriculum alignment requirements include complete alignment with UAE national curriculum standards, age-appropriate content and learning progression, clear learning objectives and measurable outcomes, integration opportunities with other subject areas, and assessment methods and evaluation criteria specification.</w:t>
      </w:r>
    </w:p>
    <w:p>
      <w:pPr>
        <w:pStyle w:val="BodyText"/>
      </w:pPr>
      <w:r>
        <w:t xml:space="preserve">Pedagogical excellence criteria encompass evidence-based teaching methodologies and approaches, student-centered learning and engagement strategies, differentiated instruction for diverse learning needs, technology integration and digital literacy development, and critical thinking and problem-solving skill development.</w:t>
      </w:r>
    </w:p>
    <w:p>
      <w:pPr>
        <w:pStyle w:val="BodyText"/>
      </w:pPr>
      <w:r>
        <w:t xml:space="preserve">Academic rigor and depth requirements cover appropriate challenge levels for target age groups, comprehensive content coverage and skill development, real-world application and practical relevance, innovation and creativity encouragement, and global perspective and cultural awareness integration.</w:t>
      </w:r>
    </w:p>
    <w:p>
      <w:pPr>
        <w:pStyle w:val="Heading4"/>
      </w:pPr>
      <w:bookmarkStart w:id="81" w:name="technical-quality-standards"/>
      <w:r>
        <w:rPr>
          <w:b/>
        </w:rPr>
        <w:t xml:space="preserve">Technical Quality Standards</w:t>
      </w:r>
      <w:bookmarkEnd w:id="81"/>
    </w:p>
    <w:p>
      <w:pPr>
        <w:pStyle w:val="FirstParagraph"/>
      </w:pPr>
      <w:r>
        <w:t xml:space="preserve">Content presentation requirements include professional writing quality and clarity, accurate grammar, spelling, and language usage, consistent formatting and visual presentation, accessible design for users with disabilities, and mobile-responsive and cross-platform compatibility.</w:t>
      </w:r>
    </w:p>
    <w:p>
      <w:pPr>
        <w:pStyle w:val="BodyText"/>
      </w:pPr>
      <w:r>
        <w:t xml:space="preserve">Visual asset standards encompass high-resolution images and professional photography, appropriate video quality and production values, consistent branding and visual identity, cultural sensitivity in visual representation, and copyright compliance and proper attribution.</w:t>
      </w:r>
    </w:p>
    <w:p>
      <w:pPr>
        <w:pStyle w:val="BodyText"/>
      </w:pPr>
      <w:r>
        <w:t xml:space="preserve">User experience criteria include intuitive navigation and information architecture, fast loading times and optimal performance, search functionality and content discoverability, interactive elements and engagement features, and feedback mechanisms and user support systems.</w:t>
      </w:r>
    </w:p>
    <w:p>
      <w:pPr>
        <w:pStyle w:val="Heading3"/>
      </w:pPr>
      <w:bookmarkStart w:id="82" w:name="quality-assurance-processes"/>
      <w:r>
        <w:t xml:space="preserve">Quality Assurance Processes</w:t>
      </w:r>
      <w:bookmarkEnd w:id="82"/>
    </w:p>
    <w:p>
      <w:pPr>
        <w:pStyle w:val="Heading4"/>
      </w:pPr>
      <w:bookmarkStart w:id="83" w:name="multi-stage-review-system"/>
      <w:r>
        <w:rPr>
          <w:b/>
        </w:rPr>
        <w:t xml:space="preserve">Multi-Stage Review System</w:t>
      </w:r>
      <w:bookmarkEnd w:id="83"/>
    </w:p>
    <w:p>
      <w:pPr>
        <w:pStyle w:val="FirstParagraph"/>
      </w:pPr>
      <w:r>
        <w:t xml:space="preserve">Stage 1 automated quality checks include technical validation and format compliance, plagiarism detection and originality verification, basic content quality assessment, accessibility compliance scanning, and security and safety protocol verification.</w:t>
      </w:r>
    </w:p>
    <w:p>
      <w:pPr>
        <w:pStyle w:val="BodyText"/>
      </w:pPr>
      <w:r>
        <w:t xml:space="preserve">Stage 2 expert content review encompasses subject matter expert evaluation and validation, educational standards alignment assessment, pedagogical approach review and feedback, cultural sensitivity and appropriateness check, and industry relevance and career preparation validation.</w:t>
      </w:r>
    </w:p>
    <w:p>
      <w:pPr>
        <w:pStyle w:val="BodyText"/>
      </w:pPr>
      <w:r>
        <w:t xml:space="preserve">Stage 3 stakeholder validation includes parent and student focus group feedback, industry partner review and endorsement, community leader cultural appropriateness confirmation, alumni and graduate outcome verification, and peer institution best practice comparison.</w:t>
      </w:r>
    </w:p>
    <w:p>
      <w:pPr>
        <w:pStyle w:val="Heading4"/>
      </w:pPr>
      <w:bookmarkStart w:id="84" w:name="continuous-quality-monitoring"/>
      <w:r>
        <w:rPr>
          <w:b/>
        </w:rPr>
        <w:t xml:space="preserve">Continuous Quality Monitoring</w:t>
      </w:r>
      <w:bookmarkEnd w:id="84"/>
    </w:p>
    <w:p>
      <w:pPr>
        <w:pStyle w:val="FirstParagraph"/>
      </w:pPr>
      <w:r>
        <w:t xml:space="preserve">Performance metrics tracking encompasses user engagement and satisfaction measurement, content accuracy and error rate monitoring, application and enrollment conversion tracking, long-term student outcome assessment, and stakeholder feedback analysis and integration.</w:t>
      </w:r>
    </w:p>
    <w:p>
      <w:pPr>
        <w:pStyle w:val="BodyText"/>
      </w:pPr>
      <w:r>
        <w:t xml:space="preserve">Regular audit and assessment includes quarterly content quality audits, annual comprehensive program evaluation, peer review and benchmarking studies, external validation and accreditation processes, and continuous improvement planning and implementation.</w:t>
      </w:r>
    </w:p>
    <w:p>
      <w:pPr>
        <w:pStyle w:val="Heading3"/>
      </w:pPr>
      <w:bookmarkStart w:id="85" w:name="quality-improvement-mechanisms"/>
      <w:r>
        <w:t xml:space="preserve">Quality Improvement Mechanisms</w:t>
      </w:r>
      <w:bookmarkEnd w:id="85"/>
    </w:p>
    <w:p>
      <w:pPr>
        <w:pStyle w:val="Heading4"/>
      </w:pPr>
      <w:bookmarkStart w:id="86" w:name="feedback-integration-systems"/>
      <w:r>
        <w:rPr>
          <w:b/>
        </w:rPr>
        <w:t xml:space="preserve">Feedback Integration Systems</w:t>
      </w:r>
      <w:bookmarkEnd w:id="86"/>
    </w:p>
    <w:p>
      <w:pPr>
        <w:pStyle w:val="FirstParagraph"/>
      </w:pPr>
      <w:r>
        <w:t xml:space="preserve">User feedback collection includes integrated rating and review systems, regular survey and feedback campaigns, focus group sessions and consultation meetings, social media monitoring and sentiment analysis, and direct communication channels and support systems.</w:t>
      </w:r>
    </w:p>
    <w:p>
      <w:pPr>
        <w:pStyle w:val="BodyText"/>
      </w:pPr>
      <w:r>
        <w:t xml:space="preserve">Stakeholder input processing encompasses systematic feedback categorization and analysis, priority ranking and improvement planning, implementation timeline and resource allocation, progress tracking and outcome measurement, and stakeholder communication and update provision.</w:t>
      </w:r>
    </w:p>
    <w:p>
      <w:pPr>
        <w:pStyle w:val="Heading4"/>
      </w:pPr>
      <w:bookmarkStart w:id="87" w:name="best-practice-development"/>
      <w:r>
        <w:rPr>
          <w:b/>
        </w:rPr>
        <w:t xml:space="preserve">Best Practice Development</w:t>
      </w:r>
      <w:bookmarkEnd w:id="87"/>
    </w:p>
    <w:p>
      <w:pPr>
        <w:pStyle w:val="FirstParagraph"/>
      </w:pPr>
      <w:r>
        <w:t xml:space="preserve">Success story documentation includes high-performing program identification and analysis, best practice extraction and documentation, template and guideline development, training material creation and dissemination, and peer learning and knowledge sharing facilitation.</w:t>
      </w:r>
    </w:p>
    <w:p>
      <w:pPr>
        <w:pStyle w:val="BodyText"/>
      </w:pPr>
      <w:r>
        <w:t xml:space="preserve">Innovation and excellence recognition encompasses outstanding program recognition and awards, innovation showcase and celebration events, best practice sharing conferences and workshops, professional development and training opportunities, and continuous learning and improvement culture promotion.</w:t>
      </w:r>
    </w:p>
    <w:p>
      <w:r>
        <w:pict>
          <v:rect style="width:0;height:1.5pt" o:hralign="center" o:hrstd="t" o:hr="t"/>
        </w:pict>
      </w:r>
    </w:p>
    <w:p>
      <w:pPr>
        <w:pStyle w:val="Heading2"/>
      </w:pPr>
      <w:bookmarkStart w:id="88" w:name="performance-metrics-kpis"/>
      <w:r>
        <w:t xml:space="preserve">Performance Metrics &amp; KPIs</w:t>
      </w:r>
      <w:bookmarkEnd w:id="88"/>
    </w:p>
    <w:p>
      <w:pPr>
        <w:pStyle w:val="Heading3"/>
      </w:pPr>
      <w:bookmarkStart w:id="89" w:name="content-quality-metrics"/>
      <w:r>
        <w:t xml:space="preserve">Content Quality Metrics</w:t>
      </w:r>
      <w:bookmarkEnd w:id="89"/>
    </w:p>
    <w:p>
      <w:pPr>
        <w:pStyle w:val="Heading4"/>
      </w:pPr>
      <w:bookmarkStart w:id="90" w:name="educational-effectiveness-indicators"/>
      <w:r>
        <w:rPr>
          <w:b/>
        </w:rPr>
        <w:t xml:space="preserve">Educational Effectiveness Indicators</w:t>
      </w:r>
      <w:bookmarkEnd w:id="90"/>
    </w:p>
    <w:p>
      <w:pPr>
        <w:pStyle w:val="FirstParagraph"/>
      </w:pPr>
      <w:r>
        <w:t xml:space="preserve">Learning outcome achievement targets include 85% of students showing measurable improvement, average skill development assessment scores of 4.2/5.0, 90% knowledge retention rates after 6 months, 80% demonstrating improved analytical abilities in critical thinking skills, and 75% successfully applying learned concepts in real-world applications.</w:t>
      </w:r>
    </w:p>
    <w:p>
      <w:pPr>
        <w:pStyle w:val="BodyText"/>
      </w:pPr>
      <w:r>
        <w:t xml:space="preserve">Program completion and satisfaction metrics target 92% completion rates for enrolled students, 4.5/5.0 average student satisfaction scores, 4.4/5.0 average parent satisfaction levels, 4.3/5.0 average teacher and faculty satisfaction, and 85% alumni recommendation rates.</w:t>
      </w:r>
    </w:p>
    <w:p>
      <w:pPr>
        <w:pStyle w:val="Heading4"/>
      </w:pPr>
      <w:bookmarkStart w:id="91" w:name="content-quality-and-accuracy"/>
      <w:r>
        <w:rPr>
          <w:b/>
        </w:rPr>
        <w:t xml:space="preserve">Content Quality and Accuracy</w:t>
      </w:r>
      <w:bookmarkEnd w:id="91"/>
    </w:p>
    <w:p>
      <w:pPr>
        <w:pStyle w:val="FirstParagraph"/>
      </w:pPr>
      <w:r>
        <w:t xml:space="preserve">Information accuracy and currency targets include 99.5% factual accuracy rates, 95% of content updated within 12 months, error resolution within 48 hours, 100% verification for critical information, and 90% sourcing from authoritative sources.</w:t>
      </w:r>
    </w:p>
    <w:p>
      <w:pPr>
        <w:pStyle w:val="BodyText"/>
      </w:pPr>
      <w:r>
        <w:t xml:space="preserve">User experience and accessibility metrics target page load times under 3 seconds on all devices, 95% mobile responsiveness compatibility across devices, 100% WCAG 2.1 AA accessibility compliance, 90% user navigation success rates for completing desired tasks, and 85% finding relevant content within 3 searches.</w:t>
      </w:r>
    </w:p>
    <w:p>
      <w:pPr>
        <w:pStyle w:val="Heading3"/>
      </w:pPr>
      <w:bookmarkStart w:id="92" w:name="operational-efficiency-metrics"/>
      <w:r>
        <w:t xml:space="preserve">Operational Efficiency Metrics</w:t>
      </w:r>
      <w:bookmarkEnd w:id="92"/>
    </w:p>
    <w:p>
      <w:pPr>
        <w:pStyle w:val="Heading4"/>
      </w:pPr>
      <w:bookmarkStart w:id="93" w:name="workflow-performance-indicators"/>
      <w:r>
        <w:rPr>
          <w:b/>
        </w:rPr>
        <w:t xml:space="preserve">Workflow Performance Indicators</w:t>
      </w:r>
      <w:bookmarkEnd w:id="93"/>
    </w:p>
    <w:p>
      <w:pPr>
        <w:pStyle w:val="FirstParagraph"/>
      </w:pPr>
      <w:r>
        <w:t xml:space="preserve">Content processing efficiency targets include 18-day average approval timelines (reduced from current 21 days), 95% review process completion within standard timeline, 80% approval rates after first revision, 24-hour response times to stakeholder queries, and 50 submissions reviewed per week in quality assurance throughput.</w:t>
      </w:r>
    </w:p>
    <w:p>
      <w:pPr>
        <w:pStyle w:val="BodyText"/>
      </w:pPr>
      <w:r>
        <w:t xml:space="preserve">Resource utilization and cost effectiveness targets encompass 15% year-over-year cost reduction per content piece, 20% improvement in staff productivity metrics for content processing, 85% optimal technology utilization rates, 3:1 return on training and development investment, and 40% automation of routine tasks.</w:t>
      </w:r>
    </w:p>
    <w:p>
      <w:pPr>
        <w:pStyle w:val="Heading4"/>
      </w:pPr>
      <w:bookmarkStart w:id="94" w:name="stakeholder-engagement-metrics"/>
      <w:r>
        <w:rPr>
          <w:b/>
        </w:rPr>
        <w:t xml:space="preserve">Stakeholder Engagement Metrics</w:t>
      </w:r>
      <w:bookmarkEnd w:id="94"/>
    </w:p>
    <w:p>
      <w:pPr>
        <w:pStyle w:val="FirstParagraph"/>
      </w:pPr>
      <w:r>
        <w:t xml:space="preserve">School and institution participation targets include 80% of eligible schools actively contributing content, 4.0/5.0 average initial submission quality scores, 90% of schools submitting content annually as repeat contributors, 15% annual increase in active partnerships and collaboration, and 75% of eligible staff completing training programs.</w:t>
      </w:r>
    </w:p>
    <w:p>
      <w:pPr>
        <w:pStyle w:val="BodyText"/>
      </w:pPr>
      <w:r>
        <w:t xml:space="preserve">User engagement and satisfaction metrics target 25% year-over-year platform usage growth, 8-minute average session duration, 60% of users returning within 30 days, 30% of users sharing content, and 40% of users engaging with community features.</w:t>
      </w:r>
    </w:p>
    <w:p>
      <w:pPr>
        <w:pStyle w:val="Heading3"/>
      </w:pPr>
      <w:bookmarkStart w:id="95" w:name="impact-and-outcome-metrics"/>
      <w:r>
        <w:t xml:space="preserve">Impact and Outcome Metrics</w:t>
      </w:r>
      <w:bookmarkEnd w:id="95"/>
    </w:p>
    <w:p>
      <w:pPr>
        <w:pStyle w:val="Heading4"/>
      </w:pPr>
      <w:bookmarkStart w:id="96" w:name="educational-impact-assessment"/>
      <w:r>
        <w:rPr>
          <w:b/>
        </w:rPr>
        <w:t xml:space="preserve">Educational Impact Assessment</w:t>
      </w:r>
      <w:bookmarkEnd w:id="96"/>
    </w:p>
    <w:p>
      <w:pPr>
        <w:pStyle w:val="FirstParagraph"/>
      </w:pPr>
      <w:r>
        <w:t xml:space="preserve">Student development and achievement targets include 20% improvement in standardized test scores for academic performance, 85% of students advancing to next proficiency level in skill development, 90% of graduates meeting career readiness standards, 95% of graduates eligible for higher education, and 70% demonstrating improved leadership skills in leadership and citizenship development.</w:t>
      </w:r>
    </w:p>
    <w:p>
      <w:pPr>
        <w:pStyle w:val="BodyText"/>
      </w:pPr>
      <w:r>
        <w:t xml:space="preserve">Long-term success indicators target 85% graduate employment within 6 months, 90% pursuing post-secondary education in higher education enrollment, 75% advancing in career within 2 years, 4.6/5.0 alumni satisfaction with program preparation, and 60% actively contributing to community.</w:t>
      </w:r>
    </w:p>
    <w:p>
      <w:pPr>
        <w:pStyle w:val="Heading4"/>
      </w:pPr>
      <w:bookmarkStart w:id="97" w:name="system-wide-impact-metrics"/>
      <w:r>
        <w:rPr>
          <w:b/>
        </w:rPr>
        <w:t xml:space="preserve">System-wide Impact Metrics</w:t>
      </w:r>
      <w:bookmarkEnd w:id="97"/>
    </w:p>
    <w:p>
      <w:pPr>
        <w:pStyle w:val="FirstParagraph"/>
      </w:pPr>
      <w:r>
        <w:t xml:space="preserve">Platform contribution to UAE goals targets 30% increase in Emirati participation in targeted sectors for Emiratization support, program alignment with 80% of priority sectors for economic diversification contribution, 25% of graduates pursuing innovation projects, 90% of programs integrating UAE cultural elements for cultural preservation, and 85% of programs meeting international standards for global competitiveness enhancement.</w:t>
      </w:r>
    </w:p>
    <w:p>
      <w:pPr>
        <w:pStyle w:val="BodyText"/>
      </w:pPr>
      <w:r>
        <w:t xml:space="preserve">Stakeholder ecosystem development targets 20% annual increase in active partnerships for partnership network growth, 50% increase in inter-institutional collaboration for knowledge sharing, 75% adoption rate of successful practices by other institutions, 10% of programs receiving national or international recognition, and 95% of programs demonstrating continuous improvement for sustainability.</w:t>
      </w:r>
    </w:p>
    <w:p>
      <w:pPr>
        <w:pStyle w:val="Heading3"/>
      </w:pPr>
      <w:bookmarkStart w:id="98" w:name="data-collection-and-analysis-framework"/>
      <w:r>
        <w:t xml:space="preserve">Data Collection and Analysis Framework</w:t>
      </w:r>
      <w:bookmarkEnd w:id="98"/>
    </w:p>
    <w:p>
      <w:pPr>
        <w:pStyle w:val="Heading4"/>
      </w:pPr>
      <w:bookmarkStart w:id="99" w:name="data-collection-mechanisms"/>
      <w:r>
        <w:rPr>
          <w:b/>
        </w:rPr>
        <w:t xml:space="preserve">Data Collection Mechanisms</w:t>
      </w:r>
      <w:bookmarkEnd w:id="99"/>
    </w:p>
    <w:p>
      <w:pPr>
        <w:pStyle w:val="FirstParagraph"/>
      </w:pPr>
      <w:r>
        <w:t xml:space="preserve">Automated data capture includes platform analytics and user behavior tracking, performance monitoring and system health metrics, content engagement and interaction measurement, search and navigation pattern analysis, and error tracking and issue identification systems.</w:t>
      </w:r>
    </w:p>
    <w:p>
      <w:pPr>
        <w:pStyle w:val="BodyText"/>
      </w:pPr>
      <w:r>
        <w:t xml:space="preserve">Survey and feedback systems encompass regular user satisfaction surveys and feedback collection, stakeholder consultation sessions and focus groups, alumni tracking and outcome assessment surveys, employer feedback and graduate performance evaluation, and community impact assessment and social benefit measurement.</w:t>
      </w:r>
    </w:p>
    <w:p>
      <w:pPr>
        <w:pStyle w:val="Heading4"/>
      </w:pPr>
      <w:bookmarkStart w:id="100" w:name="analysis-and-reporting-structure"/>
      <w:r>
        <w:rPr>
          <w:b/>
        </w:rPr>
        <w:t xml:space="preserve">Analysis and Reporting Structure</w:t>
      </w:r>
      <w:bookmarkEnd w:id="100"/>
    </w:p>
    <w:p>
      <w:pPr>
        <w:pStyle w:val="FirstParagraph"/>
      </w:pPr>
      <w:r>
        <w:t xml:space="preserve">Real-time dashboard systems include executive summary dashboards for leadership decision-making, operational performance dashboards for daily management, quality assurance dashboards for continuous monitoring, stakeholder engagement dashboards for relationship management, and trend analysis and predictive modeling for strategic planning.</w:t>
      </w:r>
    </w:p>
    <w:p>
      <w:pPr>
        <w:pStyle w:val="BodyText"/>
      </w:pPr>
      <w:r>
        <w:t xml:space="preserve">Regular reporting cycles encompass daily operational reports and issue alerts, weekly performance summaries and trend analysis, monthly comprehensive performance reviews, quarterly strategic assessment and planning reports, and annual impact evaluation and strategic planning documents.</w:t>
      </w:r>
    </w:p>
    <w:p>
      <w:r>
        <w:pict>
          <v:rect style="width:0;height:1.5pt" o:hralign="center" o:hrstd="t" o:hr="t"/>
        </w:pict>
      </w:r>
    </w:p>
    <w:p>
      <w:pPr>
        <w:pStyle w:val="Heading2"/>
      </w:pPr>
      <w:bookmarkStart w:id="101" w:name="risk-management"/>
      <w:r>
        <w:t xml:space="preserve">Risk Management</w:t>
      </w:r>
      <w:bookmarkEnd w:id="101"/>
    </w:p>
    <w:p>
      <w:pPr>
        <w:pStyle w:val="Heading3"/>
      </w:pPr>
      <w:bookmarkStart w:id="102" w:name="content-related-risk-categories"/>
      <w:r>
        <w:t xml:space="preserve">Content-Related Risk Categories</w:t>
      </w:r>
      <w:bookmarkEnd w:id="102"/>
    </w:p>
    <w:p>
      <w:pPr>
        <w:pStyle w:val="Heading4"/>
      </w:pPr>
      <w:bookmarkStart w:id="103" w:name="educational-quality-risks"/>
      <w:r>
        <w:rPr>
          <w:b/>
        </w:rPr>
        <w:t xml:space="preserve">Educational Quality Risks</w:t>
      </w:r>
      <w:bookmarkEnd w:id="103"/>
    </w:p>
    <w:p>
      <w:pPr>
        <w:pStyle w:val="FirstParagraph"/>
      </w:pPr>
      <w:r>
        <w:t xml:space="preserve">Inaccurate or outdated curriculum information poses medium risk (15-25% likelihood without proper controls) with impacts including students receiving incorrect guidance affecting academic and career decisions. Mitigation strategies include quarterly content review and update cycles, real-time notification systems for curriculum changes, expert reviewer networks for subject matter validation, automated alerts for content aging beyond 12 months, and direct liaison with KHDA curriculum development teams.</w:t>
      </w:r>
    </w:p>
    <w:p>
      <w:pPr>
        <w:pStyle w:val="BodyText"/>
      </w:pPr>
      <w:r>
        <w:t xml:space="preserve">Misalignment with UAE National Education Standards presents low risk (5-10% with current review processes) with impacts of programs failing to meet national requirements and affecting student progression. Mitigation strategies encompass mandatory alignment checklists for all content submissions, direct integration with KHDA standards databases, specialized reviewer training on national standards, regular audit and compliance verification processes, and escalation protocols for standards interpretation disputes.</w:t>
      </w:r>
    </w:p>
    <w:p>
      <w:pPr>
        <w:pStyle w:val="Heading4"/>
      </w:pPr>
      <w:bookmarkStart w:id="104" w:name="legal-and-compliance-risks"/>
      <w:r>
        <w:rPr>
          <w:b/>
        </w:rPr>
        <w:t xml:space="preserve">Legal and Compliance Risks</w:t>
      </w:r>
      <w:bookmarkEnd w:id="104"/>
    </w:p>
    <w:p>
      <w:pPr>
        <w:pStyle w:val="FirstParagraph"/>
      </w:pPr>
      <w:r>
        <w:t xml:space="preserve">Non-compliance with UAE Education Regulations carries low risk (5% with proper legal review) but high impact including legal liability, platform shutdown, and reputation damage. Mitigation strategies include legal review requirements for all content before publication, regular compliance training for all staff and reviewers, direct consultation with KHDA legal departments, automated compliance checking systems, and regular legal audit and assessment processes.</w:t>
      </w:r>
    </w:p>
    <w:p>
      <w:pPr>
        <w:pStyle w:val="BodyText"/>
      </w:pPr>
      <w:r>
        <w:t xml:space="preserve">Copyright and intellectual property violations present medium risk (10-15% without proper controls) with impacts of legal action, financial penalties, and content removal requirements. Mitigation strategies encompass mandatory copyright verification for all visual and written content, original content creation requirements and guidelines, automated plagiarism detection and verification systems, legal clearance processes for third-party content usage, and staff training on intellectual property rights and requirements.</w:t>
      </w:r>
    </w:p>
    <w:p>
      <w:pPr>
        <w:pStyle w:val="Heading3"/>
      </w:pPr>
      <w:bookmarkStart w:id="105" w:name="operational-risk-management"/>
      <w:r>
        <w:t xml:space="preserve">Operational Risk Management</w:t>
      </w:r>
      <w:bookmarkEnd w:id="105"/>
    </w:p>
    <w:p>
      <w:pPr>
        <w:pStyle w:val="Heading4"/>
      </w:pPr>
      <w:bookmarkStart w:id="106" w:name="technology-and-platform-risks"/>
      <w:r>
        <w:rPr>
          <w:b/>
        </w:rPr>
        <w:t xml:space="preserve">Technology and Platform Risks</w:t>
      </w:r>
      <w:bookmarkEnd w:id="106"/>
    </w:p>
    <w:p>
      <w:pPr>
        <w:pStyle w:val="FirstParagraph"/>
      </w:pPr>
      <w:r>
        <w:t xml:space="preserve">System downtime and technical failures present medium risk (20-30% annual occurrence without proper infrastructure) with impacts of service interruption, user frustration, and content inaccessibility. Mitigation strategies include redundant server infrastructure and backup systems, 24/7 monitoring and rapid response protocols, regular system maintenance and update schedules, disaster recovery and business continuity planning, and service level agreements with technology vendors.</w:t>
      </w:r>
    </w:p>
    <w:p>
      <w:pPr>
        <w:pStyle w:val="BodyText"/>
      </w:pPr>
      <w:r>
        <w:t xml:space="preserve">Data security and privacy breaches carry low risk (5-10% with proper security measures) but high impact including personal information exposure, legal liability, and trust erosion. Mitigation strategies encompass advanced cybersecurity infrastructure and monitoring, regular security audits and penetration testing, staff training on data protection and privacy requirements, compliance with UAE data protection regulations, and incident response and breach notification procedures.</w:t>
      </w:r>
    </w:p>
    <w:p>
      <w:pPr>
        <w:pStyle w:val="Heading4"/>
      </w:pPr>
      <w:bookmarkStart w:id="107" w:name="stakeholder-relationship-risks"/>
      <w:r>
        <w:rPr>
          <w:b/>
        </w:rPr>
        <w:t xml:space="preserve">Stakeholder Relationship Risks</w:t>
      </w:r>
      <w:bookmarkEnd w:id="107"/>
    </w:p>
    <w:p>
      <w:pPr>
        <w:pStyle w:val="FirstParagraph"/>
      </w:pPr>
      <w:r>
        <w:t xml:space="preserve">School and institution disengagement presents medium risk (15-25% without proper relationship management) with impacts of reduced content quality and quantity and platform relevance decline. Mitigation strategies include regular stakeholder satisfaction surveys and feedback collection, dedicated relationship management and support services, recognition and incentive programs for active contributors, professional development and training opportunities, and clear communication channels and responsive support systems.</w:t>
      </w:r>
    </w:p>
    <w:p>
      <w:pPr>
        <w:pStyle w:val="BodyText"/>
      </w:pPr>
      <w:r>
        <w:t xml:space="preserve">User dissatisfaction and platform abandonment carries medium risk (20-30% without continuous improvement) with impacts of reduced platform usage, negative reputation, and goal achievement failure. Mitigation strategies encompass continuous user experience monitoring and improvement, regular user feedback collection and integration, responsive customer service and support systems, platform feature enhancement based on user needs, and community building and engagement initiatives.</w:t>
      </w:r>
    </w:p>
    <w:p>
      <w:pPr>
        <w:pStyle w:val="Heading3"/>
      </w:pPr>
      <w:bookmarkStart w:id="108" w:name="strategic-risk-assessment"/>
      <w:r>
        <w:t xml:space="preserve">Strategic Risk Assessment</w:t>
      </w:r>
      <w:bookmarkEnd w:id="108"/>
    </w:p>
    <w:p>
      <w:pPr>
        <w:pStyle w:val="Heading4"/>
      </w:pPr>
      <w:bookmarkStart w:id="109" w:name="market-and-competitive-risks"/>
      <w:r>
        <w:rPr>
          <w:b/>
        </w:rPr>
        <w:t xml:space="preserve">Market and Competitive Risks</w:t>
      </w:r>
      <w:bookmarkEnd w:id="109"/>
    </w:p>
    <w:p>
      <w:pPr>
        <w:pStyle w:val="FirstParagraph"/>
      </w:pPr>
      <w:r>
        <w:t xml:space="preserve">Emergence of competing platforms or services presents medium risk (25-35% over 5-year period) with impacts of user migration, reduced market share, and platform relevance decline. Mitigation strategies include continuous innovation and feature development, strong differentiation through government backing and official status, superior content quality and comprehensive coverage, strategic partnerships and exclusive content agreements, and user loyalty programs and community building initiatives.</w:t>
      </w:r>
    </w:p>
    <w:p>
      <w:pPr>
        <w:pStyle w:val="BodyText"/>
      </w:pPr>
      <w:r>
        <w:t xml:space="preserve">Changes in educational policy or government priorities carry medium risk (20-30% likelihood of significant changes) with impacts of platform misalignment, resource reallocation, and strategic redirection requirements. Mitigation strategies encompass close alignment and communication with government leadership, flexible platform architecture allowing rapid adaptation, diversified content portfolio reducing single-point-of-failure risk, strong stakeholder relationships enabling rapid response, and continuous monitoring of policy developments and trends.</w:t>
      </w:r>
    </w:p>
    <w:p>
      <w:pPr>
        <w:pStyle w:val="Heading4"/>
      </w:pPr>
      <w:bookmarkStart w:id="110" w:name="financial-and-resource-risks"/>
      <w:r>
        <w:rPr>
          <w:b/>
        </w:rPr>
        <w:t xml:space="preserve">Financial and Resource Risks</w:t>
      </w:r>
      <w:bookmarkEnd w:id="110"/>
    </w:p>
    <w:p>
      <w:pPr>
        <w:pStyle w:val="FirstParagraph"/>
      </w:pPr>
      <w:r>
        <w:t xml:space="preserve">Budget constraints and resource limitations present medium risk (15-25% likelihood during economic downturns) with impacts of reduced service quality, delayed improvements, and staff reductions. Mitigation strategies include diversified funding sources and revenue streams, efficient operational processes and cost management, strategic partnerships reducing resource requirements, scalable technology infrastructure minimizing fixed costs, and performance-based budgeting and resource allocation.</w:t>
      </w:r>
    </w:p>
    <w:p>
      <w:pPr>
        <w:pStyle w:val="BodyText"/>
      </w:pPr>
      <w:r>
        <w:t xml:space="preserve">Key personnel departure and knowledge loss carries high risk (40-50% annual turnover in key positions without retention strategies) with impacts of operational disruption, quality decline, and institutional knowledge loss. Mitigation strategies encompass competitive compensation and benefits packages, professional development and career advancement opportunities, knowledge management and documentation systems, succession planning and cross-training programs, and strong organizational culture and employee engagement initiatives.</w:t>
      </w:r>
    </w:p>
    <w:p>
      <w:pPr>
        <w:pStyle w:val="Heading3"/>
      </w:pPr>
      <w:bookmarkStart w:id="111" w:name="risk-monitoring-and-response-framework"/>
      <w:r>
        <w:t xml:space="preserve">Risk Monitoring and Response Framework</w:t>
      </w:r>
      <w:bookmarkEnd w:id="111"/>
    </w:p>
    <w:p>
      <w:pPr>
        <w:pStyle w:val="Heading4"/>
      </w:pPr>
      <w:bookmarkStart w:id="112" w:name="risk-assessment-and-monitoring-systems"/>
      <w:r>
        <w:rPr>
          <w:b/>
        </w:rPr>
        <w:t xml:space="preserve">Risk Assessment and Monitoring Systems</w:t>
      </w:r>
      <w:bookmarkEnd w:id="112"/>
    </w:p>
    <w:p>
      <w:pPr>
        <w:pStyle w:val="FirstParagraph"/>
      </w:pPr>
      <w:r>
        <w:t xml:space="preserve">Continuous risk monitoring includes real-time system monitoring and alert systems, regular stakeholder feedback and satisfaction surveys, performance metrics tracking and trend analysis, external environment scanning and threat assessment, and regular risk assessment workshops and evaluation sessions.</w:t>
      </w:r>
    </w:p>
    <w:p>
      <w:pPr>
        <w:pStyle w:val="BodyText"/>
      </w:pPr>
      <w:r>
        <w:t xml:space="preserve">Risk response protocols encompass clearly defined escalation procedures and responsibility matrices, rapid response teams for critical incidents and emergencies, communication protocols for stakeholder notification and updates, recovery and continuity planning for major disruptions, and post-incident analysis and improvement planning processes.</w:t>
      </w:r>
    </w:p>
    <w:p>
      <w:pPr>
        <w:pStyle w:val="Heading4"/>
      </w:pPr>
      <w:bookmarkStart w:id="113" w:name="crisis-management-and-communication"/>
      <w:r>
        <w:rPr>
          <w:b/>
        </w:rPr>
        <w:t xml:space="preserve">Crisis Management and Communication</w:t>
      </w:r>
      <w:bookmarkEnd w:id="113"/>
    </w:p>
    <w:p>
      <w:pPr>
        <w:pStyle w:val="FirstParagraph"/>
      </w:pPr>
      <w:r>
        <w:t xml:space="preserve">Crisis response team structure includes executive leadership teams for strategic decision-making, operational response teams for immediate action and coordination, communications teams for stakeholder notification and media relations, technical teams for system recovery and security response, and legal teams for compliance and liability management.</w:t>
      </w:r>
    </w:p>
    <w:p>
      <w:pPr>
        <w:pStyle w:val="BodyText"/>
      </w:pPr>
      <w:r>
        <w:t xml:space="preserve">Communication strategies encompass pre-approved communication templates and messaging frameworks, multiple communication channels for different stakeholder groups, regular update schedules and progress reporting, transparency and accountability in crisis communication, and post-crisis evaluation and reputation recovery planning.</w:t>
      </w:r>
    </w:p>
    <w:p>
      <w:r>
        <w:pict>
          <v:rect style="width:0;height:1.5pt" o:hralign="center" o:hrstd="t" o:hr="t"/>
        </w:pict>
      </w:r>
    </w:p>
    <w:p>
      <w:pPr>
        <w:pStyle w:val="Heading2"/>
      </w:pPr>
      <w:bookmarkStart w:id="114" w:name="implementation-timeline"/>
      <w:r>
        <w:t xml:space="preserve">Implementation Timeline</w:t>
      </w:r>
      <w:bookmarkEnd w:id="114"/>
    </w:p>
    <w:p>
      <w:pPr>
        <w:pStyle w:val="Heading3"/>
      </w:pPr>
      <w:bookmarkStart w:id="115" w:name="phase-1-foundation-and-setup-months-1-3"/>
      <w:r>
        <w:t xml:space="preserve">Phase 1: Foundation and Setup (Months 1-3)</w:t>
      </w:r>
      <w:bookmarkEnd w:id="115"/>
    </w:p>
    <w:p>
      <w:pPr>
        <w:pStyle w:val="Heading4"/>
      </w:pPr>
      <w:bookmarkStart w:id="116" w:name="Xc6943944536a2f6e031f622c70bbf7a0f397157"/>
      <w:r>
        <w:rPr>
          <w:b/>
        </w:rPr>
        <w:t xml:space="preserve">Month 1: Governance Structure Establishment</w:t>
      </w:r>
      <w:bookmarkEnd w:id="116"/>
    </w:p>
    <w:p>
      <w:pPr>
        <w:pStyle w:val="FirstParagraph"/>
      </w:pPr>
      <w:r>
        <w:t xml:space="preserve">The first two weeks focus on leadership team formation including Content Steering Committee establishment and charter approval, Advisory Board member identification and recruitment, Content Management Office staffing and organizational structure, key personnel recruitment and onboarding processes, and initial budget allocation and resource planning.</w:t>
      </w:r>
    </w:p>
    <w:p>
      <w:pPr>
        <w:pStyle w:val="BodyText"/>
      </w:pPr>
      <w:r>
        <w:t xml:space="preserve">Weeks 3-4 concentrate on policy and procedure development encompassing content quality standards and guidelines development, review process workflows and approval procedures, stakeholder engagement protocols and communication frameworks, risk management policies and emergency response procedures, and performance measurement and evaluation systems design.</w:t>
      </w:r>
    </w:p>
    <w:p>
      <w:pPr>
        <w:pStyle w:val="Heading4"/>
      </w:pPr>
      <w:bookmarkStart w:id="117" w:name="X4fe86b53ecf1fbdb1aa0a4b35022f4a063bebe0"/>
      <w:r>
        <w:rPr>
          <w:b/>
        </w:rPr>
        <w:t xml:space="preserve">Month 2: Technology Infrastructure Development</w:t>
      </w:r>
      <w:bookmarkEnd w:id="117"/>
    </w:p>
    <w:p>
      <w:pPr>
        <w:pStyle w:val="FirstParagraph"/>
      </w:pPr>
      <w:r>
        <w:t xml:space="preserve">The first two weeks address platform architecture and design including content management system selection and customization, user interface design and user experience optimization, integration planning with existing KHDA systems and databases, security infrastructure and data protection implementation, and mobile responsiveness and accessibility compliance development.</w:t>
      </w:r>
    </w:p>
    <w:p>
      <w:pPr>
        <w:pStyle w:val="BodyText"/>
      </w:pPr>
      <w:r>
        <w:t xml:space="preserve">Weeks 3-4 focus on testing and quality assurance through system functionality testing and bug identification, user acceptance testing with pilot user groups, security testing and vulnerability assessment, performance testing and optimization, and staff training on platform usage and administration.</w:t>
      </w:r>
    </w:p>
    <w:p>
      <w:pPr>
        <w:pStyle w:val="Heading4"/>
      </w:pPr>
      <w:bookmarkStart w:id="118" w:name="Xd36bbc4731951e08708e8115f2551e1a736bcb7"/>
      <w:r>
        <w:rPr>
          <w:b/>
        </w:rPr>
        <w:t xml:space="preserve">Month 3: Stakeholder Engagement and Training</w:t>
      </w:r>
      <w:bookmarkEnd w:id="118"/>
    </w:p>
    <w:p>
      <w:pPr>
        <w:pStyle w:val="FirstParagraph"/>
      </w:pPr>
      <w:r>
        <w:t xml:space="preserve">The first two weeks handle stakeholder onboarding including school and institution registration and orientation, content contributor training and certification programs, reviewer and quality assurance team training, parent and community engagement initiatives, and industry partner recruitment and collaboration agreements.</w:t>
      </w:r>
    </w:p>
    <w:p>
      <w:pPr>
        <w:pStyle w:val="BodyText"/>
      </w:pPr>
      <w:r>
        <w:t xml:space="preserve">Weeks 3-4 manage pilot program launch through limited content submission and review pilot programs, feedback collection and system refinement, process optimization and workflow improvement, quality assurance validation and compliance verification, and stakeholder satisfaction assessment and adjustment.</w:t>
      </w:r>
    </w:p>
    <w:p>
      <w:pPr>
        <w:pStyle w:val="Heading3"/>
      </w:pPr>
      <w:bookmarkStart w:id="119" w:name="X805c21037dd511a418fd815d55288d677a58256"/>
      <w:r>
        <w:t xml:space="preserve">Phase 2: Content Development and Review (Months 4-6)</w:t>
      </w:r>
      <w:bookmarkEnd w:id="119"/>
    </w:p>
    <w:p>
      <w:pPr>
        <w:pStyle w:val="Heading4"/>
      </w:pPr>
      <w:bookmarkStart w:id="120" w:name="month-4-initial-content-creation"/>
      <w:r>
        <w:rPr>
          <w:b/>
        </w:rPr>
        <w:t xml:space="preserve">Month 4: Initial Content Creation</w:t>
      </w:r>
      <w:bookmarkEnd w:id="120"/>
    </w:p>
    <w:p>
      <w:pPr>
        <w:pStyle w:val="FirstParagraph"/>
      </w:pPr>
      <w:r>
        <w:t xml:space="preserve">The first two weeks conduct content submission campaigns including school outreach and content submission encouragement, template and guideline distribution to content creators, technical support and assistance for content development, quality assurance training and reviewer preparation, and initial content submission and processing.</w:t>
      </w:r>
    </w:p>
    <w:p>
      <w:pPr>
        <w:pStyle w:val="BodyText"/>
      </w:pPr>
      <w:r>
        <w:t xml:space="preserve">Weeks 3-4 implement review processes through multi-stage review process activation and management, quality assurance and compliance verification, stakeholder feedback integration and content improvement, approval and revision cycle management, and performance monitoring and process optimization.</w:t>
      </w:r>
    </w:p>
    <w:p>
      <w:pPr>
        <w:pStyle w:val="Heading4"/>
      </w:pPr>
      <w:bookmarkStart w:id="121" w:name="month-5-content-quality-enhancement"/>
      <w:r>
        <w:rPr>
          <w:b/>
        </w:rPr>
        <w:t xml:space="preserve">Month 5: Content Quality Enhancement</w:t>
      </w:r>
      <w:bookmarkEnd w:id="121"/>
    </w:p>
    <w:p>
      <w:pPr>
        <w:pStyle w:val="FirstParagraph"/>
      </w:pPr>
      <w:r>
        <w:t xml:space="preserve">The first two weeks focus on quality improvement initiatives including content quality assessment and improvement recommendations, best practice identification and dissemination, additional training and support for content creators, reviewer feedback and process refinement, and stakeholder satisfaction monitoring and improvement.</w:t>
      </w:r>
    </w:p>
    <w:p>
      <w:pPr>
        <w:pStyle w:val="BodyText"/>
      </w:pPr>
      <w:r>
        <w:t xml:space="preserve">Weeks 3-4 handle content portfolio expansion through additional program categories and content types, specialized content for different age groups and needs, multimedia content development and integration, accessibility and inclusion content enhancement, and cultural sensitivity and appropriateness verification.</w:t>
      </w:r>
    </w:p>
    <w:p>
      <w:pPr>
        <w:pStyle w:val="Heading4"/>
      </w:pPr>
      <w:bookmarkStart w:id="122" w:name="month-6-pre-launch-preparation"/>
      <w:r>
        <w:rPr>
          <w:b/>
        </w:rPr>
        <w:t xml:space="preserve">Month 6: Pre-Launch Preparation</w:t>
      </w:r>
      <w:bookmarkEnd w:id="122"/>
    </w:p>
    <w:p>
      <w:pPr>
        <w:pStyle w:val="FirstParagraph"/>
      </w:pPr>
      <w:r>
        <w:t xml:space="preserve">The first two weeks conduct final quality assurance including comprehensive content review and validation, system performance testing and optimization, user experience testing and interface refinement, security assessment and vulnerability remediation, and stakeholder readiness assessment and final preparation.</w:t>
      </w:r>
    </w:p>
    <w:p>
      <w:pPr>
        <w:pStyle w:val="BodyText"/>
      </w:pPr>
      <w:r>
        <w:t xml:space="preserve">Weeks 3-4 manage launch preparation through marketing and communication campaign development, stakeholder notification and engagement planning, media relations and public announcement preparation, staff training and support system activation, and final system checks and launch readiness verification.</w:t>
      </w:r>
    </w:p>
    <w:p>
      <w:pPr>
        <w:pStyle w:val="Heading3"/>
      </w:pPr>
      <w:bookmarkStart w:id="123" w:name="X0e6d8e5eb68439fa980f8677f116dfca3bb50c3"/>
      <w:r>
        <w:t xml:space="preserve">Phase 3: Platform Launch and Initial Operations (Months 7-9)</w:t>
      </w:r>
      <w:bookmarkEnd w:id="123"/>
    </w:p>
    <w:p>
      <w:pPr>
        <w:pStyle w:val="Heading4"/>
      </w:pPr>
      <w:bookmarkStart w:id="124" w:name="month-7-soft-launch-and-testing"/>
      <w:r>
        <w:rPr>
          <w:b/>
        </w:rPr>
        <w:t xml:space="preserve">Month 7: Soft Launch and Testing</w:t>
      </w:r>
      <w:bookmarkEnd w:id="124"/>
    </w:p>
    <w:p>
      <w:pPr>
        <w:pStyle w:val="FirstParagraph"/>
      </w:pPr>
      <w:r>
        <w:t xml:space="preserve">The first two weeks handle limited release through soft launch to select user groups and stakeholders, user feedback collection and analysis, system performance monitoring and optimization, issue identification and rapid resolution, and stakeholder satisfaction assessment and improvement.</w:t>
      </w:r>
    </w:p>
    <w:p>
      <w:pPr>
        <w:pStyle w:val="BodyText"/>
      </w:pPr>
      <w:r>
        <w:t xml:space="preserve">Weeks 3-4 manage expansion and refinement including gradual user base expansion and access provision, content quality monitoring and improvement, user experience optimization and interface enhancement, stakeholder engagement and support system refinement, and performance metrics tracking and analysis.</w:t>
      </w:r>
    </w:p>
    <w:p>
      <w:pPr>
        <w:pStyle w:val="Heading4"/>
      </w:pPr>
      <w:bookmarkStart w:id="125" w:name="month-8-full-public-launch"/>
      <w:r>
        <w:rPr>
          <w:b/>
        </w:rPr>
        <w:t xml:space="preserve">Month 8: Full Public Launch</w:t>
      </w:r>
      <w:bookmarkEnd w:id="125"/>
    </w:p>
    <w:p>
      <w:pPr>
        <w:pStyle w:val="FirstParagraph"/>
      </w:pPr>
      <w:r>
        <w:t xml:space="preserve">The first two weeks conduct public launch campaigns including official platform launch and public announcement, media campaigns and stakeholder communication, user registration and onboarding support, content promotion and awareness building, and community engagement and participation encouragement.</w:t>
      </w:r>
    </w:p>
    <w:p>
      <w:pPr>
        <w:pStyle w:val="BodyText"/>
      </w:pPr>
      <w:r>
        <w:t xml:space="preserve">Weeks 3-4 provide launch support and optimization through user support and technical assistance provision, system performance monitoring and optimization, content quality assurance and continuous improvement, stakeholder feedback integration and response, and performance metrics analysis and reporting.</w:t>
      </w:r>
    </w:p>
    <w:p>
      <w:pPr>
        <w:pStyle w:val="Heading4"/>
      </w:pPr>
      <w:bookmarkStart w:id="126" w:name="month-9-post-launch-evaluation"/>
      <w:r>
        <w:rPr>
          <w:b/>
        </w:rPr>
        <w:t xml:space="preserve">Month 9: Post-Launch Evaluation</w:t>
      </w:r>
      <w:bookmarkEnd w:id="126"/>
    </w:p>
    <w:p>
      <w:pPr>
        <w:pStyle w:val="FirstParagraph"/>
      </w:pPr>
      <w:r>
        <w:t xml:space="preserve">The first two weeks conduct performance assessment including comprehensive platform performance evaluation, user satisfaction and engagement analysis, content quality and effectiveness assessment, stakeholder feedback compilation and analysis, and system performance and technical evaluation.</w:t>
      </w:r>
    </w:p>
    <w:p>
      <w:pPr>
        <w:pStyle w:val="BodyText"/>
      </w:pPr>
      <w:r>
        <w:t xml:space="preserve">Weeks 3-4 handle improvement planning through improvement recommendations and priority setting, resource allocation and implementation planning, stakeholder communication and expectation management, process optimization and efficiency enhancement, and strategic planning for next phase development.</w:t>
      </w:r>
    </w:p>
    <w:p>
      <w:pPr>
        <w:pStyle w:val="Heading3"/>
      </w:pPr>
      <w:bookmarkStart w:id="127" w:name="X8323badd5f2e2d101c4c03cf158b37d8f19205a"/>
      <w:r>
        <w:t xml:space="preserve">Phase 4: Optimization and Growth (Months 10-12)</w:t>
      </w:r>
      <w:bookmarkEnd w:id="127"/>
    </w:p>
    <w:p>
      <w:pPr>
        <w:pStyle w:val="Heading4"/>
      </w:pPr>
      <w:bookmarkStart w:id="128" w:name="month-10-system-optimization"/>
      <w:r>
        <w:rPr>
          <w:b/>
        </w:rPr>
        <w:t xml:space="preserve">Month 10: System Optimization</w:t>
      </w:r>
      <w:bookmarkEnd w:id="128"/>
    </w:p>
    <w:p>
      <w:pPr>
        <w:pStyle w:val="FirstParagraph"/>
      </w:pPr>
      <w:r>
        <w:t xml:space="preserve">The first two weeks focus on performance enhancement including system performance optimization and enhancement, user experience improvement and interface refinement, content quality improvement and standardization, process efficiency optimization and automation, and stakeholder satisfaction improvement initiatives.</w:t>
      </w:r>
    </w:p>
    <w:p>
      <w:pPr>
        <w:pStyle w:val="BodyText"/>
      </w:pPr>
      <w:r>
        <w:t xml:space="preserve">Weeks 3-4 handle feature enhancement through new feature development and implementation, advanced functionality integration and testing, user feedback integration and customization, accessibility and inclusion enhancement, and innovation and technology integration.</w:t>
      </w:r>
    </w:p>
    <w:p>
      <w:pPr>
        <w:pStyle w:val="Heading4"/>
      </w:pPr>
      <w:bookmarkStart w:id="129" w:name="month-11-expansion-and-scaling"/>
      <w:r>
        <w:rPr>
          <w:b/>
        </w:rPr>
        <w:t xml:space="preserve">Month 11: Expansion and Scaling</w:t>
      </w:r>
      <w:bookmarkEnd w:id="129"/>
    </w:p>
    <w:p>
      <w:pPr>
        <w:pStyle w:val="FirstParagraph"/>
      </w:pPr>
      <w:r>
        <w:t xml:space="preserve">The first two weeks manage content portfolio expansion including additional content categories and program types, geographic expansion and regional customization, specialized content for diverse user needs, partnership expansion and collaboration enhancement, and quality assurance scaling and standardization.</w:t>
      </w:r>
    </w:p>
    <w:p>
      <w:pPr>
        <w:pStyle w:val="BodyText"/>
      </w:pPr>
      <w:r>
        <w:t xml:space="preserve">Weeks 3-4 focus on stakeholder network growth through new stakeholder recruitment and onboarding, partnership development and collaboration expansion, community building and engagement enhancement, professional development and training expansion, and recognition and incentive program implementation.</w:t>
      </w:r>
    </w:p>
    <w:p>
      <w:pPr>
        <w:pStyle w:val="Heading4"/>
      </w:pPr>
      <w:bookmarkStart w:id="130" w:name="X9add56782f2e202a1fb047ca10fcb7c17b548a2"/>
      <w:r>
        <w:rPr>
          <w:b/>
        </w:rPr>
        <w:t xml:space="preserve">Month 12: Strategic Planning and Future Development</w:t>
      </w:r>
      <w:bookmarkEnd w:id="130"/>
    </w:p>
    <w:p>
      <w:pPr>
        <w:pStyle w:val="FirstParagraph"/>
      </w:pPr>
      <w:r>
        <w:t xml:space="preserve">The first two weeks conduct annual performance review including comprehensive annual performance assessment, goal achievement evaluation and analysis, stakeholder satisfaction and impact measurement, financial performance and resource utilization review, and strategic success and challenge identification.</w:t>
      </w:r>
    </w:p>
    <w:p>
      <w:pPr>
        <w:pStyle w:val="BodyText"/>
      </w:pPr>
      <w:r>
        <w:t xml:space="preserve">Weeks 3-4 handle future planning and development through strategic planning for year two and beyond, innovation and technology roadmap development, stakeholder engagement and partnership strategy, resource planning and budget development, and continuous improvement and excellence planning.</w:t>
      </w:r>
    </w:p>
    <w:p>
      <w:r>
        <w:pict>
          <v:rect style="width:0;height:1.5pt" o:hralign="center" o:hrstd="t" o:hr="t"/>
        </w:pict>
      </w:r>
    </w:p>
    <w:p>
      <w:pPr>
        <w:pStyle w:val="Heading2"/>
      </w:pPr>
      <w:bookmarkStart w:id="131" w:name="appendices"/>
      <w:r>
        <w:t xml:space="preserve">Appendices</w:t>
      </w:r>
      <w:bookmarkEnd w:id="131"/>
    </w:p>
    <w:p>
      <w:pPr>
        <w:pStyle w:val="Heading3"/>
      </w:pPr>
      <w:bookmarkStart w:id="132" w:name="appendix-a-content-submission-templates"/>
      <w:r>
        <w:t xml:space="preserve">Appendix A: Content Submission Templates</w:t>
      </w:r>
      <w:bookmarkEnd w:id="132"/>
    </w:p>
    <w:p>
      <w:pPr>
        <w:pStyle w:val="Heading4"/>
      </w:pPr>
      <w:bookmarkStart w:id="133" w:name="program-information-template"/>
      <w:r>
        <w:rPr>
          <w:b/>
        </w:rPr>
        <w:t xml:space="preserve">Program Information Template</w:t>
      </w:r>
      <w:bookmarkEnd w:id="133"/>
    </w:p>
    <w:p>
      <w:pPr>
        <w:pStyle w:val="FirstParagraph"/>
      </w:pPr>
      <w:r>
        <w:t xml:space="preserve">The comprehensive program submission form includes basic program information covering program name, school/institution, program type (Academic/Extracurricular/Vocational/Special Needs), target age group, program duration, and maximum enrollment capacity.</w:t>
      </w:r>
    </w:p>
    <w:p>
      <w:pPr>
        <w:pStyle w:val="BodyText"/>
      </w:pPr>
      <w:r>
        <w:t xml:space="preserve">Program description sections encompass mission statement, program objectives, unique features, and learning outcomes. Curriculum details include subject areas, teaching methods, assessment approaches, and technology integration components.</w:t>
      </w:r>
    </w:p>
    <w:p>
      <w:pPr>
        <w:pStyle w:val="BodyText"/>
      </w:pPr>
      <w:r>
        <w:t xml:space="preserve">Resources and facilities documentation covers faculty qualifications, facility descriptions, equipment and materials, and support services. Admission and enrollment information includes prerequisites, application processes, fee structures, and financial aid availability.</w:t>
      </w:r>
    </w:p>
    <w:p>
      <w:pPr>
        <w:pStyle w:val="BodyText"/>
      </w:pPr>
      <w:r>
        <w:t xml:space="preserve">Contact information encompasses program coordinator details, phone numbers, email addresses, and website information.</w:t>
      </w:r>
    </w:p>
    <w:p>
      <w:pPr>
        <w:pStyle w:val="Heading3"/>
      </w:pPr>
      <w:bookmarkStart w:id="134" w:name="appendix-b-quality-assessment-rubrics"/>
      <w:r>
        <w:t xml:space="preserve">Appendix B: Quality Assessment Rubrics</w:t>
      </w:r>
      <w:bookmarkEnd w:id="134"/>
    </w:p>
    <w:p>
      <w:pPr>
        <w:pStyle w:val="Heading4"/>
      </w:pPr>
      <w:bookmarkStart w:id="135" w:name="educational-content-quality-rubric"/>
      <w:r>
        <w:rPr>
          <w:b/>
        </w:rPr>
        <w:t xml:space="preserve">Educational Content Quality Rubric</w:t>
      </w:r>
      <w:bookmarkEnd w:id="135"/>
    </w:p>
    <w:p>
      <w:pPr>
        <w:pStyle w:val="FirstParagraph"/>
      </w:pPr>
      <w:r>
        <w:t xml:space="preserve">The content quality assessment rubric evaluates five key areas with specific point allocations. Curriculum alignment (25 points) ranges from excellent (23-25 points) for complete alignment with UAE standards to unsatisfactory (0-7 points) for poor alignment requiring major revision.</w:t>
      </w:r>
    </w:p>
    <w:p>
      <w:pPr>
        <w:pStyle w:val="BodyText"/>
      </w:pPr>
      <w:r>
        <w:t xml:space="preserve">Educational value (25 points) assessment spans from excellent (23-25 points) for high educational value and learning outcomes to unsatisfactory (0-7 points) for poor educational value. Content accuracy (20 points) evaluation ranges from excellent (18-20 points) for completely accurate and current content to unsatisfactory (0-5 points) for significant accuracy issues.</w:t>
      </w:r>
    </w:p>
    <w:p>
      <w:pPr>
        <w:pStyle w:val="BodyText"/>
      </w:pPr>
      <w:r>
        <w:t xml:space="preserve">Presentation quality (15 points) assessment covers excellent (14-15 points) for professional and engaging presentation to unsatisfactory (0-4 points) for unacceptable presentation. Cultural appropriateness (15 points) evaluation spans from excellent (14-15 points) for fully appropriate and sensitive content to unsatisfactory (0-4 points) for inappropriate content.</w:t>
      </w:r>
    </w:p>
    <w:p>
      <w:pPr>
        <w:pStyle w:val="BodyText"/>
      </w:pPr>
      <w:r>
        <w:t xml:space="preserve">Total scores determine approval recommendations with 90-100 points receiving immediate approval, 75-89 points receiving conditional approval, 60-74 points requiring major revision, and below 60 points resulting in rejection.</w:t>
      </w:r>
    </w:p>
    <w:p>
      <w:pPr>
        <w:pStyle w:val="Heading3"/>
      </w:pPr>
      <w:bookmarkStart w:id="136" w:name="X1876e562f2e3a86f12143b7b3fde218c7a94215"/>
      <w:r>
        <w:t xml:space="preserve">Appendix C: Stakeholder Communication Framework</w:t>
      </w:r>
      <w:bookmarkEnd w:id="136"/>
    </w:p>
    <w:p>
      <w:pPr>
        <w:pStyle w:val="Heading4"/>
      </w:pPr>
      <w:bookmarkStart w:id="137" w:name="communication-channel-matrix"/>
      <w:r>
        <w:rPr>
          <w:b/>
        </w:rPr>
        <w:t xml:space="preserve">Communication Channel Matrix</w:t>
      </w:r>
      <w:bookmarkEnd w:id="137"/>
    </w:p>
    <w:p>
      <w:pPr>
        <w:pStyle w:val="FirstParagraph"/>
      </w:pPr>
      <w:r>
        <w:t xml:space="preserve">Internal stakeholder communication includes Knowledge and Human Development Authority leadership receiving executive briefings and formal reports with monthly strategic updates and quarterly reviews covering performance metrics, strategic issues, and policy recommendations.</w:t>
      </w:r>
    </w:p>
    <w:p>
      <w:pPr>
        <w:pStyle w:val="BodyText"/>
      </w:pPr>
      <w:r>
        <w:t xml:space="preserve">Content management teams utilize team meetings and collaboration platforms with weekly operational meetings and daily updates covering workflow status, quality issues, and process improvements. Technical and support staff access technical documentation and training sessions as needed for updates and training, covering system updates, procedure changes, and technical requirements.</w:t>
      </w:r>
    </w:p>
    <w:p>
      <w:pPr>
        <w:pStyle w:val="BodyText"/>
      </w:pPr>
      <w:r>
        <w:t xml:space="preserve">External stakeholder communication encompasses schools and educational institutions using dedicated portals, email communications, and workshops with monthly newsletters and quarterly training sessions covering guidelines, best practices, recognition, and support resources.</w:t>
      </w:r>
    </w:p>
    <w:p>
      <w:pPr>
        <w:pStyle w:val="BodyText"/>
      </w:pPr>
      <w:r>
        <w:t xml:space="preserve">Parents and students receive platform notifications, social media updates, and community events with regular updates and seasonal campaigns covering new programs, success stories, and application deadlines. Industry and community partners participate in partnership meetings and professional networks with quarterly partnership reviews and annual conferences covering collaboration opportunities, industry trends, and mutual benefits.</w:t>
      </w:r>
    </w:p>
    <w:p>
      <w:pPr>
        <w:pStyle w:val="BodyText"/>
      </w:pPr>
      <w:r>
        <w:t xml:space="preserve">Crisis communication includes emergency notification systems with multi-channel alert systems activated immediately for critical issues, covering issue descriptions, impacts, and resolution timelines. Media relations utilize press releases and media briefings as needed for public issues, covering official statements, corrective actions, and future prevention measures.</w:t>
      </w:r>
    </w:p>
    <w:p>
      <w:pPr>
        <w:pStyle w:val="Heading3"/>
      </w:pPr>
      <w:bookmarkStart w:id="138" w:name="X05df7e140a5433964efe7787496e5e3650a0a82"/>
      <w:r>
        <w:t xml:space="preserve">Appendix D: Performance Measurement Dashboard</w:t>
      </w:r>
      <w:bookmarkEnd w:id="138"/>
    </w:p>
    <w:p>
      <w:pPr>
        <w:pStyle w:val="Heading4"/>
      </w:pPr>
      <w:bookmarkStart w:id="139" w:name="key-performance-indicator-tracking"/>
      <w:r>
        <w:rPr>
          <w:b/>
        </w:rPr>
        <w:t xml:space="preserve">Key Performance Indicator Tracking</w:t>
      </w:r>
      <w:bookmarkEnd w:id="139"/>
    </w:p>
    <w:p>
      <w:pPr>
        <w:pStyle w:val="FirstParagraph"/>
      </w:pPr>
      <w:r>
        <w:t xml:space="preserve">Content quality metrics tracking includes content accuracy rates targeting 99.5%, user satisfaction scores targeting 4.5/5.0, program completion rates targeting 92%, and content currency rates targeting 95% updated within 12 months.</w:t>
      </w:r>
    </w:p>
    <w:p>
      <w:pPr>
        <w:pStyle w:val="BodyText"/>
      </w:pPr>
      <w:r>
        <w:t xml:space="preserve">Operational efficiency metrics encompass average approval times targeting 18 days, first-pass approval rates targeting 60%, revision success rates targeting 80% approved after first revision, and stakeholder response times targeting 24 hours.</w:t>
      </w:r>
    </w:p>
    <w:p>
      <w:pPr>
        <w:pStyle w:val="BodyText"/>
      </w:pPr>
      <w:r>
        <w:t xml:space="preserve">User engagement metrics include monthly active users targeting 25% year-over-year growth, average session duration targeting 8 minutes, return user rates targeting 60% within 30 days, and content sharing rates targeting 30% of users sharing content.</w:t>
      </w:r>
    </w:p>
    <w:p>
      <w:pPr>
        <w:pStyle w:val="BodyText"/>
      </w:pPr>
      <w:r>
        <w:t xml:space="preserve">Impact metrics cover program enrollment rates targeting 30% conversion, student performance improvement targeting 20% improvement, graduate employment rates targeting 85% within 6 months, and stakeholder satisfaction targeting 4.4/5.0.</w:t>
      </w:r>
    </w:p>
    <w:p>
      <w:pPr>
        <w:pStyle w:val="BodyText"/>
      </w:pPr>
      <w:r>
        <w:t xml:space="preserve">System performance metrics include platform uptime targeting 99.9%, page load times targeting under 3 seconds, mobile compatibility targeting 95%, and accessibility compliance targeting 100% WCAG 2.1 AA compliance.</w:t>
      </w:r>
    </w:p>
    <w:p>
      <w:r>
        <w:pict>
          <v:rect style="width:0;height:1.5pt" o:hralign="center" o:hrstd="t" o:hr="t"/>
        </w:pict>
      </w:r>
    </w:p>
    <w:p>
      <w:pPr>
        <w:pStyle w:val="FirstParagraph"/>
      </w:pPr>
      <w:r>
        <w:rPr>
          <w:b/>
        </w:rPr>
        <w:t xml:space="preserve">Document Version</w:t>
      </w:r>
      <w:r>
        <w:t xml:space="preserve">: 1.0</w:t>
      </w:r>
      <w:r>
        <w:br/>
      </w:r>
      <w:r>
        <w:rPr>
          <w:b/>
        </w:rPr>
        <w:t xml:space="preserve">Last Updated</w:t>
      </w:r>
      <w:r>
        <w:t xml:space="preserve">: [Current Date]</w:t>
      </w:r>
      <w:r>
        <w:br/>
      </w:r>
      <w:r>
        <w:rPr>
          <w:b/>
        </w:rPr>
        <w:t xml:space="preserve">Next Review Date</w:t>
      </w:r>
      <w:r>
        <w:t xml:space="preserve">: [Quarterly Review Schedule]</w:t>
      </w:r>
      <w:r>
        <w:br/>
      </w:r>
      <w:r>
        <w:rPr>
          <w:b/>
        </w:rPr>
        <w:t xml:space="preserve">Document Owner</w:t>
      </w:r>
      <w:r>
        <w:t xml:space="preserve">: Content Management Office, Knowledge and Human Development Authority</w:t>
      </w:r>
      <w:r>
        <w:br/>
      </w:r>
      <w:r>
        <w:rPr>
          <w:b/>
        </w:rPr>
        <w:t xml:space="preserve">Approval Authority</w:t>
      </w:r>
      <w:r>
        <w:t xml:space="preserve">: Content Steering Committee</w:t>
      </w:r>
    </w:p>
    <w:p>
      <w:r>
        <w:pict>
          <v:rect style="width:0;height:1.5pt" o:hralign="center" o:hrstd="t" o:hr="t"/>
        </w:pict>
      </w:r>
    </w:p>
    <w:p>
      <w:pPr>
        <w:pStyle w:val="FirstParagraph"/>
      </w:pPr>
      <w:r>
        <w:rPr>
          <w:i/>
        </w:rPr>
        <w:t xml:space="preserve">This document serves as the comprehensive guide for School Programs page content management and governance. Regular updates and revisions ensure continued alignment with UAE national education priorities and stakeholder needs.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32" Target="media/rId3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2025-09-24T02:23:06Z</dcterms:created>
  <dcterms:modified xsi:type="dcterms:W3CDTF">2025-09-24T02:23:06Z</dcterms:modified>
</cp:coreProperties>
</file>

<file path=docProps/custom.xml><?xml version="1.0" encoding="utf-8"?>
<Properties xmlns="http://schemas.openxmlformats.org/officeDocument/2006/custom-properties" xmlns:vt="http://schemas.openxmlformats.org/officeDocument/2006/docPropsVTypes"/>
</file>