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4E79"/>
          <w:sz w:val="48"/>
          <w:szCs w:val="48"/>
        </w:rPr>
        <w:t xml:space="preserve">Voice Transcription Pipeline</w:t>
      </w:r>
    </w:p>
    <w:p>
      <w:pPr>
        <w:spacing w:before="200"/>
        <w:jc w:val="center"/>
      </w:pPr>
      <w:r>
        <w:rPr>
          <w:rFonts w:ascii="Calibri" w:cs="Calibri" w:eastAsia="Calibri" w:hAnsi="Calibri"/>
          <w:sz w:val="30"/>
          <w:szCs w:val="30"/>
        </w:rPr>
        <w:t xml:space="preserve">Project Progress Report — Week 1</w:t>
      </w:r>
    </w:p>
    <w:p>
      <w:pPr>
        <w:spacing w:before="100"/>
        <w:jc w:val="center"/>
      </w:pPr>
      <w:r>
        <w:rPr>
          <w:rFonts w:ascii="Calibri" w:cs="Calibri" w:eastAsia="Calibri" w:hAnsi="Calibri"/>
          <w:i/>
          <w:iCs/>
          <w:color w:val="555555"/>
          <w:sz w:val="24"/>
          <w:szCs w:val="24"/>
        </w:rPr>
        <w:t xml:space="preserve">Frontend Widget, Backend Transcription Service, Testing &amp; Cloud Deployment</w:t>
      </w:r>
    </w:p>
    <w:p>
      <w:pPr>
        <w:spacing w:before="900"/>
      </w:pPr>
    </w:p>
    <w:p>
      <w:pPr>
        <w:spacing w:after="100" w:line="276"/>
      </w:pPr>
      <w:r>
        <w:rPr>
          <w:rFonts w:ascii="Calibri" w:cs="Calibri" w:eastAsia="Calibri" w:hAnsi="Calibri"/>
          <w:b/>
          <w:bCs/>
          <w:sz w:val="22"/>
          <w:szCs w:val="22"/>
        </w:rPr>
        <w:t xml:space="preserve">Prepared by: </w:t>
      </w:r>
      <w:r>
        <w:rPr>
          <w:rFonts w:ascii="Calibri" w:cs="Calibri" w:eastAsia="Calibri" w:hAnsi="Calibri"/>
          <w:sz w:val="22"/>
          <w:szCs w:val="22"/>
        </w:rPr>
        <w:t xml:space="preserve">Abdul Hadi</w:t>
      </w:r>
    </w:p>
    <w:p>
      <w:pPr>
        <w:spacing w:after="100" w:line="276"/>
      </w:pPr>
      <w:r>
        <w:rPr>
          <w:rFonts w:ascii="Calibri" w:cs="Calibri" w:eastAsia="Calibri" w:hAnsi="Calibri"/>
          <w:b/>
          <w:bCs/>
          <w:sz w:val="22"/>
          <w:szCs w:val="22"/>
        </w:rPr>
        <w:t xml:space="preserve">Program: </w:t>
      </w:r>
      <w:r>
        <w:rPr>
          <w:rFonts w:ascii="Calibri" w:cs="Calibri" w:eastAsia="Calibri" w:hAnsi="Calibri"/>
          <w:sz w:val="22"/>
          <w:szCs w:val="22"/>
        </w:rPr>
        <w:t xml:space="preserve">BS Artificial Intelligence, FAST-NUCES Islamabad</w:t>
      </w:r>
    </w:p>
    <w:p>
      <w:pPr>
        <w:spacing w:after="100" w:line="276"/>
      </w:pPr>
      <w:r>
        <w:rPr>
          <w:rFonts w:ascii="Calibri" w:cs="Calibri" w:eastAsia="Calibri" w:hAnsi="Calibri"/>
          <w:b/>
          <w:bCs/>
          <w:sz w:val="22"/>
          <w:szCs w:val="22"/>
        </w:rPr>
        <w:t xml:space="preserve">Internship: </w:t>
      </w:r>
      <w:r>
        <w:rPr>
          <w:rFonts w:ascii="Calibri" w:cs="Calibri" w:eastAsia="Calibri" w:hAnsi="Calibri"/>
          <w:sz w:val="22"/>
          <w:szCs w:val="22"/>
        </w:rPr>
        <w:t xml:space="preserve">Agentic AI Internship, AIRC/AIST Tokyo Waterfront (sponsored by SoftBank)</w:t>
      </w:r>
    </w:p>
    <w:p>
      <w:pPr>
        <w:spacing w:after="100" w:line="276"/>
      </w:pPr>
      <w:r>
        <w:rPr>
          <w:rFonts w:ascii="Calibri" w:cs="Calibri" w:eastAsia="Calibri" w:hAnsi="Calibri"/>
          <w:b/>
          <w:bCs/>
          <w:sz w:val="22"/>
          <w:szCs w:val="22"/>
        </w:rPr>
        <w:t xml:space="preserve">Supervisor: </w:t>
      </w:r>
      <w:r>
        <w:rPr>
          <w:rFonts w:ascii="Calibri" w:cs="Calibri" w:eastAsia="Calibri" w:hAnsi="Calibri"/>
          <w:sz w:val="22"/>
          <w:szCs w:val="22"/>
        </w:rPr>
        <w:t xml:space="preserve">Masahiro Hamasaki — Lead, AgenticAI Research Team</w:t>
      </w:r>
    </w:p>
    <w:p>
      <w:pPr>
        <w:spacing w:after="100" w:line="276"/>
      </w:pPr>
      <w:r>
        <w:rPr>
          <w:rFonts w:ascii="Calibri" w:cs="Calibri" w:eastAsia="Calibri" w:hAnsi="Calibri"/>
          <w:b/>
          <w:bCs/>
          <w:sz w:val="22"/>
          <w:szCs w:val="22"/>
        </w:rPr>
        <w:t xml:space="preserve">Report Date: </w:t>
      </w:r>
      <w:r>
        <w:rPr>
          <w:rFonts w:ascii="Calibri" w:cs="Calibri" w:eastAsia="Calibri" w:hAnsi="Calibri"/>
          <w:sz w:val="22"/>
          <w:szCs w:val="22"/>
        </w:rPr>
        <w:t xml:space="preserve">July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40" w:line="276"/>
      </w:pPr>
      <w:r>
        <w:rPr>
          <w:rFonts w:ascii="Calibri" w:cs="Calibri" w:eastAsia="Calibri" w:hAnsi="Calibri"/>
          <w:sz w:val="22"/>
          <w:szCs w:val="22"/>
        </w:rPr>
        <w:t xml:space="preserve">This report documents the work completed during Week 1 of the internship: building a complete voice-to-text transcription pipeline, testing it thoroughly, and deploying it to the cloud so it can be accessed by anyone online. The project was carried out in three parts — a browser-based recording and upload interface (Task 1), a transcription backend powered by an AI speech-recognition model (Task 2), and a structured testing process to validate correctness and performance (Task 3). Following supervisor feedback, the entire system was subsequently redeployed to cloud infrastructure (Amazon Web Services) so that it no longer depends on any local machine to run.</w:t>
      </w:r>
    </w:p>
    <w:p>
      <w:pPr>
        <w:spacing w:after="140" w:line="276"/>
      </w:pPr>
      <w:r>
        <w:rPr>
          <w:rFonts w:ascii="Calibri" w:cs="Calibri" w:eastAsia="Calibri" w:hAnsi="Calibri"/>
          <w:sz w:val="22"/>
          <w:szCs w:val="22"/>
        </w:rPr>
        <w:t xml:space="preserve">Each section below explains what was built, how it works, and — most importantly — the reasoning behind each decision, so the approach can be reviewed and defended in detail.</w:t>
      </w:r>
    </w:p>
    <w:p>
      <w:pPr>
        <w:pStyle w:val="Heading1"/>
        <w:spacing w:after="150" w:before="300"/>
      </w:pPr>
      <w:r>
        <w:t xml:space="preserve">2. Project Objective</w:t>
      </w:r>
    </w:p>
    <w:p>
      <w:pPr>
        <w:spacing w:after="140" w:line="276"/>
      </w:pPr>
      <w:r>
        <w:rPr>
          <w:rFonts w:ascii="Calibri" w:cs="Calibri" w:eastAsia="Calibri" w:hAnsi="Calibri"/>
          <w:sz w:val="22"/>
          <w:szCs w:val="22"/>
        </w:rPr>
        <w:t xml:space="preserve">The goal was to build a working system where a user can either speak into a microphone or upload an audio file through a web page, and receive an accurate text transcript in return. The system needed to handle real-world audio conditions (background noise, silence, invalid files), be tested systematically rather than informally, and ultimately run on cloud infrastructure so it is accessible to anyone with a link, not just on the developer's own computer.</w:t>
      </w:r>
    </w:p>
    <w:p>
      <w:pPr>
        <w:pStyle w:val="Heading1"/>
        <w:spacing w:after="150" w:before="300"/>
      </w:pPr>
      <w:r>
        <w:t xml:space="preserve">3. System Architecture Overview</w:t>
      </w:r>
    </w:p>
    <w:p>
      <w:pPr>
        <w:spacing w:after="140" w:line="276"/>
      </w:pPr>
      <w:r>
        <w:rPr>
          <w:rFonts w:ascii="Calibri" w:cs="Calibri" w:eastAsia="Calibri" w:hAnsi="Calibri"/>
          <w:sz w:val="22"/>
          <w:szCs w:val="22"/>
        </w:rPr>
        <w:t xml:space="preserve">The system is split into two independent parts that communicate over the network:</w:t>
      </w:r>
    </w:p>
    <w:p>
      <w:pPr>
        <w:pStyle w:val="ListParagraph"/>
        <w:pStyle w:val="normalPara"/>
        <w:numPr>
          <w:ilvl w:val="0"/>
          <w:numId w:val="1"/>
        </w:numPr>
        <w:spacing w:after="80" w:line="276"/>
      </w:pPr>
      <w:r>
        <w:t xml:space="preserve">Frontend — a browser-based widget (HTML, CSS, and JavaScript) that records audio or accepts an uploaded file, and displays the returned transcript.</w:t>
      </w:r>
    </w:p>
    <w:p>
      <w:pPr>
        <w:pStyle w:val="ListParagraph"/>
        <w:pStyle w:val="normalPara"/>
        <w:numPr>
          <w:ilvl w:val="0"/>
          <w:numId w:val="1"/>
        </w:numPr>
        <w:spacing w:after="80" w:line="276"/>
      </w:pPr>
      <w:r>
        <w:t xml:space="preserve">Backend — a Python server (FastAPI) that receives the audio, runs it through a speech-recognition model, and returns the text.</w:t>
      </w:r>
    </w:p>
    <w:p>
      <w:pPr>
        <w:spacing w:after="140" w:line="276"/>
      </w:pPr>
      <w:r>
        <w:rPr>
          <w:rFonts w:ascii="Calibri" w:cs="Calibri" w:eastAsia="Calibri" w:hAnsi="Calibri"/>
          <w:sz w:val="22"/>
          <w:szCs w:val="22"/>
        </w:rPr>
        <w:t xml:space="preserve">The two communicate through a single HTTP request: the frontend sends the audio file to the backend's /transcribe endpoint, and receives a JSON response containing the transcript and timing information.</w:t>
      </w:r>
    </w:p>
    <w:p>
      <w:pPr>
        <w:spacing w:after="140" w:line="276"/>
      </w:pPr>
      <w:r>
        <w:rPr>
          <w:rFonts w:ascii="Calibri" w:cs="Calibri" w:eastAsia="Calibri" w:hAnsi="Calibri"/>
          <w:sz w:val="22"/>
          <w:szCs w:val="22"/>
        </w:rPr>
        <w:t xml:space="preserve">This separation was a deliberate design choice, not an accident. The frontend has no server-side logic of its own, so it can be hosted as simple static files. The backend, on the other hand, needs to keep a large AI model loaded in memory and run continuous computation, so it needs an actual running server. Keeping them separate means either one can be updated, restarted, or moved without affecting the other.</w:t>
      </w:r>
    </w:p>
    <w:p>
      <w:pPr>
        <w:pStyle w:val="Heading1"/>
        <w:spacing w:after="150" w:before="300"/>
      </w:pPr>
      <w:r>
        <w:t xml:space="preserve">4. Task 1 — Frontend Development</w:t>
      </w:r>
    </w:p>
    <w:p>
      <w:pPr>
        <w:pStyle w:val="Heading2"/>
        <w:spacing w:after="120" w:before="220"/>
      </w:pPr>
      <w:r>
        <w:t xml:space="preserve">4.1 What Was Built</w:t>
      </w:r>
    </w:p>
    <w:p>
      <w:pPr>
        <w:spacing w:after="140" w:line="276"/>
      </w:pPr>
      <w:r>
        <w:rPr>
          <w:rFonts w:ascii="Calibri" w:cs="Calibri" w:eastAsia="Calibri" w:hAnsi="Calibri"/>
          <w:sz w:val="22"/>
          <w:szCs w:val="22"/>
        </w:rPr>
        <w:t xml:space="preserve">A self-contained recording widget with a Start/Stop record button, a live waveform display, a drag-and-drop file upload area, and a console-style activity log so that what is happening behind the scenes is always visible to the user.</w:t>
      </w:r>
    </w:p>
    <w:p>
      <w:pPr>
        <w:pStyle w:val="Heading2"/>
        <w:spacing w:after="120" w:before="220"/>
      </w:pPr>
      <w:r>
        <w:t xml:space="preserve">4.2 How It Works</w:t>
      </w:r>
    </w:p>
    <w:p>
      <w:pPr>
        <w:pStyle w:val="ListParagraph"/>
        <w:pStyle w:val="normalPara"/>
        <w:numPr>
          <w:ilvl w:val="0"/>
          <w:numId w:val="1"/>
        </w:numPr>
        <w:spacing w:after="80" w:line="276"/>
      </w:pPr>
      <w:r>
        <w:t xml:space="preserve">The browser's microphone access API (getUserMedia) requests permission to use the microphone.</w:t>
      </w:r>
    </w:p>
    <w:p>
      <w:pPr>
        <w:pStyle w:val="ListParagraph"/>
        <w:pStyle w:val="normalPara"/>
        <w:numPr>
          <w:ilvl w:val="0"/>
          <w:numId w:val="1"/>
        </w:numPr>
        <w:spacing w:after="80" w:line="276"/>
      </w:pPr>
      <w:r>
        <w:t xml:space="preserve">MediaRecorder captures the audio in small chunks as the user speaks.</w:t>
      </w:r>
    </w:p>
    <w:p>
      <w:pPr>
        <w:pStyle w:val="ListParagraph"/>
        <w:pStyle w:val="normalPara"/>
        <w:numPr>
          <w:ilvl w:val="0"/>
          <w:numId w:val="1"/>
        </w:numPr>
        <w:spacing w:after="80" w:line="276"/>
      </w:pPr>
      <w:r>
        <w:t xml:space="preserve">An AudioContext and analyser draw a live waveform on screen, giving visual confirmation that audio is actually being captured.</w:t>
      </w:r>
    </w:p>
    <w:p>
      <w:pPr>
        <w:pStyle w:val="ListParagraph"/>
        <w:pStyle w:val="normalPara"/>
        <w:numPr>
          <w:ilvl w:val="0"/>
          <w:numId w:val="1"/>
        </w:numPr>
        <w:spacing w:after="80" w:line="276"/>
      </w:pPr>
      <w:r>
        <w:t xml:space="preserve">When recording stops (or a file is uploaded), the audio is packaged and sent to the backend automatically using a single shared function, so both the microphone path and the file-upload path behave identically.</w:t>
      </w:r>
    </w:p>
    <w:p>
      <w:pPr>
        <w:pStyle w:val="Heading2"/>
        <w:spacing w:after="120" w:before="220"/>
      </w:pPr>
      <w:r>
        <w:t xml:space="preserve">4.3 Why Built This Way</w:t>
      </w:r>
    </w:p>
    <w:p>
      <w:pPr>
        <w:spacing w:after="140" w:line="276"/>
      </w:pPr>
      <w:r>
        <w:rPr>
          <w:rFonts w:ascii="Calibri" w:cs="Calibri" w:eastAsia="Calibri" w:hAnsi="Calibri"/>
          <w:sz w:val="22"/>
          <w:szCs w:val="22"/>
        </w:rPr>
        <w:t xml:space="preserve">Plain JavaScript (no framework) was used so the widget can be embedded in any web page without extra setup. The waveform and activity log were included deliberately — not for visual polish, but because they give real, verifiable proof that the browser is genuinely capturing audio, which is very useful during debugging and demonstrations.</w:t>
      </w:r>
    </w:p>
    <w:p>
      <w:pPr>
        <w:pStyle w:val="Heading2"/>
        <w:spacing w:after="120" w:before="220"/>
      </w:pPr>
      <w:r>
        <w:t xml:space="preserve">4.4 Issue Found and Fixed</w:t>
      </w:r>
    </w:p>
    <w:p>
      <w:pPr>
        <w:spacing w:after="140" w:line="276"/>
      </w:pPr>
      <w:r>
        <w:rPr>
          <w:rFonts w:ascii="Calibri" w:cs="Calibri" w:eastAsia="Calibri" w:hAnsi="Calibri"/>
          <w:sz w:val="22"/>
          <w:szCs w:val="22"/>
        </w:rPr>
        <w:t xml:space="preserve">During review, a timing bug was identified: clicking the record button starts an operation that must wait for microphone permission before it fully begins. If a user clicked the button twice in very quick succession, both clicks could pass through before the first one finished setting up, resulting in two overlapping recordings being started at once. This was fixed by adding a lock that is set the instant a click is registered and only cleared once the recording has fully started or failed — so a second rapid click is safely ignored instead of causing a conflict.</w:t>
      </w:r>
    </w:p>
    <w:p>
      <w:pPr>
        <w:pStyle w:val="Heading1"/>
        <w:spacing w:after="150" w:before="300"/>
      </w:pPr>
      <w:r>
        <w:t xml:space="preserve">5. Task 2 — Backend Development</w:t>
      </w:r>
    </w:p>
    <w:p>
      <w:pPr>
        <w:pStyle w:val="Heading2"/>
        <w:spacing w:after="120" w:before="220"/>
      </w:pPr>
      <w:r>
        <w:t xml:space="preserve">5.1 What Was Built</w:t>
      </w:r>
    </w:p>
    <w:p>
      <w:pPr>
        <w:spacing w:after="140" w:line="276"/>
      </w:pPr>
      <w:r>
        <w:rPr>
          <w:rFonts w:ascii="Calibri" w:cs="Calibri" w:eastAsia="Calibri" w:hAnsi="Calibri"/>
          <w:sz w:val="22"/>
          <w:szCs w:val="22"/>
        </w:rPr>
        <w:t xml:space="preserve">A FastAPI server exposing two endpoints:</w:t>
      </w:r>
    </w:p>
    <w:p>
      <w:pPr>
        <w:pStyle w:val="ListParagraph"/>
        <w:pStyle w:val="normalPara"/>
        <w:numPr>
          <w:ilvl w:val="0"/>
          <w:numId w:val="1"/>
        </w:numPr>
        <w:spacing w:after="80" w:line="276"/>
      </w:pPr>
      <w:r>
        <w:t xml:space="preserve">/health — a simple check confirming the server is running.</w:t>
      </w:r>
    </w:p>
    <w:p>
      <w:pPr>
        <w:pStyle w:val="ListParagraph"/>
        <w:pStyle w:val="normalPara"/>
        <w:numPr>
          <w:ilvl w:val="0"/>
          <w:numId w:val="1"/>
        </w:numPr>
        <w:spacing w:after="80" w:line="276"/>
      </w:pPr>
      <w:r>
        <w:t xml:space="preserve">/transcribe — accepts an uploaded audio file and returns its transcript.</w:t>
      </w:r>
    </w:p>
    <w:p>
      <w:pPr>
        <w:pStyle w:val="Heading2"/>
        <w:spacing w:after="120" w:before="220"/>
      </w:pPr>
      <w:r>
        <w:t xml:space="preserve">5.2 How Transcription Works</w:t>
      </w:r>
    </w:p>
    <w:p>
      <w:pPr>
        <w:spacing w:after="140" w:line="276"/>
      </w:pPr>
      <w:r>
        <w:rPr>
          <w:rFonts w:ascii="Calibri" w:cs="Calibri" w:eastAsia="Calibri" w:hAnsi="Calibri"/>
          <w:sz w:val="22"/>
          <w:szCs w:val="22"/>
        </w:rPr>
        <w:t xml:space="preserve">The backend uses faster-whisper, an optimized version of OpenAI's Whisper speech-recognition model. The model is loaded once when the server starts (not on every request), since loading it is relatively slow and only needs to happen a single time. Audio is transcribed using the 'base' model size running in 'int8' mode, which is a compressed numerical format that runs efficiently on a standard CPU without requiring a graphics card.</w:t>
      </w:r>
    </w:p>
    <w:p>
      <w:pPr>
        <w:pStyle w:val="Heading2"/>
        <w:spacing w:after="120" w:before="220"/>
      </w:pPr>
      <w:r>
        <w:t xml:space="preserve">5.3 Handling Silence and Non-Speech Audio</w:t>
      </w:r>
    </w:p>
    <w:p>
      <w:pPr>
        <w:spacing w:after="140" w:line="276"/>
      </w:pPr>
      <w:r>
        <w:rPr>
          <w:rFonts w:ascii="Calibri" w:cs="Calibri" w:eastAsia="Calibri" w:hAnsi="Calibri"/>
          <w:sz w:val="22"/>
          <w:szCs w:val="22"/>
        </w:rPr>
        <w:t xml:space="preserve">A known limitation of Whisper-based models is that they can sometimes generate plausible-sounding but entirely fabricated text when given silence, background noise, or music, instead of correctly returning nothing. The model itself provides a confidence score for each segment indicating the probability that no real speech is present. Any segment scoring above this threshold is filtered out before the final transcript is assembled, so silent or non-speech audio now correctly produces an empty result instead of invented text.</w:t>
      </w:r>
    </w:p>
    <w:p>
      <w:pPr>
        <w:pStyle w:val="Heading2"/>
        <w:spacing w:after="120" w:before="220"/>
      </w:pPr>
      <w:r>
        <w:t xml:space="preserve">5.4 Handling Multiple Users at Once</w:t>
      </w:r>
    </w:p>
    <w:p>
      <w:pPr>
        <w:spacing w:after="140" w:line="276"/>
      </w:pPr>
      <w:r>
        <w:rPr>
          <w:rFonts w:ascii="Calibri" w:cs="Calibri" w:eastAsia="Calibri" w:hAnsi="Calibri"/>
          <w:sz w:val="22"/>
          <w:szCs w:val="22"/>
        </w:rPr>
        <w:t xml:space="preserve">Speech transcription is computationally heavy and takes noticeable time to run. If it were executed directly inside the server's main request-handling process, it would temporarily freeze the entire server, including simple requests like the health check, until it finished. To avoid this, transcription is handed off to a separate background thread for each request, allowing the server to keep accepting and responding to other requests while transcription is in progress. This was verified by sending five simultaneous requests and confirming all were handled successfully.</w:t>
      </w:r>
    </w:p>
    <w:p>
      <w:pPr>
        <w:pStyle w:val="Heading2"/>
        <w:spacing w:after="120" w:before="220"/>
      </w:pPr>
      <w:r>
        <w:t xml:space="preserve">5.5 Validation, Limits, and Cleanup</w:t>
      </w:r>
    </w:p>
    <w:p>
      <w:pPr>
        <w:pStyle w:val="ListParagraph"/>
        <w:pStyle w:val="normalPara"/>
        <w:numPr>
          <w:ilvl w:val="0"/>
          <w:numId w:val="1"/>
        </w:numPr>
        <w:spacing w:after="80" w:line="276"/>
      </w:pPr>
      <w:r>
        <w:t xml:space="preserve">File type is checked against a list of accepted audio formats; anything else is rejected immediately with a clear error.</w:t>
      </w:r>
    </w:p>
    <w:p>
      <w:pPr>
        <w:pStyle w:val="ListParagraph"/>
        <w:pStyle w:val="normalPara"/>
        <w:numPr>
          <w:ilvl w:val="0"/>
          <w:numId w:val="1"/>
        </w:numPr>
        <w:spacing w:after="80" w:line="276"/>
      </w:pPr>
      <w:r>
        <w:t xml:space="preserve">A maximum file size of 25 MB is enforced to prevent excessively large uploads.</w:t>
      </w:r>
    </w:p>
    <w:p>
      <w:pPr>
        <w:pStyle w:val="ListParagraph"/>
        <w:pStyle w:val="normalPara"/>
        <w:numPr>
          <w:ilvl w:val="0"/>
          <w:numId w:val="1"/>
        </w:numPr>
        <w:spacing w:after="80" w:line="276"/>
      </w:pPr>
      <w:r>
        <w:t xml:space="preserve">Every uploaded file is saved temporarily, processed, and then deleted afterward — including in cases where an error occurs — so no leftover files accumulate on the server over time.</w:t>
      </w:r>
    </w:p>
    <w:p>
      <w:pPr>
        <w:pStyle w:val="ListParagraph"/>
        <w:pStyle w:val="normalPara"/>
        <w:numPr>
          <w:ilvl w:val="0"/>
          <w:numId w:val="1"/>
        </w:numPr>
        <w:spacing w:after="80" w:line="276"/>
      </w:pPr>
      <w:r>
        <w:t xml:space="preserve">Each response includes a timing breakdown (time to receive the file, time to run the model, and total time), making performance measurable rather than guessed.</w:t>
      </w:r>
    </w:p>
    <w:p>
      <w:pPr>
        <w:pStyle w:val="Heading1"/>
        <w:spacing w:after="150" w:before="300"/>
      </w:pPr>
      <w:r>
        <w:t xml:space="preserve">6. Task 3 — Testing and Validation</w:t>
      </w:r>
    </w:p>
    <w:p>
      <w:pPr>
        <w:spacing w:after="140" w:line="276"/>
      </w:pPr>
      <w:r>
        <w:rPr>
          <w:rFonts w:ascii="Calibri" w:cs="Calibri" w:eastAsia="Calibri" w:hAnsi="Calibri"/>
          <w:sz w:val="22"/>
          <w:szCs w:val="22"/>
        </w:rPr>
        <w:t xml:space="preserve">Rather than testing randomly, two recognized software-testing techniques were used to ensure structured, defensible coverage.</w:t>
      </w:r>
    </w:p>
    <w:p>
      <w:pPr>
        <w:pStyle w:val="Heading2"/>
        <w:spacing w:after="120" w:before="220"/>
      </w:pPr>
      <w:r>
        <w:t xml:space="preserve">6.1 Equivalence Class Partitioning (ECP)</w:t>
      </w:r>
    </w:p>
    <w:p>
      <w:pPr>
        <w:spacing w:after="140" w:line="276"/>
      </w:pPr>
      <w:r>
        <w:rPr>
          <w:rFonts w:ascii="Calibri" w:cs="Calibri" w:eastAsia="Calibri" w:hAnsi="Calibri"/>
          <w:sz w:val="22"/>
          <w:szCs w:val="22"/>
        </w:rPr>
        <w:t xml:space="preserve">This method groups all possible inputs into categories that should logically behave the same way, and tests one representative example from each category. This gives confidence across the full range of realistic inputs without needing to test every possible file.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700"/>
      </w:tblGrid>
      <w:tr>
        <w:trPr>
          <w:tblHeader/>
        </w:trPr>
        <w:tc>
          <w:tcPr>
            <w:tcW w:type="dxa" w:w="3200"/>
            <w:shd w:fill="DCE6F1" w:val="clear"/>
            <w:tcMar>
              <w:top w:type="dxa" w:w="80"/>
              <w:left w:type="dxa" w:w="100"/>
              <w:bottom w:type="dxa" w:w="80"/>
              <w:right w:type="dxa" w:w="100"/>
            </w:tcMar>
          </w:tcPr>
          <w:p>
            <w:r>
              <w:rPr>
                <w:rFonts w:ascii="Calibri" w:cs="Calibri" w:eastAsia="Calibri" w:hAnsi="Calibri"/>
                <w:b/>
                <w:bCs/>
                <w:sz w:val="20"/>
                <w:szCs w:val="20"/>
              </w:rPr>
              <w:t xml:space="preserve">Input Category</w:t>
            </w:r>
          </w:p>
        </w:tc>
        <w:tc>
          <w:tcPr>
            <w:tcW w:type="dxa" w:w="4200"/>
            <w:shd w:fill="DCE6F1" w:val="clear"/>
            <w:tcMar>
              <w:top w:type="dxa" w:w="80"/>
              <w:left w:type="dxa" w:w="100"/>
              <w:bottom w:type="dxa" w:w="80"/>
              <w:right w:type="dxa" w:w="100"/>
            </w:tcMar>
          </w:tcPr>
          <w:p>
            <w:r>
              <w:rPr>
                <w:rFonts w:ascii="Calibri" w:cs="Calibri" w:eastAsia="Calibri" w:hAnsi="Calibri"/>
                <w:b/>
                <w:bCs/>
                <w:sz w:val="20"/>
                <w:szCs w:val="20"/>
              </w:rPr>
              <w:t xml:space="preserve">Expected Behaviour</w:t>
            </w:r>
          </w:p>
        </w:tc>
        <w:tc>
          <w:tcPr>
            <w:tcW w:type="dxa" w:w="1700"/>
            <w:shd w:fill="DCE6F1" w:val="clear"/>
            <w:tcMar>
              <w:top w:type="dxa" w:w="80"/>
              <w:left w:type="dxa" w:w="100"/>
              <w:bottom w:type="dxa" w:w="80"/>
              <w:right w:type="dxa" w:w="100"/>
            </w:tcMar>
          </w:tcPr>
          <w:p>
            <w:r>
              <w:rPr>
                <w:rFonts w:ascii="Calibri" w:cs="Calibri" w:eastAsia="Calibri" w:hAnsi="Calibri"/>
                <w:b/>
                <w:bCs/>
                <w:sz w:val="20"/>
                <w:szCs w:val="20"/>
              </w:rPr>
              <w:t xml:space="preserve">Result</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Clear speech</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Returns accurate, non-empty transcript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Noisy speech</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Returns non-empty transcript despite background noise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Silence</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Returns an empty transcript (no fabricated text)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Non-speech / music</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Returns an empty transcript (no fabricated text)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Corrupted audio file</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Server returns a controlled error, not a crash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Wrong file type</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Rejected immediately with a clear error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bl>
    <w:p>
      <w:pPr>
        <w:spacing w:after="200" w:before="120"/>
      </w:pPr>
      <w:r>
        <w:rPr>
          <w:rFonts w:ascii="Calibri" w:cs="Calibri" w:eastAsia="Calibri" w:hAnsi="Calibri"/>
          <w:b/>
          <w:bCs/>
          <w:sz w:val="22"/>
          <w:szCs w:val="22"/>
        </w:rPr>
        <w:t xml:space="preserve">Result: 6 out of 6 test cases passed.</w:t>
      </w:r>
    </w:p>
    <w:p>
      <w:pPr>
        <w:pStyle w:val="Heading2"/>
        <w:spacing w:after="120" w:before="220"/>
      </w:pPr>
      <w:r>
        <w:t xml:space="preserve">6.2 Boundary Value Analysis (BVA)</w:t>
      </w:r>
    </w:p>
    <w:p>
      <w:pPr>
        <w:spacing w:after="140" w:line="276"/>
      </w:pPr>
      <w:r>
        <w:rPr>
          <w:rFonts w:ascii="Calibri" w:cs="Calibri" w:eastAsia="Calibri" w:hAnsi="Calibri"/>
          <w:sz w:val="22"/>
          <w:szCs w:val="22"/>
        </w:rPr>
        <w:t xml:space="preserve">This method focuses specifically on the edges of accepted input ranges, since errors most commonly occur at boundaries rather than in the middle of a normal range.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700"/>
      </w:tblGrid>
      <w:tr>
        <w:trPr>
          <w:tblHeader/>
        </w:trPr>
        <w:tc>
          <w:tcPr>
            <w:tcW w:type="dxa" w:w="3200"/>
            <w:shd w:fill="DCE6F1" w:val="clear"/>
            <w:tcMar>
              <w:top w:type="dxa" w:w="80"/>
              <w:left w:type="dxa" w:w="100"/>
              <w:bottom w:type="dxa" w:w="80"/>
              <w:right w:type="dxa" w:w="100"/>
            </w:tcMar>
          </w:tcPr>
          <w:p>
            <w:r>
              <w:rPr>
                <w:rFonts w:ascii="Calibri" w:cs="Calibri" w:eastAsia="Calibri" w:hAnsi="Calibri"/>
                <w:b/>
                <w:bCs/>
                <w:sz w:val="20"/>
                <w:szCs w:val="20"/>
              </w:rPr>
              <w:t xml:space="preserve">Test Case</w:t>
            </w:r>
          </w:p>
        </w:tc>
        <w:tc>
          <w:tcPr>
            <w:tcW w:type="dxa" w:w="4200"/>
            <w:shd w:fill="DCE6F1" w:val="clear"/>
            <w:tcMar>
              <w:top w:type="dxa" w:w="80"/>
              <w:left w:type="dxa" w:w="100"/>
              <w:bottom w:type="dxa" w:w="80"/>
              <w:right w:type="dxa" w:w="100"/>
            </w:tcMar>
          </w:tcPr>
          <w:p>
            <w:r>
              <w:rPr>
                <w:rFonts w:ascii="Calibri" w:cs="Calibri" w:eastAsia="Calibri" w:hAnsi="Calibri"/>
                <w:b/>
                <w:bCs/>
                <w:sz w:val="20"/>
                <w:szCs w:val="20"/>
              </w:rPr>
              <w:t xml:space="preserve">Expected Behaviour</w:t>
            </w:r>
          </w:p>
        </w:tc>
        <w:tc>
          <w:tcPr>
            <w:tcW w:type="dxa" w:w="1700"/>
            <w:shd w:fill="DCE6F1" w:val="clear"/>
            <w:tcMar>
              <w:top w:type="dxa" w:w="80"/>
              <w:left w:type="dxa" w:w="100"/>
              <w:bottom w:type="dxa" w:w="80"/>
              <w:right w:type="dxa" w:w="100"/>
            </w:tcMar>
          </w:tcPr>
          <w:p>
            <w:r>
              <w:rPr>
                <w:rFonts w:ascii="Calibri" w:cs="Calibri" w:eastAsia="Calibri" w:hAnsi="Calibri"/>
                <w:b/>
                <w:bCs/>
                <w:sz w:val="20"/>
                <w:szCs w:val="20"/>
              </w:rPr>
              <w:t xml:space="preserve">Result</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File just under the 25 MB limit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Accepted and processed normally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File exactly at the 25 MB limit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Accepted and processed normally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File just over the 25 MB limit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Rejected with a clear error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Shortest possible audio clip</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Handled gracefully, no crash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Five simultaneous requests</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All five handled successfully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Passed</w:t>
            </w:r>
          </w:p>
        </w:tc>
      </w:tr>
    </w:tbl>
    <w:p>
      <w:pPr>
        <w:spacing w:after="200" w:before="120"/>
      </w:pPr>
      <w:r>
        <w:rPr>
          <w:rFonts w:ascii="Calibri" w:cs="Calibri" w:eastAsia="Calibri" w:hAnsi="Calibri"/>
          <w:b/>
          <w:bCs/>
          <w:sz w:val="22"/>
          <w:szCs w:val="22"/>
        </w:rPr>
        <w:t xml:space="preserve">Result: 5 out of 5 test cases passed. Combined with ECP, 11 out of 11 total test cases passed.</w:t>
      </w:r>
    </w:p>
    <w:p>
      <w:pPr>
        <w:pStyle w:val="Heading2"/>
        <w:spacing w:after="120" w:before="220"/>
      </w:pPr>
      <w:r>
        <w:t xml:space="preserve">6.3 Additional Reliability Measures</w:t>
      </w:r>
    </w:p>
    <w:p>
      <w:pPr>
        <w:pStyle w:val="ListParagraph"/>
        <w:pStyle w:val="normalPara"/>
        <w:numPr>
          <w:ilvl w:val="0"/>
          <w:numId w:val="1"/>
        </w:numPr>
        <w:spacing w:after="80" w:line="276"/>
      </w:pPr>
      <w:r>
        <w:t xml:space="preserve">All backend dependencies were version-locked (using pip freeze), so the exact same environment can be reproduced on any machine or server, avoiding version-mismatch problems.</w:t>
      </w:r>
    </w:p>
    <w:p>
      <w:pPr>
        <w:pStyle w:val="ListParagraph"/>
        <w:pStyle w:val="normalPara"/>
        <w:numPr>
          <w:ilvl w:val="0"/>
          <w:numId w:val="1"/>
        </w:numPr>
        <w:spacing w:after="80" w:line="276"/>
      </w:pPr>
      <w:r>
        <w:t xml:space="preserve">Latency data (upload time, inference time, total time) is captured automatically on every request, providing an ongoing, built-in performance record without extra tools.</w:t>
      </w:r>
    </w:p>
    <w:p>
      <w:pPr>
        <w:pStyle w:val="Heading1"/>
        <w:spacing w:after="150" w:before="300"/>
      </w:pPr>
      <w:r>
        <w:t xml:space="preserve">7. Cloud Deployment</w:t>
      </w:r>
    </w:p>
    <w:p>
      <w:pPr>
        <w:spacing w:after="140" w:line="276"/>
      </w:pPr>
      <w:r>
        <w:rPr>
          <w:rFonts w:ascii="Calibri" w:cs="Calibri" w:eastAsia="Calibri" w:hAnsi="Calibri"/>
          <w:sz w:val="22"/>
          <w:szCs w:val="22"/>
        </w:rPr>
        <w:t xml:space="preserve">Following initial review, it was identified that the project needed to run on cloud infrastructure rather than a local machine, so that it is genuinely accessible to anyone online, independent of any single computer being switched on. The deployment was carried out on Amazon Web Services (AWS), with supervisor approval to proceed on this provider.</w:t>
      </w:r>
    </w:p>
    <w:p>
      <w:pPr>
        <w:pStyle w:val="Heading2"/>
        <w:spacing w:after="120" w:before="220"/>
      </w:pPr>
      <w:r>
        <w:t xml:space="preserve">7.1 Backend Deployment (AWS EC2)</w:t>
      </w:r>
    </w:p>
    <w:p>
      <w:pPr>
        <w:spacing w:after="140" w:line="276"/>
      </w:pPr>
      <w:r>
        <w:rPr>
          <w:rFonts w:ascii="Calibri" w:cs="Calibri" w:eastAsia="Calibri" w:hAnsi="Calibri"/>
          <w:sz w:val="22"/>
          <w:szCs w:val="22"/>
        </w:rPr>
        <w:t xml:space="preserve">The backend was deployed to an AWS EC2 virtual server. This involved provisioning a cloud instance, installing the required system and Python dependencies, transferring the backend code, and running the server so that it continues running independently of any single connected session. Network access rules were configured so the server can be reached securely from the internet on the required port.</w:t>
      </w:r>
    </w:p>
    <w:p>
      <w:pPr>
        <w:pStyle w:val="Heading2"/>
        <w:spacing w:after="120" w:before="220"/>
      </w:pPr>
      <w:r>
        <w:t xml:space="preserve">7.2 Frontend Deployment (AWS S3)</w:t>
      </w:r>
    </w:p>
    <w:p>
      <w:pPr>
        <w:spacing w:after="140" w:line="276"/>
      </w:pPr>
      <w:r>
        <w:rPr>
          <w:rFonts w:ascii="Calibri" w:cs="Calibri" w:eastAsia="Calibri" w:hAnsi="Calibri"/>
          <w:sz w:val="22"/>
          <w:szCs w:val="22"/>
        </w:rPr>
        <w:t xml:space="preserve">The frontend, being a set of static files with no server-side logic, was deployed to Amazon S3 with static website hosting enabled. This is a lightweight and cost-effective hosting method appropriate for static content, and it keeps the frontend's availability independent of the backend server.</w:t>
      </w:r>
    </w:p>
    <w:p>
      <w:pPr>
        <w:pStyle w:val="Heading2"/>
        <w:spacing w:after="120" w:before="220"/>
      </w:pPr>
      <w:r>
        <w:t xml:space="preserve">7.3 Connecting Frontend and Backend</w:t>
      </w:r>
    </w:p>
    <w:p>
      <w:pPr>
        <w:spacing w:after="140" w:line="276"/>
      </w:pPr>
      <w:r>
        <w:rPr>
          <w:rFonts w:ascii="Calibri" w:cs="Calibri" w:eastAsia="Calibri" w:hAnsi="Calibri"/>
          <w:sz w:val="22"/>
          <w:szCs w:val="22"/>
        </w:rPr>
        <w:t xml:space="preserve">The single connection point between the two is one configuration value in the frontend code specifying the backend's web address. This was updated to point to the live cloud backend address instead of a local address, and the frontend files were re-uploaded to reflect the change.</w:t>
      </w:r>
    </w:p>
    <w:p>
      <w:pPr>
        <w:pStyle w:val="Heading2"/>
        <w:spacing w:after="120" w:before="220"/>
      </w:pPr>
      <w:r>
        <w:t xml:space="preserve">7.4 Security Note (HTTPS)</w:t>
      </w:r>
    </w:p>
    <w:p>
      <w:pPr>
        <w:spacing w:after="140" w:line="276"/>
      </w:pPr>
      <w:r>
        <w:rPr>
          <w:rFonts w:ascii="Calibri" w:cs="Calibri" w:eastAsia="Calibri" w:hAnsi="Calibri"/>
          <w:sz w:val="22"/>
          <w:szCs w:val="22"/>
        </w:rPr>
        <w:t xml:space="preserve">The backend is currently served using a self-signed security certificate rather than one issued by a public trusted authority. This is functionally secure for encryption purposes but requires a one-time manual step in the browser (accepting a security warning) before the connection is trusted. This is a reasonable interim approach for an internal/demonstration deployment; a fully trusted certificate (for example, via Let's Encrypt) would be the recommended next step for a public production release.</w:t>
      </w:r>
    </w:p>
    <w:p>
      <w:pPr>
        <w:pStyle w:val="Heading2"/>
        <w:spacing w:after="120" w:before="220"/>
      </w:pPr>
      <w:r>
        <w:t xml:space="preserve">7.5 Verifying the Deployment</w:t>
      </w:r>
    </w:p>
    <w:p>
      <w:pPr>
        <w:spacing w:after="140" w:line="276"/>
      </w:pPr>
      <w:r>
        <w:rPr>
          <w:rFonts w:ascii="Calibri" w:cs="Calibri" w:eastAsia="Calibri" w:hAnsi="Calibri"/>
          <w:sz w:val="22"/>
          <w:szCs w:val="22"/>
        </w:rPr>
        <w:t xml:space="preserve">A simple health-check address was used throughout deployment and testing to confirm the backend server was live and reachable, independent of testing the full transcription flow. This proved useful for quickly separating backend issues from frontend issues whenever something did not work as expected.</w:t>
      </w:r>
    </w:p>
    <w:p>
      <w:pPr>
        <w:spacing w:after="140" w:line="276"/>
      </w:pPr>
      <w:r>
        <w:rPr>
          <w:rFonts w:ascii="Calibri" w:cs="Calibri" w:eastAsia="Calibri" w:hAnsi="Calibri"/>
          <w:sz w:val="22"/>
          <w:szCs w:val="22"/>
        </w:rPr>
        <w:t xml:space="preserve">All Task 3 tests were re-run against the live cloud backend address (rather than a local address) to confirm the deployed system behaves identically to the local version.</w:t>
      </w:r>
    </w:p>
    <w:p>
      <w:pPr>
        <w:pStyle w:val="Heading1"/>
        <w:spacing w:after="150" w:before="300"/>
      </w:pPr>
      <w:r>
        <w:t xml:space="preserve">8. Challenges and Lessons Learned</w:t>
      </w:r>
    </w:p>
    <w:p>
      <w:pPr>
        <w:pStyle w:val="ListParagraph"/>
        <w:pStyle w:val="normalPara"/>
        <w:numPr>
          <w:ilvl w:val="0"/>
          <w:numId w:val="1"/>
        </w:numPr>
        <w:spacing w:after="80" w:line="276"/>
      </w:pPr>
      <w:r>
        <w:t xml:space="preserve">Running code locally is not the same as running it in the cloud — network access rules, firewall settings, and public reachability all require explicit configuration that does not exist by default.</w:t>
      </w:r>
    </w:p>
    <w:p>
      <w:pPr>
        <w:pStyle w:val="ListParagraph"/>
        <w:pStyle w:val="normalPara"/>
        <w:numPr>
          <w:ilvl w:val="0"/>
          <w:numId w:val="1"/>
        </w:numPr>
        <w:spacing w:after="80" w:line="276"/>
      </w:pPr>
      <w:r>
        <w:t xml:space="preserve">Small architectural decisions, such as offloading transcription to a background thread, have a real and measurable effect on how the system behaves under multiple simultaneous users.</w:t>
      </w:r>
    </w:p>
    <w:p>
      <w:pPr>
        <w:pStyle w:val="ListParagraph"/>
        <w:pStyle w:val="normalPara"/>
        <w:numPr>
          <w:ilvl w:val="0"/>
          <w:numId w:val="1"/>
        </w:numPr>
        <w:spacing w:after="80" w:line="276"/>
      </w:pPr>
      <w:r>
        <w:t xml:space="preserve">Clear, professional documentation of reasoning — not just a list of completed items — is an important deliverable in its own right, not an afterthought.</w:t>
      </w:r>
    </w:p>
    <w:p>
      <w:pPr>
        <w:pStyle w:val="Heading1"/>
        <w:spacing w:after="150" w:before="300"/>
      </w:pPr>
      <w:r>
        <w:t xml:space="preserve">9. Conclusion</w:t>
      </w:r>
    </w:p>
    <w:p>
      <w:pPr>
        <w:spacing w:after="140" w:line="276"/>
      </w:pPr>
      <w:r>
        <w:rPr>
          <w:rFonts w:ascii="Calibri" w:cs="Calibri" w:eastAsia="Calibri" w:hAnsi="Calibri"/>
          <w:sz w:val="22"/>
          <w:szCs w:val="22"/>
        </w:rPr>
        <w:t xml:space="preserve">By the end of Week 1, a complete voice transcription pipeline was designed, built, tested, and deployed to the cloud. The system has been verified against 11 structured test cases covering both normal and edge-case behaviour, includes safeguards against known model failure modes, and is now reachable publicly rather than depending on a local machine. The remaining recommended improvement is upgrading the backend's security certificate to a fully trusted one for a cleaner production-grade experience.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Voice Transcription Pipeline —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Para">
    <w:name w:val="Normal Para"/>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2026-07-11T18:00:35.712Z</dcterms:created>
  <dcterms:modified xsi:type="dcterms:W3CDTF">2026-07-11T18:00:35.728Z</dcterms:modified>
</cp:coreProperties>
</file>

<file path=docProps/custom.xml><?xml version="1.0" encoding="utf-8"?>
<Properties xmlns="http://schemas.openxmlformats.org/officeDocument/2006/custom-properties" xmlns:vt="http://schemas.openxmlformats.org/officeDocument/2006/docPropsVTypes"/>
</file>