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AI-Driven Standardization and Harmonization</w:t>
      </w:r>
    </w:p>
    <w:p>
      <w:pPr>
        <w:spacing w:after="80"/>
        <w:jc w:val="center"/>
      </w:pPr>
      <w:r>
        <w:rPr>
          <w:rFonts w:ascii="Arial" w:cs="Arial" w:eastAsia="Arial" w:hAnsi="Arial"/>
          <w:b/>
          <w:bCs/>
          <w:color w:val="1F4E79"/>
          <w:sz w:val="32"/>
          <w:szCs w:val="32"/>
        </w:rPr>
        <w:t xml:space="preserve">of Material Codes Across CPSEs</w:t>
      </w:r>
    </w:p>
    <w:p>
      <w:pPr>
        <w:spacing w:after="200"/>
        <w:jc w:val="center"/>
      </w:pPr>
      <w:r>
        <w:rPr>
          <w:rFonts w:ascii="Arial" w:cs="Arial" w:eastAsia="Arial" w:hAnsi="Arial"/>
          <w:color w:val="404040"/>
          <w:sz w:val="22"/>
          <w:szCs w:val="22"/>
        </w:rPr>
        <w:t xml:space="preserve">Solution Design Document – National Unified Material Master Framework (NUMMF)</w:t>
      </w:r>
    </w:p>
    <w:p>
      <w:pPr>
        <w:spacing w:after="60"/>
        <w:jc w:val="center"/>
      </w:pPr>
      <w:r>
        <w:rPr>
          <w:rFonts w:ascii="Arial" w:cs="Arial" w:eastAsia="Arial" w:hAnsi="Arial"/>
          <w:sz w:val="20"/>
          <w:szCs w:val="20"/>
        </w:rPr>
        <w:t xml:space="preserve">Problem Statement ID: 26099</w:t>
      </w:r>
    </w:p>
    <w:p>
      <w:pPr>
        <w:spacing w:after="60"/>
        <w:jc w:val="center"/>
      </w:pPr>
      <w:r>
        <w:rPr>
          <w:rFonts w:ascii="Arial" w:cs="Arial" w:eastAsia="Arial" w:hAnsi="Arial"/>
          <w:sz w:val="20"/>
          <w:szCs w:val="20"/>
        </w:rPr>
        <w:t xml:space="preserve">Organization: Ministry of Petroleum &amp; Natural Gas</w:t>
      </w:r>
    </w:p>
    <w:p>
      <w:pPr>
        <w:spacing w:after="60"/>
        <w:jc w:val="center"/>
      </w:pPr>
      <w:r>
        <w:rPr>
          <w:rFonts w:ascii="Arial" w:cs="Arial" w:eastAsia="Arial" w:hAnsi="Arial"/>
          <w:sz w:val="20"/>
          <w:szCs w:val="20"/>
        </w:rPr>
        <w:t xml:space="preserve">Department: Chennai Petroleum Corporation Limited (CPCL)</w:t>
      </w:r>
    </w:p>
    <w:p>
      <w:pPr>
        <w:spacing w:after="60"/>
        <w:jc w:val="center"/>
      </w:pPr>
      <w:r>
        <w:rPr>
          <w:rFonts w:ascii="Arial" w:cs="Arial" w:eastAsia="Arial" w:hAnsi="Arial"/>
          <w:sz w:val="20"/>
          <w:szCs w:val="20"/>
        </w:rPr>
        <w:t xml:space="preserve">Category: Software  |  Theme: Smart Automation</w:t>
      </w:r>
    </w:p>
    <w:p>
      <w:pPr>
        <w:spacing w:after="300"/>
        <w:jc w:val="center"/>
      </w:pPr>
      <w:r>
        <w:rPr>
          <w:rFonts w:ascii="Arial" w:cs="Arial" w:eastAsia="Arial" w:hAnsi="Arial"/>
          <w:i/>
          <w:iCs/>
          <w:color w:val="666666"/>
          <w:sz w:val="18"/>
          <w:szCs w:val="18"/>
        </w:rPr>
        <w:t xml:space="preserve">Prepared as R&amp;D Engineering Solution Draft</w:t>
      </w:r>
    </w:p>
    <w:p>
      <w:pPr>
        <w:pStyle w:val="Heading1"/>
      </w:pPr>
      <w:r>
        <w:rPr>
          <w:b/>
          <w:bCs/>
        </w:rPr>
        <w:t xml:space="preserve">1. Neutral Diagnosis of the Problem</w:t>
      </w:r>
    </w:p>
    <w:p>
      <w:pPr>
        <w:spacing w:after="120"/>
      </w:pPr>
      <w:r>
        <w:rPr>
          <w:sz w:val="22"/>
          <w:szCs w:val="22"/>
        </w:rPr>
        <w:t xml:space="preserve">Central Public Sector Enterprises (CPSEs) operating in Oil &amp; Gas, Power, Steel, Mining and Heavy Engineering maintain independent material masters in their respective SAP/ERP systems. The same (or functionally equivalent) items are assigned divergent material codes, free-text descriptions, technical attributes, units of measure (UoM), material types/groups, HSN/SAC codes and valuation classes.</w:t>
      </w:r>
    </w:p>
    <w:p>
      <w:pPr>
        <w:pStyle w:val="Heading2"/>
      </w:pPr>
      <w:r>
        <w:rPr>
          <w:b/>
          <w:bCs/>
        </w:rPr>
        <w:t xml:space="preserve">1.1 Root Causes</w:t>
      </w:r>
    </w:p>
    <w:p>
      <w:pPr>
        <w:spacing w:after="80"/>
      </w:pPr>
      <w:r>
        <w:rPr>
          <w:sz w:val="22"/>
          <w:szCs w:val="22"/>
        </w:rPr>
        <w:t xml:space="preserve">Observed from typical CPSE SAP MM structures (illustrated by the Jharkhand Bijli Vitran Nigam Limited Materials Management Master Data User Manual):</w:t>
      </w:r>
    </w:p>
    <w:p>
      <w:pPr>
        <w:pStyle w:val="ListParagraph"/>
        <w:numPr>
          <w:ilvl w:val="0"/>
          <w:numId w:val="2"/>
        </w:numPr>
      </w:pPr>
      <w:r>
        <w:rPr>
          <w:sz w:val="22"/>
          <w:szCs w:val="22"/>
        </w:rPr>
        <w:t xml:space="preserve">Material Types are custom and enterprise-specific (ZCAP – Capital Materials, ZSPA – Spare Parts, ZCON – Consumables, ZCVL – Civil Materials, ZTOL – Tools, etc.).</w:t>
      </w:r>
    </w:p>
    <w:p>
      <w:pPr>
        <w:pStyle w:val="ListParagraph"/>
        <w:numPr>
          <w:ilvl w:val="0"/>
          <w:numId w:val="2"/>
        </w:numPr>
      </w:pPr>
      <w:r>
        <w:rPr>
          <w:sz w:val="22"/>
          <w:szCs w:val="22"/>
        </w:rPr>
        <w:t xml:space="preserve">Material Groups comprise long, organisation-specific lists (e.g., 1000–1705 for materials plus service groups 3000/3001) with inconsistent naming conventions and granularity.</w:t>
      </w:r>
    </w:p>
    <w:p>
      <w:pPr>
        <w:pStyle w:val="ListParagraph"/>
        <w:numPr>
          <w:ilvl w:val="0"/>
          <w:numId w:val="2"/>
        </w:numPr>
      </w:pPr>
      <w:r>
        <w:rPr>
          <w:sz w:val="22"/>
          <w:szCs w:val="22"/>
        </w:rPr>
        <w:t xml:space="preserve">Descriptions are free-text (typically 40-character short text + long text), highly variable in spelling, abbreviation, attribute ordering and unit conventions.</w:t>
      </w:r>
    </w:p>
    <w:p>
      <w:pPr>
        <w:pStyle w:val="ListParagraph"/>
        <w:numPr>
          <w:ilvl w:val="0"/>
          <w:numId w:val="2"/>
        </w:numPr>
      </w:pPr>
      <w:r>
        <w:rPr>
          <w:sz w:val="22"/>
          <w:szCs w:val="22"/>
        </w:rPr>
        <w:t xml:space="preserve">Number ranges are internal and enterprise-specific; no shared national taxonomy exists.</w:t>
      </w:r>
    </w:p>
    <w:p>
      <w:pPr>
        <w:pStyle w:val="ListParagraph"/>
        <w:numPr>
          <w:ilvl w:val="0"/>
          <w:numId w:val="2"/>
        </w:numPr>
        <w:spacing w:after="120"/>
      </w:pPr>
      <w:r>
        <w:rPr>
          <w:sz w:val="22"/>
          <w:szCs w:val="22"/>
        </w:rPr>
        <w:t xml:space="preserve">Vendor, service and plant-level views further fragment the data landscape.</w:t>
      </w:r>
    </w:p>
    <w:p>
      <w:pPr>
        <w:pStyle w:val="Heading2"/>
      </w:pPr>
      <w:r>
        <w:rPr>
          <w:b/>
          <w:bCs/>
        </w:rPr>
        <w:t xml:space="preserve">1.2 Business Impact</w:t>
      </w:r>
    </w:p>
    <w:p>
      <w:pPr>
        <w:pStyle w:val="ListParagraph"/>
        <w:numPr>
          <w:ilvl w:val="0"/>
          <w:numId w:val="2"/>
        </w:numPr>
      </w:pPr>
      <w:r>
        <w:rPr>
          <w:sz w:val="22"/>
          <w:szCs w:val="22"/>
        </w:rPr>
        <w:t xml:space="preserve">Duplication of material masters and inconsistent descriptions across CPSEs.</w:t>
      </w:r>
    </w:p>
    <w:p>
      <w:pPr>
        <w:pStyle w:val="ListParagraph"/>
        <w:numPr>
          <w:ilvl w:val="0"/>
          <w:numId w:val="2"/>
        </w:numPr>
      </w:pPr>
      <w:r>
        <w:rPr>
          <w:sz w:val="22"/>
          <w:szCs w:val="22"/>
        </w:rPr>
        <w:t xml:space="preserve">Difficulty in identifying equivalent materials and fragmented procurement data.</w:t>
      </w:r>
    </w:p>
    <w:p>
      <w:pPr>
        <w:pStyle w:val="ListParagraph"/>
        <w:numPr>
          <w:ilvl w:val="0"/>
          <w:numId w:val="2"/>
        </w:numPr>
      </w:pPr>
      <w:r>
        <w:rPr>
          <w:sz w:val="22"/>
          <w:szCs w:val="22"/>
        </w:rPr>
        <w:t xml:space="preserve">Higher inventory levels and limited opportunities for collaborative / aggregated procurement.</w:t>
      </w:r>
    </w:p>
    <w:p>
      <w:pPr>
        <w:pStyle w:val="ListParagraph"/>
        <w:numPr>
          <w:ilvl w:val="0"/>
          <w:numId w:val="2"/>
        </w:numPr>
      </w:pPr>
      <w:r>
        <w:rPr>
          <w:sz w:val="22"/>
          <w:szCs w:val="22"/>
        </w:rPr>
        <w:t xml:space="preserve">Blocked demand visibility, specification proliferation and slower sourcing cycles.</w:t>
      </w:r>
    </w:p>
    <w:p>
      <w:pPr>
        <w:pStyle w:val="ListParagraph"/>
        <w:numPr>
          <w:ilvl w:val="0"/>
          <w:numId w:val="2"/>
        </w:numPr>
        <w:spacing w:after="200"/>
      </w:pPr>
      <w:r>
        <w:rPr>
          <w:sz w:val="22"/>
          <w:szCs w:val="22"/>
        </w:rPr>
        <w:t xml:space="preserve">Missed economies of scale and weaker data-driven procurement decisions.</w:t>
      </w:r>
    </w:p>
    <w:p>
      <w:pPr>
        <w:spacing w:after="200"/>
      </w:pPr>
      <w:r>
        <w:rPr>
          <w:i/>
          <w:iCs/>
          <w:sz w:val="22"/>
          <w:szCs w:val="22"/>
        </w:rPr>
        <w:t xml:space="preserve">The “One Nation – One Material Code” objective therefore requires an intelligent layer that sits above existing SAP systems rather than replacing them.</w:t>
      </w:r>
    </w:p>
    <w:p>
      <w:pPr>
        <w:pStyle w:val="Heading1"/>
      </w:pPr>
      <w:r>
        <w:rPr>
          <w:b/>
          <w:bCs/>
        </w:rPr>
        <w:t xml:space="preserve">2. Required Solution – National Unified Material Master Framework (NUMMF)</w:t>
      </w:r>
    </w:p>
    <w:p>
      <w:pPr>
        <w:spacing w:after="120"/>
      </w:pPr>
      <w:r>
        <w:rPr>
          <w:sz w:val="22"/>
          <w:szCs w:val="22"/>
        </w:rPr>
        <w:t xml:space="preserve">An AI-powered platform that analyses material codes, descriptions, specifications, technical parameters and historical procurement data from multiple CPSEs. It uses Artificial Intelligence, Machine Learning and Natural Language Processing to identify identical, duplicate, near-duplicate and functionally equivalent materials, then recommends a Common National Material Code while retaining full mapping to each CPSE’s legacy codes.</w:t>
      </w:r>
    </w:p>
    <w:p>
      <w:pPr>
        <w:pStyle w:val="Heading1"/>
      </w:pPr>
      <w:r>
        <w:rPr>
          <w:b/>
          <w:bCs/>
        </w:rPr>
        <w:t xml:space="preserve">3. Architecture Overview</w:t>
      </w:r>
    </w:p>
    <w:p>
      <w:pPr>
        <w:spacing w:after="80"/>
      </w:pPr>
      <w:r>
        <w:rPr>
          <w:sz w:val="22"/>
          <w:szCs w:val="22"/>
        </w:rPr>
        <w:t xml:space="preserve">The platform is designed as a non-invasive hybrid AI layer with the following characteristics:</w:t>
      </w:r>
    </w:p>
    <w:p>
      <w:pPr>
        <w:pStyle w:val="ListParagraph"/>
        <w:numPr>
          <w:ilvl w:val="0"/>
          <w:numId w:val="2"/>
        </w:numPr>
      </w:pPr>
      <w:r>
        <w:rPr>
          <w:sz w:val="22"/>
          <w:szCs w:val="22"/>
        </w:rPr>
        <w:t xml:space="preserve">Ingests material masters and historical PO/GR data from participating CPSEs.</w:t>
      </w:r>
    </w:p>
    <w:p>
      <w:pPr>
        <w:pStyle w:val="ListParagraph"/>
        <w:numPr>
          <w:ilvl w:val="0"/>
          <w:numId w:val="2"/>
        </w:numPr>
      </w:pPr>
      <w:r>
        <w:rPr>
          <w:sz w:val="22"/>
          <w:szCs w:val="22"/>
        </w:rPr>
        <w:t xml:space="preserve">Performs multi-modal similarity matching (text + structured attributes + embeddings).</w:t>
      </w:r>
    </w:p>
    <w:p>
      <w:pPr>
        <w:pStyle w:val="ListParagraph"/>
        <w:numPr>
          <w:ilvl w:val="0"/>
          <w:numId w:val="2"/>
        </w:numPr>
      </w:pPr>
      <w:r>
        <w:rPr>
          <w:sz w:val="22"/>
          <w:szCs w:val="22"/>
        </w:rPr>
        <w:t xml:space="preserve">Recommends a canonical National Material Code (NMC) together with standardised description and specification.</w:t>
      </w:r>
    </w:p>
    <w:p>
      <w:pPr>
        <w:pStyle w:val="ListParagraph"/>
        <w:numPr>
          <w:ilvl w:val="0"/>
          <w:numId w:val="2"/>
        </w:numPr>
      </w:pPr>
      <w:r>
        <w:rPr>
          <w:sz w:val="22"/>
          <w:szCs w:val="22"/>
        </w:rPr>
        <w:t xml:space="preserve">Maintains bi-directional mapping to every CPSE’s existing material code.</w:t>
      </w:r>
    </w:p>
    <w:p>
      <w:pPr>
        <w:pStyle w:val="ListParagraph"/>
        <w:numPr>
          <w:ilvl w:val="0"/>
          <w:numId w:val="2"/>
        </w:numPr>
        <w:spacing w:after="160"/>
      </w:pPr>
      <w:r>
        <w:rPr>
          <w:sz w:val="22"/>
          <w:szCs w:val="22"/>
        </w:rPr>
        <w:t xml:space="preserve">Provides human-in-the-loop validation, governance, audit trail and SAP/ERP integration.</w:t>
      </w:r>
    </w:p>
    <w:p>
      <w:pPr>
        <w:pStyle w:val="Heading2"/>
      </w:pPr>
      <w:r>
        <w:rPr>
          <w:b/>
          <w:bCs/>
        </w:rPr>
        <w:t xml:space="preserve">3.1 Recommended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000000" w:sz="4"/>
              <w:left w:val="single" w:color="000000" w:sz="4"/>
              <w:bottom w:val="single" w:color="000000" w:sz="4"/>
              <w:right w:val="single" w:color="000000" w:sz="4"/>
            </w:tcBorders>
            <w:shd w:fill="1F4E79" w:val="clear"/>
            <w:vAlign w:val="center"/>
          </w:tcPr>
          <w:p>
            <w:pPr>
              <w:spacing w:after="40" w:before="40"/>
              <w:jc w:val="center"/>
            </w:pPr>
            <w:r>
              <w:rPr>
                <w:rFonts w:ascii="Arial" w:cs="Arial" w:eastAsia="Arial" w:hAnsi="Arial"/>
                <w:b/>
                <w:bCs/>
                <w:color w:val="FFFFFF"/>
                <w:sz w:val="18"/>
                <w:szCs w:val="18"/>
              </w:rPr>
              <w:t xml:space="preserve">Layer</w:t>
            </w:r>
          </w:p>
        </w:tc>
        <w:tc>
          <w:tcPr>
            <w:tcW w:type="dxa" w:w="7280"/>
            <w:tcBorders>
              <w:top w:val="single" w:color="000000" w:sz="4"/>
              <w:left w:val="single" w:color="000000" w:sz="4"/>
              <w:bottom w:val="single" w:color="000000" w:sz="4"/>
              <w:right w:val="single" w:color="000000" w:sz="4"/>
            </w:tcBorders>
            <w:shd w:fill="1F4E79" w:val="clear"/>
            <w:vAlign w:val="center"/>
          </w:tcPr>
          <w:p>
            <w:pPr>
              <w:spacing w:after="40" w:before="40"/>
              <w:jc w:val="center"/>
            </w:pPr>
            <w:r>
              <w:rPr>
                <w:rFonts w:ascii="Arial" w:cs="Arial" w:eastAsia="Arial" w:hAnsi="Arial"/>
                <w:b/>
                <w:bCs/>
                <w:color w:val="FFFFFF"/>
                <w:sz w:val="18"/>
                <w:szCs w:val="18"/>
              </w:rPr>
              <w:t xml:space="preserve">Technology / Approach</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8"/>
                <w:szCs w:val="18"/>
              </w:rPr>
              <w:t xml:space="preserve">Data Layer</w:t>
            </w:r>
          </w:p>
        </w:tc>
        <w:tc>
          <w:tcPr>
            <w:tcW w:type="dxa" w:w="72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8"/>
                <w:szCs w:val="18"/>
              </w:rPr>
              <w:t xml:space="preserve">PostgreSQL + vector store (pgvector / Weaviate / Milvus)</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8"/>
                <w:szCs w:val="18"/>
              </w:rPr>
              <w:t xml:space="preserve">Ingestion</w:t>
            </w:r>
          </w:p>
        </w:tc>
        <w:tc>
          <w:tcPr>
            <w:tcW w:type="dxa" w:w="72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8"/>
                <w:szCs w:val="18"/>
              </w:rPr>
              <w:t xml:space="preserve">SAP RFCs / BAPIs / OData / S/4HANA APIs + flat-file / Excel loaders</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8"/>
                <w:szCs w:val="18"/>
              </w:rPr>
              <w:t xml:space="preserve">AI / ML – NLP</w:t>
            </w:r>
          </w:p>
        </w:tc>
        <w:tc>
          <w:tcPr>
            <w:tcW w:type="dxa" w:w="72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8"/>
                <w:szCs w:val="18"/>
              </w:rPr>
              <w:t xml:space="preserve">Domain-adapted transformer (fine-tuned on Indian industrial material corpus)</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8"/>
                <w:szCs w:val="18"/>
              </w:rPr>
              <w:t xml:space="preserve">Embeddings</w:t>
            </w:r>
          </w:p>
        </w:tc>
        <w:tc>
          <w:tcPr>
            <w:tcW w:type="dxa" w:w="72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8"/>
                <w:szCs w:val="18"/>
              </w:rPr>
              <w:t xml:space="preserve">Material-description + structured-attribute embeddings (Sentence-BERT / E5 / BGE)</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8"/>
                <w:szCs w:val="18"/>
              </w:rPr>
              <w:t xml:space="preserve">Matching Engine</w:t>
            </w:r>
          </w:p>
        </w:tc>
        <w:tc>
          <w:tcPr>
            <w:tcW w:type="dxa" w:w="72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8"/>
                <w:szCs w:val="18"/>
              </w:rPr>
              <w:t xml:space="preserve">Hybrid: BM25 + dense retrieval + cross-encoder re-ranker + rule-based attribute matching</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8"/>
                <w:szCs w:val="18"/>
              </w:rPr>
              <w:t xml:space="preserve">Classification</w:t>
            </w:r>
          </w:p>
        </w:tc>
        <w:tc>
          <w:tcPr>
            <w:tcW w:type="dxa" w:w="72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8"/>
                <w:szCs w:val="18"/>
              </w:rPr>
              <w:t xml:space="preserve">Hierarchical multi-label classifier for Material Type / Group / HSN alignment</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8"/>
                <w:szCs w:val="18"/>
              </w:rPr>
              <w:t xml:space="preserve">Orchestration</w:t>
            </w:r>
          </w:p>
        </w:tc>
        <w:tc>
          <w:tcPr>
            <w:tcW w:type="dxa" w:w="72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8"/>
                <w:szCs w:val="18"/>
              </w:rPr>
              <w:t xml:space="preserve">Python (FastAPI) + Airflow / Prefect for pipelines</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8"/>
                <w:szCs w:val="18"/>
              </w:rPr>
              <w:t xml:space="preserve">UI / Workflow</w:t>
            </w:r>
          </w:p>
        </w:tc>
        <w:tc>
          <w:tcPr>
            <w:tcW w:type="dxa" w:w="72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8"/>
                <w:szCs w:val="18"/>
              </w:rPr>
              <w:t xml:space="preserve">React-based review UI with maker-checker approval queues</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8"/>
                <w:szCs w:val="18"/>
              </w:rPr>
              <w:t xml:space="preserve">SAP Integration</w:t>
            </w:r>
          </w:p>
        </w:tc>
        <w:tc>
          <w:tcPr>
            <w:tcW w:type="dxa" w:w="72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8"/>
                <w:szCs w:val="18"/>
              </w:rPr>
              <w:t xml:space="preserve">SAP PI/PO or direct BAPI wrappers; event-driven updates</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8"/>
                <w:szCs w:val="18"/>
              </w:rPr>
              <w:t xml:space="preserve">Governance</w:t>
            </w:r>
          </w:p>
        </w:tc>
        <w:tc>
          <w:tcPr>
            <w:tcW w:type="dxa" w:w="72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8"/>
                <w:szCs w:val="18"/>
              </w:rPr>
              <w:t xml:space="preserve">Immutable audit log, versioned mappings, role-based access control</w:t>
            </w:r>
          </w:p>
        </w:tc>
      </w:tr>
    </w:tbl>
    <w:p>
      <w:pPr>
        <w:pStyle w:val="Heading1"/>
      </w:pPr>
      <w:r>
        <w:rPr>
          <w:b/>
          <w:bCs/>
        </w:rPr>
        <w:t xml:space="preserve">4. Key Functional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c>
          <w:tcPr>
            <w:tcW w:type="dxa" w:w="2800"/>
            <w:tcBorders>
              <w:top w:val="single" w:color="000000" w:sz="4"/>
              <w:left w:val="single" w:color="000000" w:sz="4"/>
              <w:bottom w:val="single" w:color="000000" w:sz="4"/>
              <w:right w:val="single" w:color="000000" w:sz="4"/>
            </w:tcBorders>
            <w:shd w:fill="1F4E79" w:val="clear"/>
            <w:vAlign w:val="center"/>
          </w:tcPr>
          <w:p>
            <w:pPr>
              <w:spacing w:after="40" w:before="40"/>
              <w:jc w:val="center"/>
            </w:pPr>
            <w:r>
              <w:rPr>
                <w:rFonts w:ascii="Arial" w:cs="Arial" w:eastAsia="Arial" w:hAnsi="Arial"/>
                <w:b/>
                <w:bCs/>
                <w:color w:val="FFFFFF"/>
                <w:sz w:val="18"/>
                <w:szCs w:val="18"/>
              </w:rPr>
              <w:t xml:space="preserve">Module</w:t>
            </w:r>
          </w:p>
        </w:tc>
        <w:tc>
          <w:tcPr>
            <w:tcW w:type="dxa" w:w="3600"/>
            <w:tcBorders>
              <w:top w:val="single" w:color="000000" w:sz="4"/>
              <w:left w:val="single" w:color="000000" w:sz="4"/>
              <w:bottom w:val="single" w:color="000000" w:sz="4"/>
              <w:right w:val="single" w:color="000000" w:sz="4"/>
            </w:tcBorders>
            <w:shd w:fill="1F4E79" w:val="clear"/>
            <w:vAlign w:val="center"/>
          </w:tcPr>
          <w:p>
            <w:pPr>
              <w:spacing w:after="40" w:before="40"/>
              <w:jc w:val="center"/>
            </w:pPr>
            <w:r>
              <w:rPr>
                <w:rFonts w:ascii="Arial" w:cs="Arial" w:eastAsia="Arial" w:hAnsi="Arial"/>
                <w:b/>
                <w:bCs/>
                <w:color w:val="FFFFFF"/>
                <w:sz w:val="18"/>
                <w:szCs w:val="18"/>
              </w:rPr>
              <w:t xml:space="preserve">Capability</w:t>
            </w:r>
          </w:p>
        </w:tc>
        <w:tc>
          <w:tcPr>
            <w:tcW w:type="dxa" w:w="3680"/>
            <w:tcBorders>
              <w:top w:val="single" w:color="000000" w:sz="4"/>
              <w:left w:val="single" w:color="000000" w:sz="4"/>
              <w:bottom w:val="single" w:color="000000" w:sz="4"/>
              <w:right w:val="single" w:color="000000" w:sz="4"/>
            </w:tcBorders>
            <w:shd w:fill="1F4E79" w:val="clear"/>
            <w:vAlign w:val="center"/>
          </w:tcPr>
          <w:p>
            <w:pPr>
              <w:spacing w:after="40" w:before="40"/>
              <w:jc w:val="center"/>
            </w:pPr>
            <w:r>
              <w:rPr>
                <w:rFonts w:ascii="Arial" w:cs="Arial" w:eastAsia="Arial" w:hAnsi="Arial"/>
                <w:b/>
                <w:bCs/>
                <w:color w:val="FFFFFF"/>
                <w:sz w:val="18"/>
                <w:szCs w:val="18"/>
              </w:rPr>
              <w:t xml:space="preserve">Technical Approach</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6"/>
                <w:szCs w:val="16"/>
              </w:rPr>
              <w:t xml:space="preserve">AI Material Matching &amp; Recommendation</w:t>
            </w:r>
          </w:p>
        </w:tc>
        <w:tc>
          <w:tcPr>
            <w:tcW w:type="dxa" w:w="36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Identify exact, near-duplicate and functionally equivalent materials</w:t>
            </w:r>
          </w:p>
        </w:tc>
        <w:tc>
          <w:tcPr>
            <w:tcW w:type="dxa" w:w="36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Multi-vector embedding + cosine similarity + learned threshold + LLM-assisted explanation</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6"/>
                <w:szCs w:val="16"/>
              </w:rPr>
              <w:t xml:space="preserve">Duplicate / Near-Duplicate Detection</w:t>
            </w:r>
          </w:p>
        </w:tc>
        <w:tc>
          <w:tcPr>
            <w:tcW w:type="dxa" w:w="36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Cluster and surface candidate duplicates</w:t>
            </w:r>
          </w:p>
        </w:tc>
        <w:tc>
          <w:tcPr>
            <w:tcW w:type="dxa" w:w="36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Hierarchical clustering + active learning loop</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6"/>
                <w:szCs w:val="16"/>
              </w:rPr>
              <w:t xml:space="preserve">Material Standardization &amp; Classification</w:t>
            </w:r>
          </w:p>
        </w:tc>
        <w:tc>
          <w:tcPr>
            <w:tcW w:type="dxa" w:w="36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Canonical description + national taxonomy</w:t>
            </w:r>
          </w:p>
        </w:tc>
        <w:tc>
          <w:tcPr>
            <w:tcW w:type="dxa" w:w="36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Controlled vocabulary + constrained generative rewrite + hierarchical classification</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6"/>
                <w:szCs w:val="16"/>
              </w:rPr>
              <w:t xml:space="preserve">Common National Material Code (NMC)</w:t>
            </w:r>
          </w:p>
        </w:tc>
        <w:tc>
          <w:tcPr>
            <w:tcW w:type="dxa" w:w="36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Unique, hierarchical, human-readable national code</w:t>
            </w:r>
          </w:p>
        </w:tc>
        <w:tc>
          <w:tcPr>
            <w:tcW w:type="dxa" w:w="36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Rule + ML hybrid generation (e.g., NMC-POWER-DT-500KVA-…)</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6"/>
                <w:szCs w:val="16"/>
              </w:rPr>
              <w:t xml:space="preserve">CPSE Code Mapping &amp; Migration</w:t>
            </w:r>
          </w:p>
        </w:tc>
        <w:tc>
          <w:tcPr>
            <w:tcW w:type="dxa" w:w="36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Bi-directional map + bulk migration support</w:t>
            </w:r>
          </w:p>
        </w:tc>
        <w:tc>
          <w:tcPr>
            <w:tcW w:type="dxa" w:w="36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Persistent mapping table + delta detection + SAP material-extend / change BAPIs</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6"/>
                <w:szCs w:val="16"/>
              </w:rPr>
              <w:t xml:space="preserve">Dashboard &amp; Analytics</w:t>
            </w:r>
          </w:p>
        </w:tc>
        <w:tc>
          <w:tcPr>
            <w:tcW w:type="dxa" w:w="36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Duplicate heat-maps, coverage, spend impact</w:t>
            </w:r>
          </w:p>
        </w:tc>
        <w:tc>
          <w:tcPr>
            <w:tcW w:type="dxa" w:w="36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Real-time metrics + BI-style dashboards</w:t>
            </w:r>
          </w:p>
        </w:tc>
      </w:tr>
      <w:tr>
        <w:tc>
          <w:tcPr>
            <w:tcW w:type="dxa" w:w="28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bCs/>
                <w:color w:val="000000"/>
                <w:sz w:val="16"/>
                <w:szCs w:val="16"/>
              </w:rPr>
              <w:t xml:space="preserve">Audit Trail &amp; Governance</w:t>
            </w:r>
          </w:p>
        </w:tc>
        <w:tc>
          <w:tcPr>
            <w:tcW w:type="dxa" w:w="360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Full trail of AI suggestion → human decision → code change</w:t>
            </w:r>
          </w:p>
        </w:tc>
        <w:tc>
          <w:tcPr>
            <w:tcW w:type="dxa" w:w="3680"/>
            <w:tcBorders>
              <w:top w:val="single" w:color="000000" w:sz="4"/>
              <w:left w:val="single" w:color="000000" w:sz="4"/>
              <w:bottom w:val="single" w:color="000000" w:sz="4"/>
              <w:right w:val="single" w:color="000000" w:sz="4"/>
            </w:tcBorders>
            <w:shd w:fill="D6E3F0" w:val="clear"/>
            <w:vAlign w:val="center"/>
          </w:tcPr>
          <w:p>
            <w:pPr>
              <w:spacing w:after="40" w:before="40"/>
              <w:jc w:val="left"/>
            </w:pPr>
            <w:r>
              <w:rPr>
                <w:rFonts w:ascii="Arial" w:cs="Arial" w:eastAsia="Arial" w:hAnsi="Arial"/>
                <w:b w:val="false"/>
                <w:bCs w:val="false"/>
                <w:color w:val="000000"/>
                <w:sz w:val="16"/>
                <w:szCs w:val="16"/>
              </w:rPr>
              <w:t xml:space="preserve">Immutable event log + digital signatures + version control</w:t>
            </w:r>
          </w:p>
        </w:tc>
      </w:tr>
      <w:tr>
        <w:tc>
          <w:tcPr>
            <w:tcW w:type="dxa" w:w="28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bCs/>
                <w:color w:val="000000"/>
                <w:sz w:val="16"/>
                <w:szCs w:val="16"/>
              </w:rPr>
              <w:t xml:space="preserve">SAP / ERP Integration</w:t>
            </w:r>
          </w:p>
        </w:tc>
        <w:tc>
          <w:tcPr>
            <w:tcW w:type="dxa" w:w="360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Read masters, write mappings, create NMC materials</w:t>
            </w:r>
          </w:p>
        </w:tc>
        <w:tc>
          <w:tcPr>
            <w:tcW w:type="dxa" w:w="3680"/>
            <w:tcBorders>
              <w:top w:val="single" w:color="000000" w:sz="4"/>
              <w:left w:val="single" w:color="000000" w:sz="4"/>
              <w:bottom w:val="single" w:color="000000" w:sz="4"/>
              <w:right w:val="single" w:color="000000" w:sz="4"/>
            </w:tcBorders>
            <w:vAlign w:val="center"/>
          </w:tcPr>
          <w:p>
            <w:pPr>
              <w:spacing w:after="40" w:before="40"/>
              <w:jc w:val="left"/>
            </w:pPr>
            <w:r>
              <w:rPr>
                <w:rFonts w:ascii="Arial" w:cs="Arial" w:eastAsia="Arial" w:hAnsi="Arial"/>
                <w:b w:val="false"/>
                <w:bCs w:val="false"/>
                <w:color w:val="000000"/>
                <w:sz w:val="16"/>
                <w:szCs w:val="16"/>
              </w:rPr>
              <w:t xml:space="preserve">RFC / OData / CPI adapters; optional central NMC plant</w:t>
            </w:r>
          </w:p>
        </w:tc>
      </w:tr>
    </w:tbl>
    <w:p>
      <w:pPr>
        <w:pStyle w:val="Heading1"/>
      </w:pPr>
      <w:r>
        <w:rPr>
          <w:b/>
          <w:bCs/>
        </w:rPr>
        <w:t xml:space="preserve">5. Data &amp; Training Pipeline</w:t>
      </w:r>
    </w:p>
    <w:p>
      <w:pPr>
        <w:spacing w:after="80"/>
      </w:pPr>
      <w:r>
        <w:rPr>
          <w:sz w:val="22"/>
          <w:szCs w:val="22"/>
        </w:rPr>
        <w:t xml:space="preserve">Sample material-master structures and a vacant Git repository are already available. The pipeline comprises the following stages:</w:t>
      </w:r>
    </w:p>
    <w:p>
      <w:pPr>
        <w:pStyle w:val="Heading2"/>
      </w:pPr>
      <w:r>
        <w:rPr>
          <w:b/>
          <w:bCs/>
        </w:rPr>
        <w:t xml:space="preserve">5.1 Ingestion &amp; Normalisation</w:t>
      </w:r>
    </w:p>
    <w:p>
      <w:pPr>
        <w:pStyle w:val="ListParagraph"/>
        <w:numPr>
          <w:ilvl w:val="0"/>
          <w:numId w:val="2"/>
        </w:numPr>
      </w:pPr>
      <w:r>
        <w:rPr>
          <w:sz w:val="22"/>
          <w:szCs w:val="22"/>
        </w:rPr>
        <w:t xml:space="preserve">Parse SAP extracts (MARA, MAKT, MARC, MARD, MBEW, etc.) together with free-text long descriptions.</w:t>
      </w:r>
    </w:p>
    <w:p>
      <w:pPr>
        <w:pStyle w:val="ListParagraph"/>
        <w:numPr>
          <w:ilvl w:val="0"/>
          <w:numId w:val="2"/>
        </w:numPr>
      </w:pPr>
      <w:r>
        <w:rPr>
          <w:sz w:val="22"/>
          <w:szCs w:val="22"/>
        </w:rPr>
        <w:t xml:space="preserve">Normalise UoM and extract structured attributes (regex + Named-Entity Recognition for voltage, rating, material grade, standards – IS/IEC/BIS).</w:t>
      </w:r>
    </w:p>
    <w:p>
      <w:pPr>
        <w:pStyle w:val="ListParagraph"/>
        <w:numPr>
          <w:ilvl w:val="0"/>
          <w:numId w:val="2"/>
        </w:numPr>
        <w:spacing w:after="120"/>
      </w:pPr>
      <w:r>
        <w:rPr>
          <w:sz w:val="22"/>
          <w:szCs w:val="22"/>
        </w:rPr>
        <w:t xml:space="preserve">Build per-CPSE material graphs for relationship analysis.</w:t>
      </w:r>
    </w:p>
    <w:p>
      <w:pPr>
        <w:pStyle w:val="Heading2"/>
      </w:pPr>
      <w:r>
        <w:rPr>
          <w:b/>
          <w:bCs/>
        </w:rPr>
        <w:t xml:space="preserve">5.2 Corpus Construction</w:t>
      </w:r>
    </w:p>
    <w:p>
      <w:pPr>
        <w:pStyle w:val="ListParagraph"/>
        <w:numPr>
          <w:ilvl w:val="0"/>
          <w:numId w:val="2"/>
        </w:numPr>
      </w:pPr>
      <w:r>
        <w:rPr>
          <w:sz w:val="22"/>
          <w:szCs w:val="22"/>
        </w:rPr>
        <w:t xml:space="preserve">Seed with available CPSE material-master extracts (including JBVNL-style structures).</w:t>
      </w:r>
    </w:p>
    <w:p>
      <w:pPr>
        <w:pStyle w:val="ListParagraph"/>
        <w:numPr>
          <w:ilvl w:val="0"/>
          <w:numId w:val="2"/>
        </w:numPr>
      </w:pPr>
      <w:r>
        <w:rPr>
          <w:sz w:val="22"/>
          <w:szCs w:val="22"/>
        </w:rPr>
        <w:t xml:space="preserve">Augment with public standards (BIS, IEC) and historical purchase-order texts.</w:t>
      </w:r>
    </w:p>
    <w:p>
      <w:pPr>
        <w:pStyle w:val="ListParagraph"/>
        <w:numPr>
          <w:ilvl w:val="0"/>
          <w:numId w:val="2"/>
        </w:numPr>
        <w:spacing w:after="120"/>
      </w:pPr>
      <w:r>
        <w:rPr>
          <w:sz w:val="22"/>
          <w:szCs w:val="22"/>
        </w:rPr>
        <w:t xml:space="preserve">Create positive/negative pairs for contrastive learning.</w:t>
      </w:r>
    </w:p>
    <w:p>
      <w:pPr>
        <w:pStyle w:val="Heading2"/>
      </w:pPr>
      <w:r>
        <w:rPr>
          <w:b/>
          <w:bCs/>
        </w:rPr>
        <w:t xml:space="preserve">5.3 Model Training / Fine-tuning</w:t>
      </w:r>
    </w:p>
    <w:p>
      <w:pPr>
        <w:pStyle w:val="ListParagraph"/>
        <w:numPr>
          <w:ilvl w:val="0"/>
          <w:numId w:val="2"/>
        </w:numPr>
      </w:pPr>
      <w:r>
        <w:rPr>
          <w:sz w:val="22"/>
          <w:szCs w:val="22"/>
        </w:rPr>
        <w:t xml:space="preserve">Domain-adapted Sentence-BERT (or E5 / BGE) model trained on material descriptions.</w:t>
      </w:r>
    </w:p>
    <w:p>
      <w:pPr>
        <w:pStyle w:val="ListParagraph"/>
        <w:numPr>
          <w:ilvl w:val="0"/>
          <w:numId w:val="2"/>
        </w:numPr>
      </w:pPr>
      <w:r>
        <w:rPr>
          <w:sz w:val="22"/>
          <w:szCs w:val="22"/>
        </w:rPr>
        <w:t xml:space="preserve">Cross-encoder for pairwise ranking of candidate matches.</w:t>
      </w:r>
    </w:p>
    <w:p>
      <w:pPr>
        <w:pStyle w:val="ListParagraph"/>
        <w:numPr>
          <w:ilvl w:val="0"/>
          <w:numId w:val="2"/>
        </w:numPr>
      </w:pPr>
      <w:r>
        <w:rPr>
          <w:sz w:val="22"/>
          <w:szCs w:val="22"/>
        </w:rPr>
        <w:t xml:space="preserve">Classification heads for Material Type / Group / HSN prediction.</w:t>
      </w:r>
    </w:p>
    <w:p>
      <w:pPr>
        <w:pStyle w:val="ListParagraph"/>
        <w:numPr>
          <w:ilvl w:val="0"/>
          <w:numId w:val="2"/>
        </w:numPr>
        <w:spacing w:after="120"/>
      </w:pPr>
      <w:r>
        <w:rPr>
          <w:sz w:val="22"/>
          <w:szCs w:val="22"/>
        </w:rPr>
        <w:t xml:space="preserve">Continuous active-learning loop: human corrections are fed back into the model.</w:t>
      </w:r>
    </w:p>
    <w:p>
      <w:pPr>
        <w:pStyle w:val="Heading2"/>
      </w:pPr>
      <w:r>
        <w:rPr>
          <w:b/>
          <w:bCs/>
        </w:rPr>
        <w:t xml:space="preserve">5.4 Matching Engine</w:t>
      </w:r>
    </w:p>
    <w:p>
      <w:pPr>
        <w:pStyle w:val="ListParagraph"/>
        <w:numPr>
          <w:ilvl w:val="0"/>
          <w:numId w:val="2"/>
        </w:numPr>
      </w:pPr>
      <w:r>
        <w:rPr>
          <w:sz w:val="22"/>
          <w:szCs w:val="22"/>
        </w:rPr>
        <w:t xml:space="preserve">Candidate generation via Approximate Nearest Neighbour (ANN) search.</w:t>
      </w:r>
    </w:p>
    <w:p>
      <w:pPr>
        <w:pStyle w:val="ListParagraph"/>
        <w:numPr>
          <w:ilvl w:val="0"/>
          <w:numId w:val="2"/>
        </w:numPr>
      </w:pPr>
      <w:r>
        <w:rPr>
          <w:sz w:val="22"/>
          <w:szCs w:val="22"/>
        </w:rPr>
        <w:t xml:space="preserve">Re-ranking combined with attribute-consistency scoring.</w:t>
      </w:r>
    </w:p>
    <w:p>
      <w:pPr>
        <w:pStyle w:val="ListParagraph"/>
        <w:numPr>
          <w:ilvl w:val="0"/>
          <w:numId w:val="2"/>
        </w:numPr>
        <w:spacing w:after="120"/>
      </w:pPr>
      <w:r>
        <w:rPr>
          <w:sz w:val="22"/>
          <w:szCs w:val="22"/>
        </w:rPr>
        <w:t xml:space="preserve">Confidence bands: Auto-accept (&gt; 0.95), Human Review (0.70–0.95), Reject (&lt; 0.70).</w:t>
      </w:r>
    </w:p>
    <w:p>
      <w:pPr>
        <w:pStyle w:val="Heading2"/>
      </w:pPr>
      <w:r>
        <w:rPr>
          <w:b/>
          <w:bCs/>
        </w:rPr>
        <w:t xml:space="preserve">5.5 Standardisation &amp; NMC Assignment</w:t>
      </w:r>
    </w:p>
    <w:p>
      <w:pPr>
        <w:pStyle w:val="ListParagraph"/>
        <w:numPr>
          <w:ilvl w:val="0"/>
          <w:numId w:val="2"/>
        </w:numPr>
      </w:pPr>
      <w:r>
        <w:rPr>
          <w:sz w:val="22"/>
          <w:szCs w:val="22"/>
        </w:rPr>
        <w:t xml:space="preserve">Template-based + constrained LLM rewriting of descriptions into a controlled format.</w:t>
      </w:r>
    </w:p>
    <w:p>
      <w:pPr>
        <w:pStyle w:val="ListParagraph"/>
        <w:numPr>
          <w:ilvl w:val="0"/>
          <w:numId w:val="2"/>
        </w:numPr>
      </w:pPr>
      <w:r>
        <w:rPr>
          <w:sz w:val="22"/>
          <w:szCs w:val="22"/>
        </w:rPr>
        <w:t xml:space="preserve">Attribute canonicalisation (example: “11 kV / 0.433 kV 500 kVA Copper-Wound ONAN 3-star”).</w:t>
      </w:r>
    </w:p>
    <w:p>
      <w:pPr>
        <w:pStyle w:val="ListParagraph"/>
        <w:numPr>
          <w:ilvl w:val="0"/>
          <w:numId w:val="2"/>
        </w:numPr>
      </w:pPr>
      <w:r>
        <w:rPr>
          <w:sz w:val="22"/>
          <w:szCs w:val="22"/>
        </w:rPr>
        <w:t xml:space="preserve">Hierarchical National Material Code generation engine.</w:t>
      </w:r>
    </w:p>
    <w:p>
      <w:pPr>
        <w:pStyle w:val="ListParagraph"/>
        <w:numPr>
          <w:ilvl w:val="0"/>
          <w:numId w:val="2"/>
        </w:numPr>
        <w:spacing w:after="200"/>
      </w:pPr>
      <w:r>
        <w:rPr>
          <w:sz w:val="22"/>
          <w:szCs w:val="22"/>
        </w:rPr>
        <w:t xml:space="preserve">Persistent mapping table: NMC ↔ CPSE_Code ↔ Plant ↔ Validity dates; migration toolkit for bulk extend / create operations.</w:t>
      </w:r>
    </w:p>
    <w:p>
      <w:pPr>
        <w:pStyle w:val="Heading1"/>
      </w:pPr>
      <w:r>
        <w:rPr>
          <w:b/>
          <w:bCs/>
        </w:rPr>
        <w:t xml:space="preserve">6. Implementation Roadmap</w:t>
      </w:r>
    </w:p>
    <w:p>
      <w:pPr>
        <w:pStyle w:val="Heading2"/>
      </w:pPr>
      <w:r>
        <w:rPr>
          <w:b/>
          <w:bCs/>
        </w:rPr>
        <w:t xml:space="preserve">Phase 0 – Repository Setup &amp; Data Foundation (2–3 weeks)</w:t>
      </w:r>
    </w:p>
    <w:p>
      <w:pPr>
        <w:pStyle w:val="ListParagraph"/>
        <w:numPr>
          <w:ilvl w:val="0"/>
          <w:numId w:val="2"/>
        </w:numPr>
      </w:pPr>
      <w:r>
        <w:rPr>
          <w:sz w:val="22"/>
          <w:szCs w:val="22"/>
        </w:rPr>
        <w:t xml:space="preserve">Initialise Git repository with monorepo structure (data, models, api, ui, infra).</w:t>
      </w:r>
    </w:p>
    <w:p>
      <w:pPr>
        <w:pStyle w:val="ListParagraph"/>
        <w:numPr>
          <w:ilvl w:val="0"/>
          <w:numId w:val="2"/>
        </w:numPr>
      </w:pPr>
      <w:r>
        <w:rPr>
          <w:sz w:val="22"/>
          <w:szCs w:val="22"/>
        </w:rPr>
        <w:t xml:space="preserve">Ingest sample material masters (JBVNL-style structures + any available CPCL extracts).</w:t>
      </w:r>
    </w:p>
    <w:p>
      <w:pPr>
        <w:pStyle w:val="ListParagraph"/>
        <w:numPr>
          <w:ilvl w:val="0"/>
          <w:numId w:val="2"/>
        </w:numPr>
        <w:spacing w:after="120"/>
      </w:pPr>
      <w:r>
        <w:rPr>
          <w:sz w:val="22"/>
          <w:szCs w:val="22"/>
        </w:rPr>
        <w:t xml:space="preserve">Build basic similarity baseline (TF-IDF + embeddings).</w:t>
      </w:r>
    </w:p>
    <w:p>
      <w:pPr>
        <w:pStyle w:val="Heading2"/>
      </w:pPr>
      <w:r>
        <w:rPr>
          <w:b/>
          <w:bCs/>
        </w:rPr>
        <w:t xml:space="preserve">Phase 1 – Core Matching MVP (6–8 weeks)</w:t>
      </w:r>
    </w:p>
    <w:p>
      <w:pPr>
        <w:pStyle w:val="ListParagraph"/>
        <w:numPr>
          <w:ilvl w:val="0"/>
          <w:numId w:val="2"/>
        </w:numPr>
      </w:pPr>
      <w:r>
        <w:rPr>
          <w:sz w:val="22"/>
          <w:szCs w:val="22"/>
        </w:rPr>
        <w:t xml:space="preserve">Working duplicate / near-duplicate detector.</w:t>
      </w:r>
    </w:p>
    <w:p>
      <w:pPr>
        <w:pStyle w:val="ListParagraph"/>
        <w:numPr>
          <w:ilvl w:val="0"/>
          <w:numId w:val="2"/>
        </w:numPr>
      </w:pPr>
      <w:r>
        <w:rPr>
          <w:sz w:val="22"/>
          <w:szCs w:val="22"/>
        </w:rPr>
        <w:t xml:space="preserve">Human review user interface.</w:t>
      </w:r>
    </w:p>
    <w:p>
      <w:pPr>
        <w:pStyle w:val="ListParagraph"/>
        <w:numPr>
          <w:ilvl w:val="0"/>
          <w:numId w:val="2"/>
        </w:numPr>
        <w:spacing w:after="120"/>
      </w:pPr>
      <w:r>
        <w:rPr>
          <w:sz w:val="22"/>
          <w:szCs w:val="22"/>
        </w:rPr>
        <w:t xml:space="preserve">First NMC recommendations for a pilot commodity family (e.g., Distribution Transformers or Cables).</w:t>
      </w:r>
    </w:p>
    <w:p>
      <w:pPr>
        <w:pStyle w:val="Heading2"/>
      </w:pPr>
      <w:r>
        <w:rPr>
          <w:b/>
          <w:bCs/>
        </w:rPr>
        <w:t xml:space="preserve">Phase 2 – Standardisation, Classification &amp; Governance (8–10 weeks)</w:t>
      </w:r>
    </w:p>
    <w:p>
      <w:pPr>
        <w:pStyle w:val="ListParagraph"/>
        <w:numPr>
          <w:ilvl w:val="0"/>
          <w:numId w:val="2"/>
        </w:numPr>
      </w:pPr>
      <w:r>
        <w:rPr>
          <w:sz w:val="22"/>
          <w:szCs w:val="22"/>
        </w:rPr>
        <w:t xml:space="preserve">Full standardisation pipeline.</w:t>
      </w:r>
    </w:p>
    <w:p>
      <w:pPr>
        <w:pStyle w:val="ListParagraph"/>
        <w:numPr>
          <w:ilvl w:val="0"/>
          <w:numId w:val="2"/>
        </w:numPr>
      </w:pPr>
      <w:r>
        <w:rPr>
          <w:sz w:val="22"/>
          <w:szCs w:val="22"/>
        </w:rPr>
        <w:t xml:space="preserve">Approval workflow and complete audit trail.</w:t>
      </w:r>
    </w:p>
    <w:p>
      <w:pPr>
        <w:pStyle w:val="ListParagraph"/>
        <w:numPr>
          <w:ilvl w:val="0"/>
          <w:numId w:val="2"/>
        </w:numPr>
        <w:spacing w:after="120"/>
      </w:pPr>
      <w:r>
        <w:rPr>
          <w:sz w:val="22"/>
          <w:szCs w:val="22"/>
        </w:rPr>
        <w:t xml:space="preserve">Material-master analytics dashboard.</w:t>
      </w:r>
    </w:p>
    <w:p>
      <w:pPr>
        <w:pStyle w:val="Heading2"/>
      </w:pPr>
      <w:r>
        <w:rPr>
          <w:b/>
          <w:bCs/>
        </w:rPr>
        <w:t xml:space="preserve">Phase 3 – Multi-CPSE Integration &amp; Continuous Learning (ongoing)</w:t>
      </w:r>
    </w:p>
    <w:p>
      <w:pPr>
        <w:pStyle w:val="ListParagraph"/>
        <w:numPr>
          <w:ilvl w:val="0"/>
          <w:numId w:val="2"/>
        </w:numPr>
      </w:pPr>
      <w:r>
        <w:rPr>
          <w:sz w:val="22"/>
          <w:szCs w:val="22"/>
        </w:rPr>
        <w:t xml:space="preserve">SAP connectors for 2–3 pilot CPSEs.</w:t>
      </w:r>
    </w:p>
    <w:p>
      <w:pPr>
        <w:pStyle w:val="ListParagraph"/>
        <w:numPr>
          <w:ilvl w:val="0"/>
          <w:numId w:val="2"/>
        </w:numPr>
      </w:pPr>
      <w:r>
        <w:rPr>
          <w:sz w:val="22"/>
          <w:szCs w:val="22"/>
        </w:rPr>
        <w:t xml:space="preserve">Production deployment (on-premises or sovereign cloud).</w:t>
      </w:r>
    </w:p>
    <w:p>
      <w:pPr>
        <w:pStyle w:val="ListParagraph"/>
        <w:numPr>
          <w:ilvl w:val="0"/>
          <w:numId w:val="2"/>
        </w:numPr>
        <w:spacing w:after="200"/>
      </w:pPr>
      <w:r>
        <w:rPr>
          <w:sz w:val="22"/>
          <w:szCs w:val="22"/>
        </w:rPr>
        <w:t xml:space="preserve">Feedback loop and scheduled model re-training cadence.</w:t>
      </w:r>
    </w:p>
    <w:p>
      <w:pPr>
        <w:pStyle w:val="Heading1"/>
      </w:pPr>
      <w:r>
        <w:rPr>
          <w:b/>
          <w:bCs/>
        </w:rPr>
        <w:t xml:space="preserve">7. Success Metrics</w:t>
      </w:r>
    </w:p>
    <w:p>
      <w:pPr>
        <w:pStyle w:val="ListParagraph"/>
        <w:numPr>
          <w:ilvl w:val="0"/>
          <w:numId w:val="2"/>
        </w:numPr>
      </w:pPr>
      <w:r>
        <w:rPr>
          <w:sz w:val="22"/>
          <w:szCs w:val="22"/>
        </w:rPr>
        <w:t xml:space="preserve">Percentage of materials auto-matched with &gt; 90 % precision (human-validated).</w:t>
      </w:r>
    </w:p>
    <w:p>
      <w:pPr>
        <w:pStyle w:val="ListParagraph"/>
        <w:numPr>
          <w:ilvl w:val="0"/>
          <w:numId w:val="2"/>
        </w:numPr>
      </w:pPr>
      <w:r>
        <w:rPr>
          <w:sz w:val="22"/>
          <w:szCs w:val="22"/>
        </w:rPr>
        <w:t xml:space="preserve">Reduction in unique material codes for common items (target 40–70 % rationalisation in pilot families).</w:t>
      </w:r>
    </w:p>
    <w:p>
      <w:pPr>
        <w:pStyle w:val="ListParagraph"/>
        <w:numPr>
          <w:ilvl w:val="0"/>
          <w:numId w:val="2"/>
        </w:numPr>
      </w:pPr>
      <w:r>
        <w:rPr>
          <w:sz w:val="22"/>
          <w:szCs w:val="22"/>
        </w:rPr>
        <w:t xml:space="preserve">Time-to-identify equivalent material across CPSEs reduced from days to minutes.</w:t>
      </w:r>
    </w:p>
    <w:p>
      <w:pPr>
        <w:pStyle w:val="ListParagraph"/>
        <w:numPr>
          <w:ilvl w:val="0"/>
          <w:numId w:val="2"/>
        </w:numPr>
      </w:pPr>
      <w:r>
        <w:rPr>
          <w:sz w:val="22"/>
          <w:szCs w:val="22"/>
        </w:rPr>
        <w:t xml:space="preserve">Coverage of the national material taxonomy.</w:t>
      </w:r>
    </w:p>
    <w:p>
      <w:pPr>
        <w:pStyle w:val="ListParagraph"/>
        <w:numPr>
          <w:ilvl w:val="0"/>
          <w:numId w:val="2"/>
        </w:numPr>
        <w:spacing w:after="200"/>
      </w:pPr>
      <w:r>
        <w:rPr>
          <w:sz w:val="22"/>
          <w:szCs w:val="22"/>
        </w:rPr>
        <w:t xml:space="preserve">Measurable inventory and procurement-cost impact realised in the pilot.</w:t>
      </w:r>
    </w:p>
    <w:p>
      <w:pPr>
        <w:pStyle w:val="Heading1"/>
      </w:pPr>
      <w:r>
        <w:rPr>
          <w:b/>
          <w:bCs/>
        </w:rPr>
        <w:t xml:space="preserve">8. Expected Impact</w:t>
      </w:r>
    </w:p>
    <w:p>
      <w:pPr>
        <w:pStyle w:val="ListParagraph"/>
        <w:numPr>
          <w:ilvl w:val="0"/>
          <w:numId w:val="2"/>
        </w:numPr>
      </w:pPr>
      <w:r>
        <w:rPr>
          <w:sz w:val="22"/>
          <w:szCs w:val="22"/>
        </w:rPr>
        <w:t xml:space="preserve">One Nation – One Common Material Code for shared materials while preserving CPSE-specific traceability.</w:t>
      </w:r>
    </w:p>
    <w:p>
      <w:pPr>
        <w:pStyle w:val="ListParagraph"/>
        <w:numPr>
          <w:ilvl w:val="0"/>
          <w:numId w:val="2"/>
        </w:numPr>
      </w:pPr>
      <w:r>
        <w:rPr>
          <w:sz w:val="22"/>
          <w:szCs w:val="22"/>
        </w:rPr>
        <w:t xml:space="preserve">Substantial reduction in duplicate and redundant material codes.</w:t>
      </w:r>
    </w:p>
    <w:p>
      <w:pPr>
        <w:pStyle w:val="ListParagraph"/>
        <w:numPr>
          <w:ilvl w:val="0"/>
          <w:numId w:val="2"/>
        </w:numPr>
      </w:pPr>
      <w:r>
        <w:rPr>
          <w:sz w:val="22"/>
          <w:szCs w:val="22"/>
        </w:rPr>
        <w:t xml:space="preserve">Improved material-master data quality and consistency.</w:t>
      </w:r>
    </w:p>
    <w:p>
      <w:pPr>
        <w:pStyle w:val="ListParagraph"/>
        <w:numPr>
          <w:ilvl w:val="0"/>
          <w:numId w:val="2"/>
        </w:numPr>
      </w:pPr>
      <w:r>
        <w:rPr>
          <w:sz w:val="22"/>
          <w:szCs w:val="22"/>
        </w:rPr>
        <w:t xml:space="preserve">Better inventory optimisation and cross-CPSE visibility.</w:t>
      </w:r>
    </w:p>
    <w:p>
      <w:pPr>
        <w:pStyle w:val="ListParagraph"/>
        <w:numPr>
          <w:ilvl w:val="0"/>
          <w:numId w:val="2"/>
        </w:numPr>
      </w:pPr>
      <w:r>
        <w:rPr>
          <w:sz w:val="22"/>
          <w:szCs w:val="22"/>
        </w:rPr>
        <w:t xml:space="preserve">Reduced procurement cost through demand aggregation and collaborative sourcing.</w:t>
      </w:r>
    </w:p>
    <w:p>
      <w:pPr>
        <w:pStyle w:val="ListParagraph"/>
        <w:numPr>
          <w:ilvl w:val="0"/>
          <w:numId w:val="2"/>
        </w:numPr>
      </w:pPr>
      <w:r>
        <w:rPr>
          <w:sz w:val="22"/>
          <w:szCs w:val="22"/>
        </w:rPr>
        <w:t xml:space="preserve">Faster procurement cycles and specification finalisation.</w:t>
      </w:r>
    </w:p>
    <w:p>
      <w:pPr>
        <w:pStyle w:val="ListParagraph"/>
        <w:numPr>
          <w:ilvl w:val="0"/>
          <w:numId w:val="2"/>
        </w:numPr>
        <w:spacing w:after="200"/>
      </w:pPr>
      <w:r>
        <w:rPr>
          <w:sz w:val="22"/>
          <w:szCs w:val="22"/>
        </w:rPr>
        <w:t xml:space="preserve">Foundation for common procurement and strategic sourcing across CPSEs.</w:t>
      </w:r>
    </w:p>
    <w:p>
      <w:pPr>
        <w:pStyle w:val="Heading1"/>
      </w:pPr>
      <w:r>
        <w:rPr>
          <w:b/>
          <w:bCs/>
        </w:rPr>
        <w:t xml:space="preserve">9. Immediate Next Actions (R&amp;D Engineering)</w:t>
      </w:r>
    </w:p>
    <w:p>
      <w:pPr>
        <w:pStyle w:val="ListParagraph"/>
        <w:numPr>
          <w:ilvl w:val="0"/>
          <w:numId w:val="3"/>
        </w:numPr>
      </w:pPr>
      <w:r>
        <w:rPr>
          <w:sz w:val="22"/>
          <w:szCs w:val="22"/>
        </w:rPr>
        <w:t xml:space="preserve">Clone / initialise the vacant Git repository and push the skeleton (README, data schema, baseline notebooks).</w:t>
      </w:r>
    </w:p>
    <w:p>
      <w:pPr>
        <w:pStyle w:val="ListParagraph"/>
        <w:numPr>
          <w:ilvl w:val="0"/>
          <w:numId w:val="3"/>
        </w:numPr>
      </w:pPr>
      <w:r>
        <w:rPr>
          <w:sz w:val="22"/>
          <w:szCs w:val="22"/>
        </w:rPr>
        <w:t xml:space="preserve">Formalise the data model for material records and mapping tables.</w:t>
      </w:r>
    </w:p>
    <w:p>
      <w:pPr>
        <w:pStyle w:val="ListParagraph"/>
        <w:numPr>
          <w:ilvl w:val="0"/>
          <w:numId w:val="3"/>
        </w:numPr>
      </w:pPr>
      <w:r>
        <w:rPr>
          <w:sz w:val="22"/>
          <w:szCs w:val="22"/>
        </w:rPr>
        <w:t xml:space="preserve">Execute the first embedding + clustering experiment on available material descriptions.</w:t>
      </w:r>
    </w:p>
    <w:p>
      <w:pPr>
        <w:pStyle w:val="ListParagraph"/>
        <w:numPr>
          <w:ilvl w:val="0"/>
          <w:numId w:val="3"/>
        </w:numPr>
      </w:pPr>
      <w:r>
        <w:rPr>
          <w:sz w:val="22"/>
          <w:szCs w:val="22"/>
        </w:rPr>
        <w:t xml:space="preserve">Define the pilot commodity family (recommended starting point: high-value common items such as Distribution Transformers, Conductors or Cables).</w:t>
      </w:r>
    </w:p>
    <w:p>
      <w:pPr>
        <w:pStyle w:val="ListParagraph"/>
        <w:numPr>
          <w:ilvl w:val="0"/>
          <w:numId w:val="3"/>
        </w:numPr>
        <w:spacing w:after="200"/>
      </w:pPr>
      <w:r>
        <w:rPr>
          <w:sz w:val="22"/>
          <w:szCs w:val="22"/>
        </w:rPr>
        <w:t xml:space="preserve">Draft a data-sharing MoU template for additional participating CPSEs.</w:t>
      </w:r>
    </w:p>
    <w:p>
      <w:pPr>
        <w:pStyle w:val="Heading1"/>
      </w:pPr>
      <w:r>
        <w:rPr>
          <w:b/>
          <w:bCs/>
        </w:rPr>
        <w:t xml:space="preserve">10. Closing Note</w:t>
      </w:r>
    </w:p>
    <w:p>
      <w:pPr>
        <w:spacing w:after="120"/>
      </w:pPr>
      <w:r>
        <w:rPr>
          <w:sz w:val="22"/>
          <w:szCs w:val="22"/>
        </w:rPr>
        <w:t xml:space="preserve">This solution is deliberately non-invasive: existing SAP material numbers remain the system of record inside each CPSE. The National Material Code and the associated mappings become the shared reference layer. The approach realises the vision of “One Nation – One Material Code” while preserving operational continuity, full auditability and seamless integration with the ERP landscape already deployed across CPSEs.</w:t>
      </w:r>
    </w:p>
    <w:p>
      <w:pPr>
        <w:spacing w:after="120"/>
      </w:pPr>
      <w:r>
        <w:rPr>
          <w:sz w:val="22"/>
          <w:szCs w:val="22"/>
        </w:rPr>
        <w:t xml:space="preserve">The design is ready for immediate implementation starting with repository scaffolding, baseline matching experiments and pilot commodity selection.</w:t>
      </w:r>
    </w:p>
    <w:p>
      <w:pPr>
        <w:spacing w:before="200"/>
        <w:jc w:val="center"/>
      </w:pPr>
      <w:r>
        <w:rPr>
          <w:rFonts w:ascii="Arial" w:cs="Arial" w:eastAsia="Arial" w:hAnsi="Arial"/>
          <w:i/>
          <w:iCs/>
          <w:color w:val="666666"/>
          <w:sz w:val="20"/>
          <w:szCs w:val="20"/>
        </w:rPr>
        <w:t xml:space="preserve">— End of Solution Design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Problem Statement ID: 26099  |  Ministry of Petroleum &amp; Natural Gas / CPCL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AI-Driven National Unified Material Master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F4E79"/>
      <w:sz w:val="28"/>
      <w:szCs w:val="28"/>
    </w:rPr>
  </w:style>
  <w:style w:type="paragraph" w:styleId="Heading2">
    <w:name w:val="Heading 2"/>
    <w:basedOn w:val="Normal"/>
    <w:next w:val="Normal"/>
    <w:pPr>
      <w:spacing w:after="160" w:before="280"/>
      <w:outlineLvl w:val="1"/>
    </w:pPr>
    <w:rPr>
      <w:rFonts w:ascii="Arial" w:cs="Arial" w:eastAsia="Arial" w:hAnsi="Arial"/>
      <w:b/>
      <w:bCs/>
      <w:color w:val="2E75B6"/>
      <w:sz w:val="24"/>
      <w:szCs w:val="24"/>
    </w:rPr>
  </w:style>
  <w:style w:type="paragraph" w:styleId="Heading3">
    <w:name w:val="Heading 3"/>
    <w:basedOn w:val="Normal"/>
    <w:next w:val="Normal"/>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2026-10-03T09:41:09.961Z</dcterms:created>
  <dcterms:modified xsi:type="dcterms:W3CDTF">2026-10-03T09:41:09.962Z</dcterms:modified>
</cp:coreProperties>
</file>

<file path=docProps/custom.xml><?xml version="1.0" encoding="utf-8"?>
<Properties xmlns="http://schemas.openxmlformats.org/officeDocument/2006/custom-properties" xmlns:vt="http://schemas.openxmlformats.org/officeDocument/2006/docPropsVTypes"/>
</file>