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96"/>
        <w:ind w:left="2830" w:right="3166"/>
        <w:jc w:val="center"/>
        <w:rPr>
          <w:sz w:val="32"/>
          <w:szCs w:val="32"/>
          <w:u w:val="none"/>
        </w:rPr>
      </w:pPr>
      <w:r>
        <w:rPr>
          <w:sz w:val="32"/>
          <w:szCs w:val="32"/>
          <w:u w:val="none"/>
        </w:rPr>
        <w:t>Statistics</w:t>
      </w:r>
      <w:r>
        <w:rPr>
          <w:spacing w:val="1"/>
          <w:sz w:val="32"/>
          <w:szCs w:val="32"/>
          <w:u w:val="none"/>
        </w:rPr>
        <w:t xml:space="preserve"> </w:t>
      </w:r>
      <w:r>
        <w:rPr>
          <w:sz w:val="32"/>
          <w:szCs w:val="32"/>
          <w:u w:val="none"/>
        </w:rPr>
        <w:t>and</w:t>
      </w:r>
      <w:r>
        <w:rPr>
          <w:spacing w:val="-4"/>
          <w:sz w:val="32"/>
          <w:szCs w:val="32"/>
          <w:u w:val="none"/>
        </w:rPr>
        <w:t xml:space="preserve"> </w:t>
      </w:r>
      <w:r>
        <w:rPr>
          <w:rFonts w:hint="default"/>
          <w:spacing w:val="-4"/>
          <w:sz w:val="32"/>
          <w:szCs w:val="32"/>
          <w:u w:val="none"/>
          <w:lang w:val="en-US"/>
        </w:rPr>
        <w:t>T</w:t>
      </w:r>
      <w:r>
        <w:rPr>
          <w:sz w:val="32"/>
          <w:szCs w:val="32"/>
          <w:u w:val="none"/>
        </w:rPr>
        <w:t>rends</w:t>
      </w:r>
    </w:p>
    <w:p/>
    <w:p>
      <w:pPr>
        <w:jc w:val="center"/>
        <w:rPr>
          <w:rFonts w:hint="default"/>
          <w:b/>
          <w:bCs/>
          <w:sz w:val="28"/>
          <w:szCs w:val="28"/>
          <w:lang w:val="en-US"/>
        </w:rPr>
      </w:pPr>
      <w:r>
        <w:rPr>
          <w:rFonts w:hint="default"/>
          <w:b/>
          <w:bCs/>
          <w:sz w:val="28"/>
          <w:szCs w:val="28"/>
          <w:u w:val="none"/>
          <w:lang w:val="en-US"/>
        </w:rPr>
        <w:t>Assignment</w:t>
      </w:r>
    </w:p>
    <w:p>
      <w:pPr>
        <w:pStyle w:val="6"/>
        <w:rPr>
          <w:b/>
          <w:sz w:val="30"/>
        </w:rPr>
      </w:pPr>
    </w:p>
    <w:p>
      <w:pPr>
        <w:pStyle w:val="6"/>
        <w:spacing w:before="7"/>
        <w:rPr>
          <w:b/>
          <w:sz w:val="43"/>
        </w:rPr>
      </w:pPr>
    </w:p>
    <w:p>
      <w:pPr>
        <w:spacing w:line="256" w:lineRule="auto"/>
        <w:ind w:left="820" w:hanging="701"/>
        <w:rPr>
          <w:sz w:val="28"/>
        </w:rPr>
      </w:pPr>
      <w:r>
        <w:rPr>
          <w:b/>
          <w:spacing w:val="-1"/>
          <w:sz w:val="28"/>
        </w:rPr>
        <w:t xml:space="preserve">Title: </w:t>
      </w:r>
      <w:r>
        <w:rPr>
          <w:spacing w:val="-1"/>
          <w:sz w:val="28"/>
        </w:rPr>
        <w:t xml:space="preserve">Exploring Economic </w:t>
      </w:r>
      <w:r>
        <w:rPr>
          <w:sz w:val="28"/>
        </w:rPr>
        <w:t xml:space="preserve">Trends: A Comparative Analysis of </w:t>
      </w:r>
      <w:r>
        <w:rPr>
          <w:rFonts w:hint="default"/>
          <w:sz w:val="28"/>
          <w:lang w:val="en-US"/>
        </w:rPr>
        <w:t xml:space="preserve">European </w:t>
      </w:r>
      <w:r>
        <w:rPr>
          <w:sz w:val="28"/>
        </w:rPr>
        <w:t>Countries</w:t>
      </w:r>
    </w:p>
    <w:p>
      <w:pPr>
        <w:spacing w:before="257"/>
        <w:ind w:left="112"/>
        <w:rPr>
          <w:sz w:val="28"/>
        </w:rPr>
      </w:pPr>
      <w:r>
        <w:rPr>
          <w:b/>
          <w:sz w:val="28"/>
        </w:rPr>
        <w:t>Name:</w:t>
      </w:r>
      <w:r>
        <w:rPr>
          <w:b/>
          <w:spacing w:val="-3"/>
          <w:sz w:val="28"/>
        </w:rPr>
        <w:t xml:space="preserve"> </w:t>
      </w:r>
    </w:p>
    <w:p>
      <w:pPr>
        <w:pStyle w:val="6"/>
        <w:spacing w:before="4"/>
        <w:rPr>
          <w:sz w:val="25"/>
        </w:rPr>
      </w:pPr>
    </w:p>
    <w:p>
      <w:pPr>
        <w:pStyle w:val="2"/>
        <w:spacing w:before="1"/>
        <w:rPr>
          <w:u w:val="none"/>
        </w:rPr>
      </w:pPr>
      <w:r>
        <w:rPr>
          <w:rFonts w:hint="default"/>
          <w:u w:val="none"/>
          <w:lang w:val="en-US"/>
        </w:rPr>
        <w:t>Student Number</w:t>
      </w:r>
      <w:r>
        <w:rPr>
          <w:u w:val="none"/>
        </w:rPr>
        <w:t>:</w:t>
      </w:r>
    </w:p>
    <w:p>
      <w:pPr>
        <w:pStyle w:val="6"/>
        <w:spacing w:before="1"/>
        <w:rPr>
          <w:sz w:val="23"/>
        </w:rPr>
      </w:pPr>
    </w:p>
    <w:p>
      <w:pPr>
        <w:pStyle w:val="2"/>
        <w:spacing w:before="64" w:line="237" w:lineRule="auto"/>
        <w:rPr>
          <w:b w:val="0"/>
          <w:bCs w:val="0"/>
          <w:color w:val="0000FF"/>
          <w:sz w:val="23"/>
          <w:szCs w:val="22"/>
          <w:u w:color="0000FF"/>
        </w:rPr>
      </w:pPr>
      <w:r>
        <w:rPr>
          <w:u w:val="none"/>
        </w:rPr>
        <w:t>GitHub</w:t>
      </w:r>
      <w:r>
        <w:rPr>
          <w:spacing w:val="-8"/>
          <w:u w:val="none"/>
        </w:rPr>
        <w:t xml:space="preserve"> </w:t>
      </w:r>
      <w:r>
        <w:rPr>
          <w:u w:val="none"/>
        </w:rPr>
        <w:t>Repository:</w:t>
      </w:r>
      <w:r>
        <w:rPr>
          <w:rFonts w:hint="default"/>
          <w:u w:val="none"/>
          <w:lang w:val="en-US"/>
        </w:rPr>
        <w:t xml:space="preserve"> </w:t>
      </w:r>
      <w:r>
        <w:rPr>
          <w:sz w:val="22"/>
          <w:szCs w:val="22"/>
        </w:rPr>
        <w:fldChar w:fldCharType="begin"/>
      </w:r>
      <w:r>
        <w:rPr>
          <w:sz w:val="22"/>
          <w:szCs w:val="22"/>
        </w:rPr>
        <w:instrText xml:space="preserve"> HYPERLINK "https://github.com/abdulhaq111/Statistics-and-Trend" </w:instrText>
      </w:r>
      <w:r>
        <w:rPr>
          <w:sz w:val="22"/>
          <w:szCs w:val="22"/>
        </w:rPr>
        <w:fldChar w:fldCharType="separate"/>
      </w:r>
      <w:r>
        <w:rPr>
          <w:rStyle w:val="8"/>
          <w:b w:val="0"/>
          <w:bCs w:val="0"/>
          <w:sz w:val="22"/>
          <w:szCs w:val="22"/>
          <w:u w:color="0000FF"/>
        </w:rPr>
        <w:t>https://github.com/abdulhaq111/Statistics-and-Trend</w:t>
      </w:r>
      <w:r>
        <w:rPr>
          <w:rStyle w:val="8"/>
          <w:b w:val="0"/>
          <w:bCs w:val="0"/>
          <w:sz w:val="22"/>
          <w:szCs w:val="22"/>
          <w:u w:color="0000FF"/>
        </w:rPr>
        <w:fldChar w:fldCharType="end"/>
      </w:r>
    </w:p>
    <w:p>
      <w:pPr>
        <w:pStyle w:val="2"/>
        <w:ind w:left="0" w:leftChars="0" w:firstLine="0" w:firstLineChars="0"/>
        <w:rPr>
          <w:rFonts w:hint="default"/>
          <w:u w:val="none"/>
          <w:lang w:val="en-US"/>
        </w:rPr>
      </w:pPr>
    </w:p>
    <w:p>
      <w:pPr>
        <w:pStyle w:val="2"/>
        <w:ind w:left="0" w:leftChars="0" w:firstLine="140" w:firstLineChars="50"/>
        <w:rPr>
          <w:rFonts w:hint="default"/>
          <w:u w:val="none"/>
          <w:lang w:val="en-US"/>
        </w:rPr>
      </w:pPr>
      <w:r>
        <w:rPr>
          <w:rFonts w:hint="default"/>
          <w:u w:val="none"/>
          <w:lang w:val="en-US"/>
        </w:rPr>
        <w:t>Dataset Link</w:t>
      </w:r>
      <w:r>
        <w:rPr>
          <w:u w:val="none"/>
        </w:rPr>
        <w:t>:</w:t>
      </w:r>
      <w:r>
        <w:rPr>
          <w:rFonts w:hint="default"/>
          <w:u w:val="none"/>
          <w:lang w:val="en-US"/>
        </w:rPr>
        <w:t xml:space="preserve"> </w:t>
      </w:r>
      <w:r>
        <w:rPr>
          <w:rFonts w:hint="default"/>
          <w:b w:val="0"/>
          <w:bCs w:val="0"/>
          <w:color w:val="0000FF"/>
          <w:sz w:val="22"/>
          <w:szCs w:val="22"/>
          <w:u w:val="single" w:color="auto"/>
          <w:lang w:val="en-US"/>
        </w:rPr>
        <w:fldChar w:fldCharType="begin"/>
      </w:r>
      <w:r>
        <w:rPr>
          <w:rFonts w:hint="default"/>
          <w:b w:val="0"/>
          <w:bCs w:val="0"/>
          <w:color w:val="0000FF"/>
          <w:sz w:val="22"/>
          <w:szCs w:val="22"/>
          <w:u w:val="single" w:color="auto"/>
          <w:lang w:val="en-US"/>
        </w:rPr>
        <w:instrText xml:space="preserve"> HYPERLINK "https://databank.worldbank.org/source/world-development-indicators" </w:instrText>
      </w:r>
      <w:r>
        <w:rPr>
          <w:rFonts w:hint="default"/>
          <w:b w:val="0"/>
          <w:bCs w:val="0"/>
          <w:color w:val="0000FF"/>
          <w:sz w:val="22"/>
          <w:szCs w:val="22"/>
          <w:u w:val="single" w:color="auto"/>
          <w:lang w:val="en-US"/>
        </w:rPr>
        <w:fldChar w:fldCharType="separate"/>
      </w:r>
      <w:r>
        <w:rPr>
          <w:rStyle w:val="8"/>
          <w:rFonts w:hint="default"/>
          <w:b w:val="0"/>
          <w:bCs w:val="0"/>
          <w:color w:val="0000FF"/>
          <w:sz w:val="22"/>
          <w:szCs w:val="22"/>
          <w:lang w:val="en-US"/>
        </w:rPr>
        <w:t>https://databank.worldbank.org/source/world-development-indicators#</w:t>
      </w:r>
      <w:r>
        <w:rPr>
          <w:rFonts w:hint="default"/>
          <w:b w:val="0"/>
          <w:bCs w:val="0"/>
          <w:color w:val="0000FF"/>
          <w:sz w:val="22"/>
          <w:szCs w:val="22"/>
          <w:u w:val="single" w:color="auto"/>
          <w:lang w:val="en-US"/>
        </w:rPr>
        <w:fldChar w:fldCharType="end"/>
      </w: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pStyle w:val="2"/>
        <w:spacing w:before="64" w:line="237" w:lineRule="auto"/>
        <w:ind w:left="2706" w:hanging="2520"/>
        <w:rPr>
          <w:b w:val="0"/>
          <w:bCs w:val="0"/>
          <w:color w:val="0000FF"/>
          <w:sz w:val="23"/>
          <w:szCs w:val="22"/>
          <w:u w:color="0000FF"/>
        </w:rPr>
      </w:pPr>
    </w:p>
    <w:p>
      <w:pPr>
        <w:rPr>
          <w:b w:val="0"/>
          <w:bCs w:val="0"/>
          <w:color w:val="0000FF"/>
          <w:sz w:val="23"/>
          <w:szCs w:val="22"/>
          <w:u w:color="0000FF"/>
        </w:rPr>
      </w:pPr>
    </w:p>
    <w:p>
      <w:pPr>
        <w:rPr>
          <w:b w:val="0"/>
          <w:bCs w:val="0"/>
          <w:color w:val="0000FF"/>
          <w:sz w:val="23"/>
          <w:szCs w:val="22"/>
          <w:u w:color="0000FF"/>
        </w:rPr>
      </w:pPr>
    </w:p>
    <w:p>
      <w:pPr>
        <w:rPr>
          <w:b w:val="0"/>
          <w:bCs w:val="0"/>
          <w:color w:val="0000FF"/>
          <w:sz w:val="23"/>
          <w:szCs w:val="22"/>
          <w:u w:color="0000FF"/>
        </w:rPr>
      </w:pPr>
    </w:p>
    <w:p>
      <w:pPr>
        <w:rPr>
          <w:b w:val="0"/>
          <w:bCs w:val="0"/>
          <w:color w:val="0000FF"/>
          <w:sz w:val="23"/>
          <w:szCs w:val="22"/>
          <w:u w:color="0000FF"/>
        </w:rPr>
      </w:pPr>
    </w:p>
    <w:p>
      <w:pPr>
        <w:rPr>
          <w:b w:val="0"/>
          <w:bCs w:val="0"/>
          <w:color w:val="0000FF"/>
          <w:sz w:val="23"/>
          <w:szCs w:val="22"/>
          <w:u w:color="0000FF"/>
        </w:rPr>
      </w:pPr>
    </w:p>
    <w:p>
      <w:pPr>
        <w:pStyle w:val="2"/>
        <w:spacing w:before="64" w:line="237" w:lineRule="auto"/>
        <w:ind w:left="2706" w:hanging="2520"/>
        <w:rPr>
          <w:rFonts w:hint="default"/>
          <w:u w:val="none"/>
          <w:lang w:val="en-US"/>
        </w:rPr>
      </w:pPr>
      <w:r>
        <w:rPr>
          <w:u w:val="thick"/>
        </w:rPr>
        <w:t>Exploring</w:t>
      </w:r>
      <w:r>
        <w:rPr>
          <w:spacing w:val="-5"/>
          <w:u w:val="thick"/>
        </w:rPr>
        <w:t xml:space="preserve"> Economic Trends</w:t>
      </w:r>
      <w:r>
        <w:rPr>
          <w:u w:val="thick"/>
        </w:rPr>
        <w:t>:</w:t>
      </w:r>
      <w:r>
        <w:rPr>
          <w:spacing w:val="-5"/>
          <w:u w:val="thick"/>
        </w:rPr>
        <w:t xml:space="preserve"> </w:t>
      </w:r>
      <w:r>
        <w:rPr>
          <w:u w:val="thick"/>
        </w:rPr>
        <w:t>A</w:t>
      </w:r>
      <w:r>
        <w:rPr>
          <w:spacing w:val="1"/>
          <w:u w:val="thick"/>
        </w:rPr>
        <w:t xml:space="preserve"> </w:t>
      </w:r>
      <w:r>
        <w:rPr>
          <w:u w:val="thick"/>
        </w:rPr>
        <w:t>Comparative</w:t>
      </w:r>
      <w:r>
        <w:rPr>
          <w:spacing w:val="-10"/>
          <w:u w:val="thick"/>
        </w:rPr>
        <w:t xml:space="preserve"> </w:t>
      </w:r>
      <w:r>
        <w:rPr>
          <w:u w:val="thick"/>
        </w:rPr>
        <w:t>Analysis</w:t>
      </w:r>
      <w:r>
        <w:rPr>
          <w:spacing w:val="2"/>
          <w:u w:val="thick"/>
        </w:rPr>
        <w:t xml:space="preserve"> </w:t>
      </w:r>
      <w:r>
        <w:rPr>
          <w:u w:val="thick"/>
        </w:rPr>
        <w:t>of</w:t>
      </w:r>
      <w:r>
        <w:rPr>
          <w:spacing w:val="-17"/>
          <w:u w:val="thick"/>
        </w:rPr>
        <w:t xml:space="preserve"> </w:t>
      </w:r>
      <w:r>
        <w:rPr>
          <w:rFonts w:hint="default"/>
          <w:u w:val="thick"/>
          <w:lang w:val="en-US"/>
        </w:rPr>
        <w:t>Various European Countries</w:t>
      </w:r>
    </w:p>
    <w:p>
      <w:pPr>
        <w:spacing w:before="89"/>
        <w:rPr>
          <w:b/>
          <w:sz w:val="25"/>
        </w:rPr>
      </w:pPr>
    </w:p>
    <w:p>
      <w:pPr>
        <w:spacing w:before="89"/>
        <w:rPr>
          <w:b/>
          <w:sz w:val="26"/>
          <w:szCs w:val="26"/>
        </w:rPr>
      </w:pPr>
      <w:r>
        <w:rPr>
          <w:b/>
          <w:sz w:val="26"/>
          <w:szCs w:val="26"/>
        </w:rPr>
        <w:t>Introduction:</w:t>
      </w:r>
    </w:p>
    <w:p>
      <w:pPr>
        <w:spacing w:before="89"/>
        <w:rPr>
          <w:b/>
          <w:sz w:val="24"/>
          <w:szCs w:val="24"/>
        </w:rPr>
      </w:pPr>
    </w:p>
    <w:p>
      <w:pPr>
        <w:pStyle w:val="6"/>
        <w:spacing w:before="1"/>
        <w:jc w:val="both"/>
        <w:rPr>
          <w:rFonts w:hint="default"/>
          <w:sz w:val="24"/>
          <w:szCs w:val="24"/>
        </w:rPr>
      </w:pPr>
      <w:r>
        <w:rPr>
          <w:rFonts w:hint="default"/>
          <w:sz w:val="24"/>
          <w:szCs w:val="24"/>
        </w:rPr>
        <w:t>This investigation conducts a comparative analysis of economic trends across different European countries. By examining key economic indicators such as GDP, inflation, employment rates, and population using the internet, this analysis aims to uncover insights into each country's economic performance and identify potential interrelations between these factors. Through this exploration, a deeper understanding of the economic landscape of these nations and the dynamics shaping their economies over time can be gained.</w:t>
      </w:r>
    </w:p>
    <w:p>
      <w:pPr>
        <w:pStyle w:val="6"/>
        <w:spacing w:before="1"/>
        <w:jc w:val="both"/>
        <w:rPr>
          <w:rFonts w:hint="default"/>
          <w:sz w:val="24"/>
          <w:szCs w:val="24"/>
        </w:rPr>
      </w:pPr>
    </w:p>
    <w:p>
      <w:pPr>
        <w:rPr>
          <w:sz w:val="13"/>
        </w:rPr>
      </w:pPr>
    </w:p>
    <w:p>
      <w:pPr>
        <w:rPr>
          <w:sz w:val="13"/>
        </w:rPr>
        <w:sectPr>
          <w:type w:val="continuous"/>
          <w:pgSz w:w="11910" w:h="16840"/>
          <w:pgMar w:top="780" w:right="400" w:bottom="280" w:left="740" w:header="720" w:footer="720" w:gutter="0"/>
          <w:cols w:space="720" w:num="1"/>
        </w:sectPr>
      </w:pPr>
    </w:p>
    <w:p>
      <w:pPr>
        <w:pStyle w:val="6"/>
        <w:spacing w:line="252" w:lineRule="auto"/>
        <w:ind w:right="38"/>
        <w:jc w:val="both"/>
        <w:rPr>
          <w:rFonts w:hint="default"/>
          <w:b/>
          <w:bCs/>
          <w:sz w:val="26"/>
          <w:szCs w:val="26"/>
        </w:rPr>
      </w:pPr>
      <w:r>
        <w:rPr>
          <w:rFonts w:hint="default"/>
          <w:b/>
          <w:bCs/>
          <w:sz w:val="26"/>
          <w:szCs w:val="26"/>
        </w:rPr>
        <w:t>Countries GDP Analysis:</w:t>
      </w:r>
    </w:p>
    <w:p>
      <w:pPr>
        <w:pStyle w:val="6"/>
        <w:spacing w:line="252" w:lineRule="auto"/>
        <w:ind w:left="109" w:right="38"/>
        <w:jc w:val="both"/>
        <w:rPr>
          <w:rFonts w:hint="default"/>
          <w:b/>
          <w:bCs/>
        </w:rPr>
      </w:pPr>
    </w:p>
    <w:p>
      <w:pPr>
        <w:pStyle w:val="6"/>
        <w:spacing w:line="252" w:lineRule="auto"/>
        <w:ind w:left="109" w:right="38"/>
        <w:jc w:val="both"/>
        <w:rPr>
          <w:rFonts w:hint="default"/>
          <w:sz w:val="24"/>
          <w:szCs w:val="24"/>
        </w:rPr>
      </w:pPr>
      <w:r>
        <w:rPr>
          <w:rFonts w:hint="default"/>
          <w:sz w:val="24"/>
          <w:szCs w:val="24"/>
        </w:rPr>
        <w:t>A simple bar graph was created to visualize the GDP of six European countries from 2018 to 2022. It is evident from the graph that all countries, except Ireland, experienced negative GDP growth in the year 2020. This can be correlated with the onset of the COVID-19 pandemic, which significantly impacted the GDP of nations worldwide. Notably, Ireland maintained a positive GDP even in 2020, indicating strong decision-making and measures implemented by the country to mitigate the effects of the pandemic on its economy. However, Ukraine exhibited a significantly low GDP of -29%, which may be attributed to the ongoing conflict with Russia that escalated in February 2022.</w:t>
      </w:r>
    </w:p>
    <w:p>
      <w:pPr>
        <w:pStyle w:val="6"/>
        <w:spacing w:line="252" w:lineRule="auto"/>
        <w:ind w:left="109" w:right="38"/>
        <w:jc w:val="both"/>
        <w:rPr>
          <w:rFonts w:hint="default"/>
          <w:sz w:val="24"/>
          <w:szCs w:val="24"/>
        </w:rPr>
      </w:pPr>
    </w:p>
    <w:p>
      <w:pPr>
        <w:pStyle w:val="6"/>
        <w:spacing w:line="252" w:lineRule="auto"/>
        <w:ind w:left="109" w:right="38"/>
        <w:jc w:val="both"/>
        <w:rPr>
          <w:rFonts w:hint="default"/>
        </w:rPr>
      </w:pPr>
    </w:p>
    <w:p>
      <w:pPr>
        <w:pStyle w:val="6"/>
        <w:spacing w:line="252" w:lineRule="auto"/>
        <w:ind w:left="109" w:right="38"/>
        <w:jc w:val="center"/>
        <w:rPr>
          <w:rFonts w:hint="default"/>
          <w:lang w:val="en-US"/>
        </w:rPr>
      </w:pPr>
      <w:r>
        <w:rPr>
          <w:rFonts w:hint="default"/>
          <w:lang w:val="en-US"/>
        </w:rPr>
        <w:drawing>
          <wp:inline distT="0" distB="0" distL="114300" distR="114300">
            <wp:extent cx="3196590" cy="2124075"/>
            <wp:effectExtent l="0" t="0" r="3810" b="9525"/>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1"/>
                    <pic:cNvPicPr>
                      <a:picLocks noChangeAspect="1"/>
                    </pic:cNvPicPr>
                  </pic:nvPicPr>
                  <pic:blipFill>
                    <a:blip r:embed="rId4"/>
                    <a:stretch>
                      <a:fillRect/>
                    </a:stretch>
                  </pic:blipFill>
                  <pic:spPr>
                    <a:xfrm>
                      <a:off x="0" y="0"/>
                      <a:ext cx="3196590" cy="2124075"/>
                    </a:xfrm>
                    <a:prstGeom prst="rect">
                      <a:avLst/>
                    </a:prstGeom>
                  </pic:spPr>
                </pic:pic>
              </a:graphicData>
            </a:graphic>
          </wp:inline>
        </w:drawing>
      </w:r>
    </w:p>
    <w:p>
      <w:pPr>
        <w:pStyle w:val="6"/>
        <w:spacing w:line="252" w:lineRule="auto"/>
        <w:ind w:left="109" w:right="38"/>
        <w:jc w:val="both"/>
        <w:rPr>
          <w:rFonts w:hint="default"/>
          <w:b/>
          <w:bCs/>
          <w:sz w:val="26"/>
          <w:szCs w:val="26"/>
        </w:rPr>
      </w:pPr>
      <w:r>
        <w:rPr>
          <w:rFonts w:hint="default"/>
          <w:b/>
          <w:bCs/>
          <w:sz w:val="26"/>
          <w:szCs w:val="26"/>
        </w:rPr>
        <w:t>Countries Inflation Rate Analysis:</w:t>
      </w:r>
    </w:p>
    <w:p>
      <w:pPr>
        <w:pStyle w:val="6"/>
        <w:spacing w:line="252" w:lineRule="auto"/>
        <w:ind w:left="109" w:right="38"/>
        <w:jc w:val="both"/>
        <w:rPr>
          <w:rFonts w:hint="default"/>
        </w:rPr>
      </w:pPr>
    </w:p>
    <w:p>
      <w:pPr>
        <w:pStyle w:val="6"/>
        <w:spacing w:line="252" w:lineRule="auto"/>
        <w:ind w:left="109" w:right="38"/>
        <w:jc w:val="both"/>
        <w:rPr>
          <w:rFonts w:hint="default"/>
        </w:rPr>
      </w:pPr>
      <w:r>
        <w:rPr>
          <w:rFonts w:hint="default"/>
        </w:rPr>
        <w:t xml:space="preserve">A bar graph was utilized to visualize the inflation rates of six European countries from 2018 to 2022. The graph illustrates a consistent increase in inflation across all countries during this period, with the highest inflation rates observed in 2022. However, it is noteworthy that Ireland, Italy, and Spain exhibited negative inflation rates in the year 2020. Italy and Ireland show a similar trend in inflation rates over the years, indicating potential similarities in economic policies or external factors affecting these countries. </w:t>
      </w:r>
    </w:p>
    <w:p>
      <w:pPr>
        <w:pStyle w:val="6"/>
        <w:spacing w:line="252" w:lineRule="auto"/>
        <w:ind w:left="109" w:right="38"/>
        <w:jc w:val="both"/>
        <w:rPr>
          <w:rFonts w:hint="default"/>
        </w:rPr>
      </w:pPr>
    </w:p>
    <w:p>
      <w:pPr>
        <w:pStyle w:val="6"/>
        <w:spacing w:line="252" w:lineRule="auto"/>
        <w:ind w:left="109" w:right="38"/>
        <w:jc w:val="both"/>
        <w:rPr>
          <w:rFonts w:hint="default"/>
        </w:rPr>
      </w:pPr>
    </w:p>
    <w:p>
      <w:pPr>
        <w:pStyle w:val="6"/>
        <w:spacing w:line="252" w:lineRule="auto"/>
        <w:ind w:left="109" w:right="38"/>
        <w:jc w:val="both"/>
        <w:rPr>
          <w:rFonts w:hint="default"/>
        </w:rPr>
      </w:pPr>
    </w:p>
    <w:p>
      <w:pPr>
        <w:pStyle w:val="6"/>
        <w:spacing w:line="252" w:lineRule="auto"/>
        <w:ind w:right="38"/>
        <w:jc w:val="both"/>
        <w:rPr>
          <w:rFonts w:hint="default"/>
          <w:lang w:val="en-US"/>
        </w:rPr>
      </w:pPr>
    </w:p>
    <w:p>
      <w:pPr>
        <w:pStyle w:val="6"/>
        <w:spacing w:line="252" w:lineRule="auto"/>
        <w:ind w:left="109" w:right="38"/>
        <w:jc w:val="both"/>
        <w:rPr>
          <w:rFonts w:hint="default"/>
          <w:lang w:val="en-US"/>
        </w:rPr>
      </w:pPr>
    </w:p>
    <w:p>
      <w:pPr>
        <w:pStyle w:val="6"/>
        <w:spacing w:line="252" w:lineRule="auto"/>
        <w:ind w:left="109" w:right="38"/>
        <w:jc w:val="both"/>
        <w:rPr>
          <w:rFonts w:hint="default"/>
          <w:lang w:val="en-US"/>
        </w:rPr>
      </w:pPr>
      <w:r>
        <w:rPr>
          <w:rFonts w:hint="default"/>
          <w:lang w:val="en-US"/>
        </w:rPr>
        <w:drawing>
          <wp:inline distT="0" distB="0" distL="114300" distR="114300">
            <wp:extent cx="3457575" cy="2954020"/>
            <wp:effectExtent l="0" t="0" r="22225" b="17780"/>
            <wp:docPr id="2" name="Picture 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2"/>
                    <pic:cNvPicPr>
                      <a:picLocks noChangeAspect="1"/>
                    </pic:cNvPicPr>
                  </pic:nvPicPr>
                  <pic:blipFill>
                    <a:blip r:embed="rId5"/>
                    <a:stretch>
                      <a:fillRect/>
                    </a:stretch>
                  </pic:blipFill>
                  <pic:spPr>
                    <a:xfrm>
                      <a:off x="0" y="0"/>
                      <a:ext cx="3457575" cy="2954020"/>
                    </a:xfrm>
                    <a:prstGeom prst="rect">
                      <a:avLst/>
                    </a:prstGeom>
                  </pic:spPr>
                </pic:pic>
              </a:graphicData>
            </a:graphic>
          </wp:inline>
        </w:drawing>
      </w:r>
    </w:p>
    <w:p>
      <w:pPr>
        <w:pStyle w:val="6"/>
        <w:spacing w:line="252" w:lineRule="auto"/>
        <w:ind w:left="109" w:right="38"/>
        <w:jc w:val="both"/>
        <w:rPr>
          <w:rFonts w:hint="default"/>
          <w:lang w:val="en-US"/>
        </w:rPr>
      </w:pPr>
    </w:p>
    <w:p>
      <w:pPr>
        <w:pStyle w:val="6"/>
        <w:spacing w:line="252" w:lineRule="auto"/>
        <w:ind w:left="109" w:right="38"/>
        <w:jc w:val="both"/>
        <w:rPr>
          <w:rFonts w:hint="default"/>
          <w:b/>
          <w:bCs/>
          <w:sz w:val="26"/>
          <w:szCs w:val="26"/>
        </w:rPr>
      </w:pPr>
      <w:r>
        <w:rPr>
          <w:rFonts w:hint="default"/>
          <w:b/>
          <w:bCs/>
          <w:sz w:val="26"/>
          <w:szCs w:val="26"/>
        </w:rPr>
        <w:t>Employment Rate Analysis:</w:t>
      </w:r>
    </w:p>
    <w:p>
      <w:pPr>
        <w:pStyle w:val="6"/>
        <w:spacing w:line="252" w:lineRule="auto"/>
        <w:ind w:left="109" w:right="38"/>
        <w:jc w:val="both"/>
        <w:rPr>
          <w:rFonts w:hint="default"/>
          <w:b w:val="0"/>
          <w:bCs w:val="0"/>
          <w:sz w:val="24"/>
          <w:szCs w:val="24"/>
        </w:rPr>
      </w:pPr>
    </w:p>
    <w:p>
      <w:pPr>
        <w:pStyle w:val="6"/>
        <w:spacing w:line="252" w:lineRule="auto"/>
        <w:ind w:left="109" w:right="38"/>
        <w:jc w:val="both"/>
        <w:rPr>
          <w:rFonts w:hint="default"/>
          <w:b w:val="0"/>
          <w:bCs w:val="0"/>
          <w:sz w:val="24"/>
          <w:szCs w:val="24"/>
          <w:lang w:val="en-US"/>
        </w:rPr>
      </w:pPr>
      <w:r>
        <w:rPr>
          <w:rFonts w:hint="default"/>
          <w:b w:val="0"/>
          <w:bCs w:val="0"/>
          <w:sz w:val="24"/>
          <w:szCs w:val="24"/>
        </w:rPr>
        <w:t>A line graph depicting the employment rates from 2012 to 2022 reveals intriguing insights into the labor markets of Greece, Germany, France, Norway, the United Kingdom, and Italy. Notably, Greece exhibits the highest employment rate among these countries throughout the period under consideration. Conversely, Norway experiences the lowest employment rate, characterized by a continuous decline over the years.</w:t>
      </w:r>
      <w:r>
        <w:rPr>
          <w:rFonts w:hint="default"/>
          <w:b w:val="0"/>
          <w:bCs w:val="0"/>
          <w:sz w:val="24"/>
          <w:szCs w:val="24"/>
          <w:lang w:val="en-US"/>
        </w:rPr>
        <w:t xml:space="preserve"> </w:t>
      </w:r>
    </w:p>
    <w:p>
      <w:pPr>
        <w:pStyle w:val="6"/>
        <w:spacing w:line="252" w:lineRule="auto"/>
        <w:ind w:left="109" w:right="38"/>
        <w:jc w:val="both"/>
        <w:rPr>
          <w:rFonts w:hint="default"/>
          <w:b w:val="0"/>
          <w:bCs w:val="0"/>
          <w:sz w:val="24"/>
          <w:szCs w:val="24"/>
          <w:lang w:val="en-US"/>
        </w:rPr>
      </w:pPr>
    </w:p>
    <w:p>
      <w:pPr>
        <w:pStyle w:val="6"/>
        <w:spacing w:line="252" w:lineRule="auto"/>
        <w:ind w:left="109" w:right="38"/>
        <w:jc w:val="both"/>
        <w:rPr>
          <w:rFonts w:hint="default"/>
          <w:b w:val="0"/>
          <w:bCs w:val="0"/>
          <w:sz w:val="24"/>
          <w:szCs w:val="24"/>
        </w:rPr>
      </w:pPr>
      <w:r>
        <w:rPr>
          <w:rFonts w:hint="default"/>
          <w:b w:val="0"/>
          <w:bCs w:val="0"/>
          <w:sz w:val="24"/>
          <w:szCs w:val="24"/>
        </w:rPr>
        <w:t>Furthermore, France and Germany demonstrate similar employment rate trends, maintaining rates between 4-5 percent consistently over the observed years. This stability suggests robust labor market conditions in both countries.</w:t>
      </w:r>
    </w:p>
    <w:p>
      <w:pPr>
        <w:pStyle w:val="6"/>
        <w:spacing w:line="252" w:lineRule="auto"/>
        <w:ind w:left="109" w:right="38"/>
        <w:jc w:val="both"/>
        <w:rPr>
          <w:rFonts w:hint="default"/>
          <w:b w:val="0"/>
          <w:bCs w:val="0"/>
          <w:sz w:val="24"/>
          <w:szCs w:val="24"/>
        </w:rPr>
      </w:pPr>
    </w:p>
    <w:p>
      <w:pPr>
        <w:pStyle w:val="6"/>
        <w:spacing w:line="252" w:lineRule="auto"/>
        <w:ind w:left="109" w:right="38"/>
        <w:jc w:val="both"/>
        <w:rPr>
          <w:rFonts w:hint="default"/>
          <w:b w:val="0"/>
          <w:bCs w:val="0"/>
          <w:sz w:val="24"/>
          <w:szCs w:val="24"/>
          <w:lang w:val="en-US"/>
        </w:rPr>
      </w:pPr>
      <w:r>
        <w:rPr>
          <w:rFonts w:hint="default"/>
          <w:b w:val="0"/>
          <w:bCs w:val="0"/>
          <w:sz w:val="24"/>
          <w:szCs w:val="24"/>
          <w:lang w:val="en-US"/>
        </w:rPr>
        <w:drawing>
          <wp:inline distT="0" distB="0" distL="114300" distR="114300">
            <wp:extent cx="3236595" cy="2584450"/>
            <wp:effectExtent l="0" t="0" r="14605" b="635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3"/>
                    <pic:cNvPicPr>
                      <a:picLocks noChangeAspect="1"/>
                    </pic:cNvPicPr>
                  </pic:nvPicPr>
                  <pic:blipFill>
                    <a:blip r:embed="rId6"/>
                    <a:stretch>
                      <a:fillRect/>
                    </a:stretch>
                  </pic:blipFill>
                  <pic:spPr>
                    <a:xfrm>
                      <a:off x="0" y="0"/>
                      <a:ext cx="3236595" cy="2584450"/>
                    </a:xfrm>
                    <a:prstGeom prst="rect">
                      <a:avLst/>
                    </a:prstGeom>
                  </pic:spPr>
                </pic:pic>
              </a:graphicData>
            </a:graphic>
          </wp:inline>
        </w:drawing>
      </w:r>
    </w:p>
    <w:p>
      <w:pPr>
        <w:pStyle w:val="6"/>
        <w:spacing w:line="252" w:lineRule="auto"/>
        <w:ind w:left="109" w:right="38"/>
        <w:jc w:val="both"/>
      </w:pPr>
    </w:p>
    <w:p>
      <w:pPr>
        <w:spacing w:line="266" w:lineRule="auto"/>
        <w:jc w:val="both"/>
        <w:rPr>
          <w:rFonts w:hint="default"/>
          <w:b/>
          <w:bCs w:val="0"/>
          <w:sz w:val="24"/>
          <w:szCs w:val="24"/>
        </w:rPr>
      </w:pPr>
      <w:r>
        <w:rPr>
          <w:rFonts w:hint="default"/>
          <w:b/>
          <w:bCs w:val="0"/>
          <w:sz w:val="24"/>
          <w:szCs w:val="24"/>
        </w:rPr>
        <w:t>No. of Internet Users Analysis:</w:t>
      </w:r>
    </w:p>
    <w:p>
      <w:pPr>
        <w:spacing w:line="266" w:lineRule="auto"/>
        <w:jc w:val="both"/>
        <w:rPr>
          <w:rFonts w:hint="default"/>
          <w:b w:val="0"/>
          <w:bCs/>
          <w:sz w:val="24"/>
          <w:szCs w:val="24"/>
        </w:rPr>
      </w:pPr>
    </w:p>
    <w:p>
      <w:pPr>
        <w:spacing w:line="266" w:lineRule="auto"/>
        <w:jc w:val="both"/>
        <w:rPr>
          <w:rFonts w:hint="default"/>
          <w:b w:val="0"/>
          <w:bCs/>
          <w:sz w:val="24"/>
          <w:szCs w:val="24"/>
        </w:rPr>
      </w:pPr>
      <w:r>
        <w:rPr>
          <w:rFonts w:hint="default"/>
          <w:b w:val="0"/>
          <w:bCs/>
          <w:sz w:val="24"/>
          <w:szCs w:val="24"/>
        </w:rPr>
        <w:t>A line graph illustrating the percentage of internet users from 2012 to 2022 unveils intriguing trends among the selected countries: Norway, Italy, Greece, France, and Germany,.</w:t>
      </w:r>
    </w:p>
    <w:p>
      <w:pPr>
        <w:spacing w:line="266" w:lineRule="auto"/>
        <w:jc w:val="both"/>
        <w:rPr>
          <w:rFonts w:hint="default"/>
          <w:b w:val="0"/>
          <w:bCs/>
          <w:sz w:val="24"/>
          <w:szCs w:val="24"/>
        </w:rPr>
      </w:pPr>
    </w:p>
    <w:p>
      <w:pPr>
        <w:spacing w:line="266" w:lineRule="auto"/>
        <w:jc w:val="both"/>
        <w:rPr>
          <w:rFonts w:hint="default"/>
          <w:b w:val="0"/>
          <w:bCs/>
          <w:sz w:val="24"/>
          <w:szCs w:val="24"/>
        </w:rPr>
      </w:pPr>
      <w:r>
        <w:rPr>
          <w:rFonts w:hint="default"/>
          <w:b w:val="0"/>
          <w:bCs/>
          <w:sz w:val="24"/>
          <w:szCs w:val="24"/>
        </w:rPr>
        <w:t>Norway emerges as the leader in internet adoption, consistently maintaining the highest percentage of internet users throughout the observed period. Meanwhile, Italy and Greece exhibit notable growth trajectories, experiencing sharp rises in internet usage over the years. This upward trend positions them competitively with France in terms of internet penetration.</w:t>
      </w:r>
    </w:p>
    <w:p>
      <w:pPr>
        <w:spacing w:line="266" w:lineRule="auto"/>
        <w:jc w:val="both"/>
        <w:rPr>
          <w:rFonts w:hint="default"/>
          <w:b w:val="0"/>
          <w:bCs/>
          <w:sz w:val="24"/>
          <w:szCs w:val="24"/>
        </w:rPr>
      </w:pPr>
    </w:p>
    <w:p>
      <w:pPr>
        <w:spacing w:line="266" w:lineRule="auto"/>
        <w:jc w:val="both"/>
        <w:rPr>
          <w:rFonts w:hint="default"/>
          <w:b w:val="0"/>
          <w:bCs/>
          <w:sz w:val="24"/>
          <w:szCs w:val="24"/>
        </w:rPr>
      </w:pPr>
      <w:r>
        <w:rPr>
          <w:rFonts w:hint="default"/>
          <w:b w:val="0"/>
          <w:bCs/>
          <w:sz w:val="24"/>
          <w:szCs w:val="24"/>
        </w:rPr>
        <w:t>Germany, surpassing France in internet adoption, demonstrates a steady increase in the percentage of internet users, reflecting the pervasive influence of digital connectivity across various aspects of society.</w:t>
      </w:r>
    </w:p>
    <w:p>
      <w:pPr>
        <w:spacing w:line="266" w:lineRule="auto"/>
        <w:jc w:val="both"/>
        <w:rPr>
          <w:rFonts w:hint="default"/>
          <w:b w:val="0"/>
          <w:bCs/>
          <w:sz w:val="24"/>
          <w:szCs w:val="24"/>
        </w:rPr>
      </w:pPr>
    </w:p>
    <w:p>
      <w:pPr>
        <w:spacing w:line="266" w:lineRule="auto"/>
        <w:jc w:val="both"/>
        <w:rPr>
          <w:rFonts w:hint="default"/>
          <w:b/>
          <w:lang w:val="en-US"/>
        </w:rPr>
      </w:pPr>
      <w:r>
        <w:rPr>
          <w:rFonts w:hint="default"/>
          <w:b/>
          <w:lang w:val="en-US"/>
        </w:rPr>
        <w:drawing>
          <wp:inline distT="0" distB="0" distL="114300" distR="114300">
            <wp:extent cx="3196590" cy="2571750"/>
            <wp:effectExtent l="0" t="0" r="3810" b="19050"/>
            <wp:docPr id="4" name="Picture 4" descr="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4"/>
                    <pic:cNvPicPr>
                      <a:picLocks noChangeAspect="1"/>
                    </pic:cNvPicPr>
                  </pic:nvPicPr>
                  <pic:blipFill>
                    <a:blip r:embed="rId7"/>
                    <a:stretch>
                      <a:fillRect/>
                    </a:stretch>
                  </pic:blipFill>
                  <pic:spPr>
                    <a:xfrm>
                      <a:off x="0" y="0"/>
                      <a:ext cx="3196590" cy="2571750"/>
                    </a:xfrm>
                    <a:prstGeom prst="rect">
                      <a:avLst/>
                    </a:prstGeom>
                  </pic:spPr>
                </pic:pic>
              </a:graphicData>
            </a:graphic>
          </wp:inline>
        </w:drawing>
      </w:r>
    </w:p>
    <w:p>
      <w:pPr>
        <w:spacing w:line="266" w:lineRule="auto"/>
        <w:jc w:val="both"/>
        <w:rPr>
          <w:sz w:val="21"/>
        </w:rPr>
      </w:pPr>
    </w:p>
    <w:p>
      <w:pPr>
        <w:spacing w:line="266" w:lineRule="auto"/>
        <w:jc w:val="both"/>
        <w:rPr>
          <w:rFonts w:hint="default"/>
          <w:b/>
          <w:bCs w:val="0"/>
          <w:sz w:val="24"/>
          <w:szCs w:val="24"/>
          <w:lang w:val="en-US"/>
        </w:rPr>
      </w:pPr>
    </w:p>
    <w:p>
      <w:pPr>
        <w:spacing w:line="266" w:lineRule="auto"/>
        <w:jc w:val="both"/>
        <w:rPr>
          <w:rFonts w:hint="default"/>
          <w:b/>
          <w:bCs w:val="0"/>
          <w:sz w:val="24"/>
          <w:szCs w:val="24"/>
          <w:lang w:val="en-US"/>
        </w:rPr>
      </w:pPr>
    </w:p>
    <w:p>
      <w:pPr>
        <w:spacing w:line="266" w:lineRule="auto"/>
        <w:jc w:val="both"/>
        <w:rPr>
          <w:rFonts w:hint="default"/>
          <w:b/>
          <w:bCs w:val="0"/>
          <w:sz w:val="24"/>
          <w:szCs w:val="24"/>
          <w:lang w:val="en-US"/>
        </w:rPr>
      </w:pPr>
      <w:r>
        <w:rPr>
          <w:rFonts w:hint="default"/>
          <w:b/>
          <w:bCs w:val="0"/>
          <w:sz w:val="24"/>
          <w:szCs w:val="24"/>
          <w:lang w:val="en-US"/>
        </w:rPr>
        <w:t>Insights on the Heatmap of Germany:</w:t>
      </w:r>
    </w:p>
    <w:p>
      <w:pPr>
        <w:spacing w:line="266" w:lineRule="auto"/>
        <w:jc w:val="both"/>
        <w:rPr>
          <w:rFonts w:hint="default"/>
          <w:b/>
          <w:bCs w:val="0"/>
          <w:sz w:val="24"/>
          <w:szCs w:val="24"/>
          <w:lang w:val="en-US"/>
        </w:rPr>
      </w:pPr>
    </w:p>
    <w:p>
      <w:pPr>
        <w:spacing w:line="266" w:lineRule="auto"/>
        <w:jc w:val="both"/>
        <w:rPr>
          <w:rFonts w:hint="default"/>
          <w:b w:val="0"/>
          <w:bCs/>
          <w:sz w:val="24"/>
          <w:szCs w:val="24"/>
          <w:lang w:val="en-US"/>
        </w:rPr>
      </w:pPr>
      <w:r>
        <w:rPr>
          <w:rFonts w:hint="default"/>
          <w:b w:val="0"/>
          <w:bCs/>
          <w:sz w:val="24"/>
          <w:szCs w:val="24"/>
          <w:lang w:val="en-US"/>
        </w:rPr>
        <w:t>The heatmap reveals a robust positive correlation between GDP and employment, indicating that as the GDP of Germany rises, employment levels also tend to increase. Additionally, the heatmap demonstrates a noteworthy correlation between internet usage and literacy rate, suggesting that regions with higher internet usage tend to exhibit higher literacy rates. This underscores the role of internet access in facilitating education and information dissemination, potentially contributing to higher literacy levels among the population.</w:t>
      </w:r>
    </w:p>
    <w:p>
      <w:pPr>
        <w:spacing w:line="266" w:lineRule="auto"/>
        <w:jc w:val="both"/>
        <w:rPr>
          <w:rFonts w:hint="default"/>
          <w:b w:val="0"/>
          <w:bCs/>
          <w:sz w:val="24"/>
          <w:szCs w:val="24"/>
          <w:lang w:val="en-US"/>
        </w:rPr>
      </w:pPr>
    </w:p>
    <w:p>
      <w:pPr>
        <w:pStyle w:val="6"/>
        <w:spacing w:before="7"/>
        <w:rPr>
          <w:rFonts w:hint="default"/>
          <w:lang w:val="en-US"/>
        </w:rPr>
      </w:pPr>
      <w:r>
        <w:rPr>
          <w:rFonts w:hint="default"/>
          <w:lang w:val="en-US"/>
        </w:rPr>
        <w:drawing>
          <wp:inline distT="0" distB="0" distL="114300" distR="114300">
            <wp:extent cx="3460115" cy="3414395"/>
            <wp:effectExtent l="0" t="0" r="19685" b="14605"/>
            <wp:docPr id="5" name="Picture 5" descr="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5"/>
                    <pic:cNvPicPr>
                      <a:picLocks noChangeAspect="1"/>
                    </pic:cNvPicPr>
                  </pic:nvPicPr>
                  <pic:blipFill>
                    <a:blip r:embed="rId8"/>
                    <a:stretch>
                      <a:fillRect/>
                    </a:stretch>
                  </pic:blipFill>
                  <pic:spPr>
                    <a:xfrm>
                      <a:off x="0" y="0"/>
                      <a:ext cx="3460115" cy="3414395"/>
                    </a:xfrm>
                    <a:prstGeom prst="rect">
                      <a:avLst/>
                    </a:prstGeom>
                  </pic:spPr>
                </pic:pic>
              </a:graphicData>
            </a:graphic>
          </wp:inline>
        </w:drawing>
      </w:r>
    </w:p>
    <w:p>
      <w:pPr>
        <w:pStyle w:val="6"/>
        <w:spacing w:before="7"/>
        <w:rPr>
          <w:rFonts w:hint="default"/>
          <w:lang w:val="en-US"/>
        </w:rPr>
      </w:pPr>
    </w:p>
    <w:p>
      <w:pPr>
        <w:pStyle w:val="6"/>
        <w:spacing w:before="7"/>
        <w:rPr>
          <w:rFonts w:hint="default"/>
          <w:b/>
          <w:bCs w:val="0"/>
          <w:sz w:val="24"/>
          <w:szCs w:val="24"/>
          <w:lang w:val="en-US"/>
        </w:rPr>
      </w:pPr>
      <w:r>
        <w:rPr>
          <w:rFonts w:hint="default"/>
          <w:b/>
          <w:bCs w:val="0"/>
          <w:sz w:val="24"/>
          <w:szCs w:val="24"/>
          <w:lang w:val="en-US"/>
        </w:rPr>
        <w:t>Insights on the Heatmap of Ukraine:</w:t>
      </w:r>
    </w:p>
    <w:p>
      <w:pPr>
        <w:pStyle w:val="6"/>
        <w:spacing w:before="7"/>
        <w:rPr>
          <w:rFonts w:hint="default"/>
          <w:b/>
          <w:bCs w:val="0"/>
          <w:sz w:val="24"/>
          <w:szCs w:val="24"/>
          <w:lang w:val="en-US"/>
        </w:rPr>
      </w:pPr>
    </w:p>
    <w:p>
      <w:pPr>
        <w:pStyle w:val="6"/>
        <w:spacing w:before="7"/>
        <w:jc w:val="both"/>
        <w:rPr>
          <w:rFonts w:hint="default"/>
          <w:b w:val="0"/>
          <w:bCs/>
          <w:sz w:val="24"/>
          <w:szCs w:val="24"/>
          <w:lang w:val="en-US"/>
        </w:rPr>
      </w:pPr>
      <w:r>
        <w:rPr>
          <w:rFonts w:hint="default"/>
          <w:b w:val="0"/>
          <w:bCs/>
          <w:sz w:val="24"/>
          <w:szCs w:val="24"/>
          <w:lang w:val="en-US"/>
        </w:rPr>
        <w:t>Similar to Germany, the heatmap of Ukraine illustrates a significant positive correlation between GDP and employment, indicating that as GDP increases, there is a corresponding rise in employment levels, potentially influenced by factors such as the number of employers. Additionally, the heatmap suggests a positive relationship between net trade and GDP, highlighting the potential impact of trade activities on the country's economic output and growth.</w:t>
      </w:r>
    </w:p>
    <w:p>
      <w:pPr>
        <w:pStyle w:val="6"/>
        <w:spacing w:before="7"/>
        <w:jc w:val="both"/>
        <w:rPr>
          <w:rFonts w:hint="default"/>
          <w:b w:val="0"/>
          <w:bCs/>
          <w:sz w:val="24"/>
          <w:szCs w:val="24"/>
          <w:lang w:val="en-US"/>
        </w:rPr>
      </w:pPr>
    </w:p>
    <w:p>
      <w:pPr>
        <w:pStyle w:val="6"/>
        <w:spacing w:before="7"/>
        <w:jc w:val="both"/>
        <w:rPr>
          <w:rFonts w:hint="default"/>
          <w:b w:val="0"/>
          <w:bCs/>
          <w:sz w:val="24"/>
          <w:szCs w:val="24"/>
          <w:lang w:val="en-US"/>
        </w:rPr>
      </w:pPr>
      <w:r>
        <w:rPr>
          <w:rFonts w:hint="default"/>
          <w:b w:val="0"/>
          <w:bCs/>
          <w:sz w:val="24"/>
          <w:szCs w:val="24"/>
          <w:lang w:val="en-US"/>
        </w:rPr>
        <w:drawing>
          <wp:inline distT="0" distB="0" distL="114300" distR="114300">
            <wp:extent cx="3460115" cy="3081020"/>
            <wp:effectExtent l="0" t="0" r="19685" b="17780"/>
            <wp:docPr id="6" name="Picture 6" descr="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6"/>
                    <pic:cNvPicPr>
                      <a:picLocks noChangeAspect="1"/>
                    </pic:cNvPicPr>
                  </pic:nvPicPr>
                  <pic:blipFill>
                    <a:blip r:embed="rId9"/>
                    <a:stretch>
                      <a:fillRect/>
                    </a:stretch>
                  </pic:blipFill>
                  <pic:spPr>
                    <a:xfrm>
                      <a:off x="0" y="0"/>
                      <a:ext cx="3460115" cy="3081020"/>
                    </a:xfrm>
                    <a:prstGeom prst="rect">
                      <a:avLst/>
                    </a:prstGeom>
                  </pic:spPr>
                </pic:pic>
              </a:graphicData>
            </a:graphic>
          </wp:inline>
        </w:drawing>
      </w:r>
      <w:bookmarkStart w:id="0" w:name="_GoBack"/>
      <w:bookmarkEnd w:id="0"/>
    </w:p>
    <w:p>
      <w:pPr>
        <w:pStyle w:val="6"/>
        <w:spacing w:before="7"/>
        <w:jc w:val="both"/>
        <w:rPr>
          <w:rFonts w:hint="default"/>
          <w:b w:val="0"/>
          <w:bCs/>
          <w:sz w:val="24"/>
          <w:szCs w:val="24"/>
          <w:lang w:val="en-US"/>
        </w:rPr>
      </w:pPr>
    </w:p>
    <w:p>
      <w:pPr>
        <w:pStyle w:val="6"/>
        <w:spacing w:before="7"/>
        <w:jc w:val="both"/>
        <w:rPr>
          <w:rFonts w:hint="default"/>
          <w:b/>
          <w:bCs w:val="0"/>
          <w:sz w:val="24"/>
          <w:szCs w:val="24"/>
          <w:lang w:val="en-US"/>
        </w:rPr>
      </w:pPr>
      <w:r>
        <w:rPr>
          <w:rFonts w:hint="default"/>
          <w:b/>
          <w:bCs w:val="0"/>
          <w:sz w:val="24"/>
          <w:szCs w:val="24"/>
          <w:lang w:val="en-US"/>
        </w:rPr>
        <w:t>Conclusion:</w:t>
      </w:r>
    </w:p>
    <w:p>
      <w:pPr>
        <w:pStyle w:val="6"/>
        <w:spacing w:before="7"/>
        <w:jc w:val="both"/>
        <w:rPr>
          <w:rFonts w:hint="default"/>
          <w:b/>
          <w:bCs w:val="0"/>
          <w:sz w:val="24"/>
          <w:szCs w:val="24"/>
          <w:lang w:val="en-US"/>
        </w:rPr>
      </w:pPr>
    </w:p>
    <w:p>
      <w:pPr>
        <w:pStyle w:val="6"/>
        <w:spacing w:before="7"/>
        <w:jc w:val="both"/>
        <w:rPr>
          <w:rFonts w:hint="default"/>
          <w:b w:val="0"/>
          <w:bCs/>
          <w:sz w:val="24"/>
          <w:szCs w:val="24"/>
          <w:lang w:val="en-US"/>
        </w:rPr>
      </w:pPr>
      <w:r>
        <w:rPr>
          <w:rFonts w:hint="default"/>
          <w:b w:val="0"/>
          <w:bCs/>
          <w:sz w:val="24"/>
          <w:szCs w:val="24"/>
          <w:lang w:val="en-US"/>
        </w:rPr>
        <w:t>In conclusion, the comparative analysis of economic indicators across various European countries, revealed diverse trends and correlations. The examination of GDP, inflation rates, employment rates, and internet usage provided valuable insights into each country's economic performance and interrelations between these factors. Notably, fluctuations in GDP and inflation rates shed light on the economic impacts of events such as the COVID-19 pandemic and geopolitical tensions.  Overall, this analysis deepened our understanding of the economic landscape of the selected European countries and the multifaceted factors influencing their economic trajectories over time.</w:t>
      </w:r>
    </w:p>
    <w:sectPr>
      <w:pgSz w:w="11910" w:h="16840"/>
      <w:pgMar w:top="740" w:right="400" w:bottom="280" w:left="740" w:header="720" w:footer="720" w:gutter="0"/>
      <w:cols w:equalWidth="0" w:num="2">
        <w:col w:w="5045" w:space="271"/>
        <w:col w:w="54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49"/>
    <w:rsid w:val="00081C49"/>
    <w:rsid w:val="00130F5B"/>
    <w:rsid w:val="001E07F7"/>
    <w:rsid w:val="004D4E19"/>
    <w:rsid w:val="005206FE"/>
    <w:rsid w:val="005D6A86"/>
    <w:rsid w:val="006F36E6"/>
    <w:rsid w:val="006F59D7"/>
    <w:rsid w:val="008D5170"/>
    <w:rsid w:val="00A10DF3"/>
    <w:rsid w:val="00AE2665"/>
    <w:rsid w:val="00B76689"/>
    <w:rsid w:val="00BD51A1"/>
    <w:rsid w:val="00C01E24"/>
    <w:rsid w:val="00D769CE"/>
    <w:rsid w:val="00D83A14"/>
    <w:rsid w:val="00E92DE5"/>
    <w:rsid w:val="00ED0410"/>
    <w:rsid w:val="00F601CB"/>
    <w:rsid w:val="00FD79D7"/>
    <w:rsid w:val="00FE63C8"/>
    <w:rsid w:val="3FA87874"/>
    <w:rsid w:val="4F214BDF"/>
    <w:rsid w:val="57FF86E5"/>
    <w:rsid w:val="6F5FB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2"/>
      <w:outlineLvl w:val="0"/>
    </w:pPr>
    <w:rPr>
      <w:b/>
      <w:bCs/>
      <w:sz w:val="28"/>
      <w:szCs w:val="28"/>
      <w:u w:val="single" w:color="000000"/>
    </w:rPr>
  </w:style>
  <w:style w:type="paragraph" w:styleId="3">
    <w:name w:val="heading 2"/>
    <w:basedOn w:val="1"/>
    <w:next w:val="1"/>
    <w:qFormat/>
    <w:uiPriority w:val="1"/>
    <w:pPr>
      <w:spacing w:before="90" w:line="259" w:lineRule="exact"/>
      <w:ind w:left="116"/>
      <w:jc w:val="both"/>
      <w:outlineLvl w:val="1"/>
    </w:pPr>
    <w:rPr>
      <w:b/>
      <w:bCs/>
      <w:sz w:val="23"/>
      <w:szCs w:val="23"/>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style>
  <w:style w:type="character" w:styleId="7">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8">
    <w:name w:val="Hyperlink"/>
    <w:basedOn w:val="4"/>
    <w:unhideWhenUsed/>
    <w:qFormat/>
    <w:uiPriority w:val="99"/>
    <w:rPr>
      <w:color w:val="0000FF" w:themeColor="hyperlink"/>
      <w:u w:val="single"/>
      <w14:textFill>
        <w14:solidFill>
          <w14:schemeClr w14:val="hlink"/>
        </w14:solidFill>
      </w14:textFill>
    </w:rPr>
  </w:style>
  <w:style w:type="paragraph" w:styleId="9">
    <w:name w:val="Normal (Web)"/>
    <w:basedOn w:val="1"/>
    <w:semiHidden/>
    <w:unhideWhenUsed/>
    <w:qFormat/>
    <w:uiPriority w:val="99"/>
    <w:pPr>
      <w:widowControl/>
      <w:autoSpaceDE/>
      <w:autoSpaceDN/>
      <w:spacing w:before="100" w:beforeAutospacing="1" w:after="100" w:afterAutospacing="1"/>
    </w:pPr>
    <w:rPr>
      <w:sz w:val="24"/>
      <w:szCs w:val="24"/>
    </w:rPr>
  </w:style>
  <w:style w:type="paragraph" w:styleId="10">
    <w:name w:val="Title"/>
    <w:basedOn w:val="1"/>
    <w:qFormat/>
    <w:uiPriority w:val="1"/>
    <w:pPr>
      <w:spacing w:before="57"/>
      <w:ind w:left="2835" w:right="3166"/>
      <w:jc w:val="center"/>
    </w:pPr>
    <w:rPr>
      <w:b/>
      <w:bCs/>
      <w:sz w:val="31"/>
      <w:szCs w:val="31"/>
    </w:rPr>
  </w:style>
  <w:style w:type="paragraph" w:styleId="11">
    <w:name w:val="List Paragraph"/>
    <w:basedOn w:val="1"/>
    <w:qFormat/>
    <w:uiPriority w:val="1"/>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398</Words>
  <Characters>2271</Characters>
  <Lines>18</Lines>
  <Paragraphs>5</Paragraphs>
  <TotalTime>7</TotalTime>
  <ScaleCrop>false</ScaleCrop>
  <LinksUpToDate>false</LinksUpToDate>
  <CharactersWithSpaces>2664</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2024-03-03T15:18:00Z</dcterms:created>
  <dc:creator>MuhammadIkrmaSharaf</dc:creator>
  <cp:lastModifiedBy>MuhammadIkrmaSharaf</cp:lastModifiedBy>
  <dcterms:modified xsi:type="dcterms:W3CDTF">2024-03-05T21:02:11Z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WPS Writer</vt:lpwstr>
  </property>
  <property fmtid="{D5CDD505-2E9C-101B-9397-08002B2CF9AE}" pid="4" name="LastSaved">
    <vt:filetime>2024-03-01T00:00:00Z</vt:filetime>
  </property>
  <property fmtid="{D5CDD505-2E9C-101B-9397-08002B2CF9AE}" pid="5" name="KSOProductBuildVer">
    <vt:lpwstr>1033-5.6.0.8082</vt:lpwstr>
  </property>
</Properties>
</file>