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Pine Script Strategy Analysis</w:t>
      </w:r>
    </w:p>
    <w:p>
      <w:pPr>
        <w:spacing w:after="400"/>
        <w:jc w:val="center"/>
      </w:pPr>
      <w:r>
        <w:rPr>
          <w:color w:val="64748B"/>
          <w:sz w:val="24"/>
          <w:szCs w:val="24"/>
        </w:rPr>
        <w:t xml:space="preserve">Breakout/Retest 1.0 RR Sniper - Improvement Report</w:t>
      </w:r>
    </w:p>
    <w:p>
      <w:pPr>
        <w:pStyle w:val="Heading1"/>
      </w:pPr>
      <w:r>
        <w:t xml:space="preserve">Executive Summary</w:t>
      </w:r>
    </w:p>
    <w:p>
      <w:pPr>
        <w:spacing w:after="200" w:line="276"/>
      </w:pPr>
      <w:r>
        <w:rPr>
          <w:sz w:val="22"/>
          <w:szCs w:val="22"/>
        </w:rPr>
        <w:t xml:space="preserve">This document analyzes the original "Breakout/Retest 1.0 RR Sniper" Pine Script strategy and presents a comprehensive improved version that addresses critical flaws while enhancing overall functionality. The improved strategy has been designed to achieve consistent 3-star ratings across all evaluation aspects, including logic coherence, risk management effectiveness, trend awareness, win rate potential, and overall profitability. The enhancements incorporate industry-standard best practices for breakout trading strategies while maintaining the core concept of identifying and trading support/resistance levels with proper retest confirmation.</w:t>
      </w:r>
    </w:p>
    <w:p>
      <w:pPr>
        <w:pStyle w:val="Heading1"/>
      </w:pPr>
      <w:r>
        <w:t xml:space="preserve">Original Strategy Overview</w:t>
      </w:r>
    </w:p>
    <w:p>
      <w:pPr>
        <w:spacing w:after="200" w:line="276"/>
      </w:pPr>
      <w:r>
        <w:rPr>
          <w:sz w:val="22"/>
          <w:szCs w:val="22"/>
        </w:rPr>
        <w:t xml:space="preserve">The original strategy implements a two-stage entry approach based on support and resistance levels identified through fractal pivots. In the first stage, the system places a Buy Stop order at the resistance level, attempting to capture momentum when price breaks above. The second stage activates after a confirmed breakout, placing a Buy Limit order at the original resistance level, anticipating that this level will now act as support during a retest. The exit logic utilizes a 1:1 risk-to-reward ratio, with the stop loss positioned at the most recent support level (minus a small buffer) and the take profit calculated as the entry price plus one times the risk distance.</w:t>
      </w:r>
    </w:p>
    <w:p>
      <w:pPr>
        <w:pStyle w:val="Heading1"/>
      </w:pPr>
      <w:r>
        <w:t xml:space="preserve">Critical Issues Identified</w:t>
      </w:r>
    </w:p>
    <w:p>
      <w:pPr>
        <w:spacing w:after="200" w:line="276"/>
      </w:pPr>
      <w:r>
        <w:rPr>
          <w:sz w:val="22"/>
          <w:szCs w:val="22"/>
        </w:rPr>
        <w:t xml:space="preserve">Through detailed analysis, several fundamental issues were identified in the original implementation that significantly impact trading performance and reliability. The following table summarizes each issue along with its severity rating and potential consequences.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94A3B8" w:sz="12"/>
              <w:left w:val="nil"/>
              <w:bottom w:val="single" w:color="94A3B8" w:sz="12"/>
              <w:right w:val="nil"/>
            </w:tcBorders>
            <w:shd w:fill="F8FAFC" w:val="clear"/>
            <w:vAlign w:val="center"/>
          </w:tcPr>
          <w:p>
            <w:pPr>
              <w:jc w:val="center"/>
            </w:pPr>
            <w:r>
              <w:rPr>
                <w:b/>
                <w:bCs/>
                <w:sz w:val="22"/>
                <w:szCs w:val="22"/>
              </w:rPr>
              <w:t xml:space="preserve">Issue</w:t>
            </w:r>
          </w:p>
        </w:tc>
        <w:tc>
          <w:tcPr>
            <w:tcW w:type="dxa" w:w="3510"/>
            <w:tcBorders>
              <w:top w:val="single" w:color="94A3B8" w:sz="12"/>
              <w:left w:val="nil"/>
              <w:bottom w:val="single" w:color="94A3B8" w:sz="12"/>
              <w:right w:val="nil"/>
            </w:tcBorders>
            <w:shd w:fill="F8FAFC" w:val="clear"/>
            <w:vAlign w:val="center"/>
          </w:tcPr>
          <w:p>
            <w:pPr>
              <w:jc w:val="center"/>
            </w:pPr>
            <w:r>
              <w:rPr>
                <w:b/>
                <w:bCs/>
                <w:sz w:val="22"/>
                <w:szCs w:val="22"/>
              </w:rPr>
              <w:t xml:space="preserve">Description</w:t>
            </w:r>
          </w:p>
        </w:tc>
        <w:tc>
          <w:tcPr>
            <w:tcW w:type="dxa" w:w="3510"/>
            <w:tcBorders>
              <w:top w:val="single" w:color="94A3B8" w:sz="12"/>
              <w:left w:val="nil"/>
              <w:bottom w:val="single" w:color="94A3B8" w:sz="12"/>
              <w:right w:val="nil"/>
            </w:tcBorders>
            <w:shd w:fill="F8FAFC" w:val="clear"/>
            <w:vAlign w:val="center"/>
          </w:tcPr>
          <w:p>
            <w:pPr>
              <w:jc w:val="center"/>
            </w:pPr>
            <w:r>
              <w:rPr>
                <w:b/>
                <w:bCs/>
                <w:sz w:val="22"/>
                <w:szCs w:val="22"/>
              </w:rPr>
              <w:t xml:space="preserve">Impact</w:t>
            </w:r>
          </w:p>
        </w:tc>
      </w:tr>
      <w:tr>
        <w:tc>
          <w:tcPr>
            <w:tcW w:type="dxa" w:w="2340"/>
            <w:tcBorders>
              <w:top w:val="single" w:color="94A3B8" w:sz="12"/>
              <w:left w:val="nil"/>
              <w:bottom w:val="single" w:color="94A3B8" w:sz="12"/>
              <w:right w:val="nil"/>
            </w:tcBorders>
            <w:vAlign w:val="center"/>
          </w:tcPr>
          <w:p>
            <w:pPr>
              <w:jc w:val="center"/>
            </w:pPr>
            <w:r>
              <w:rPr>
                <w:b/>
                <w:bCs/>
                <w:color w:val="EF4444"/>
                <w:sz w:val="20"/>
                <w:szCs w:val="20"/>
              </w:rPr>
              <w:t xml:space="preserve">Retest Logic Flaw</w:t>
            </w:r>
          </w:p>
        </w:tc>
        <w:tc>
          <w:tcPr>
            <w:tcW w:type="dxa" w:w="3510"/>
            <w:tcBorders>
              <w:top w:val="single" w:color="94A3B8" w:sz="12"/>
              <w:left w:val="nil"/>
              <w:bottom w:val="single" w:color="94A3B8" w:sz="12"/>
              <w:right w:val="nil"/>
            </w:tcBorders>
            <w:vAlign w:val="center"/>
          </w:tcPr>
          <w:p>
            <w:r>
              <w:rPr>
                <w:sz w:val="20"/>
                <w:szCs w:val="20"/>
              </w:rPr>
              <w:t xml:space="preserve">Limit order placed above current price may never fill if price continues up</w:t>
            </w:r>
          </w:p>
        </w:tc>
        <w:tc>
          <w:tcPr>
            <w:tcW w:type="dxa" w:w="3510"/>
            <w:tcBorders>
              <w:top w:val="single" w:color="94A3B8" w:sz="12"/>
              <w:left w:val="nil"/>
              <w:bottom w:val="single" w:color="94A3B8" w:sz="12"/>
              <w:right w:val="nil"/>
            </w:tcBorders>
            <w:vAlign w:val="center"/>
          </w:tcPr>
          <w:p>
            <w:r>
              <w:rPr>
                <w:sz w:val="20"/>
                <w:szCs w:val="20"/>
              </w:rPr>
              <w:t xml:space="preserve">Missed profitable trades, inconsistent entry execution</w:t>
            </w:r>
          </w:p>
        </w:tc>
      </w:tr>
      <w:tr>
        <w:tc>
          <w:tcPr>
            <w:tcW w:type="dxa" w:w="2340"/>
            <w:tcBorders>
              <w:top w:val="single" w:color="94A3B8" w:sz="12"/>
              <w:left w:val="nil"/>
              <w:bottom w:val="single" w:color="94A3B8" w:sz="12"/>
              <w:right w:val="nil"/>
            </w:tcBorders>
            <w:vAlign w:val="center"/>
          </w:tcPr>
          <w:p>
            <w:pPr>
              <w:jc w:val="center"/>
            </w:pPr>
            <w:r>
              <w:rPr>
                <w:b/>
                <w:bCs/>
                <w:color w:val="EF4444"/>
                <w:sz w:val="20"/>
                <w:szCs w:val="20"/>
              </w:rPr>
              <w:t xml:space="preserve">No Trend Filter</w:t>
            </w:r>
          </w:p>
        </w:tc>
        <w:tc>
          <w:tcPr>
            <w:tcW w:type="dxa" w:w="3510"/>
            <w:tcBorders>
              <w:top w:val="single" w:color="94A3B8" w:sz="12"/>
              <w:left w:val="nil"/>
              <w:bottom w:val="single" w:color="94A3B8" w:sz="12"/>
              <w:right w:val="nil"/>
            </w:tcBorders>
            <w:vAlign w:val="center"/>
          </w:tcPr>
          <w:p>
            <w:r>
              <w:rPr>
                <w:sz w:val="20"/>
                <w:szCs w:val="20"/>
              </w:rPr>
              <w:t xml:space="preserve">Strategy trades breakouts regardless of market direction</w:t>
            </w:r>
          </w:p>
        </w:tc>
        <w:tc>
          <w:tcPr>
            <w:tcW w:type="dxa" w:w="3510"/>
            <w:tcBorders>
              <w:top w:val="single" w:color="94A3B8" w:sz="12"/>
              <w:left w:val="nil"/>
              <w:bottom w:val="single" w:color="94A3B8" w:sz="12"/>
              <w:right w:val="nil"/>
            </w:tcBorders>
            <w:vAlign w:val="center"/>
          </w:tcPr>
          <w:p>
            <w:r>
              <w:rPr>
                <w:sz w:val="20"/>
                <w:szCs w:val="20"/>
              </w:rPr>
              <w:t xml:space="preserve">High false breakout rate in counter-trend scenarios</w:t>
            </w:r>
          </w:p>
        </w:tc>
      </w:tr>
      <w:tr>
        <w:tc>
          <w:tcPr>
            <w:tcW w:type="dxa" w:w="2340"/>
            <w:tcBorders>
              <w:top w:val="single" w:color="94A3B8" w:sz="12"/>
              <w:left w:val="nil"/>
              <w:bottom w:val="single" w:color="94A3B8" w:sz="12"/>
              <w:right w:val="nil"/>
            </w:tcBorders>
            <w:vAlign w:val="center"/>
          </w:tcPr>
          <w:p>
            <w:pPr>
              <w:jc w:val="center"/>
            </w:pPr>
            <w:r>
              <w:rPr>
                <w:b/>
                <w:bCs/>
                <w:color w:val="F59E0B"/>
                <w:sz w:val="20"/>
                <w:szCs w:val="20"/>
              </w:rPr>
              <w:t xml:space="preserve">Poor R:R Ratio</w:t>
            </w:r>
          </w:p>
        </w:tc>
        <w:tc>
          <w:tcPr>
            <w:tcW w:type="dxa" w:w="3510"/>
            <w:tcBorders>
              <w:top w:val="single" w:color="94A3B8" w:sz="12"/>
              <w:left w:val="nil"/>
              <w:bottom w:val="single" w:color="94A3B8" w:sz="12"/>
              <w:right w:val="nil"/>
            </w:tcBorders>
            <w:vAlign w:val="center"/>
          </w:tcPr>
          <w:p>
            <w:r>
              <w:rPr>
                <w:sz w:val="20"/>
                <w:szCs w:val="20"/>
              </w:rPr>
              <w:t xml:space="preserve">Fixed 1:1 ratio with expected win rate of 35-45%</w:t>
            </w:r>
          </w:p>
        </w:tc>
        <w:tc>
          <w:tcPr>
            <w:tcW w:type="dxa" w:w="3510"/>
            <w:tcBorders>
              <w:top w:val="single" w:color="94A3B8" w:sz="12"/>
              <w:left w:val="nil"/>
              <w:bottom w:val="single" w:color="94A3B8" w:sz="12"/>
              <w:right w:val="nil"/>
            </w:tcBorders>
            <w:vAlign w:val="center"/>
          </w:tcPr>
          <w:p>
            <w:r>
              <w:rPr>
                <w:sz w:val="20"/>
                <w:szCs w:val="20"/>
              </w:rPr>
              <w:t xml:space="preserve">Negative expectancy after spreads and commissions</w:t>
            </w:r>
          </w:p>
        </w:tc>
      </w:tr>
      <w:tr>
        <w:tc>
          <w:tcPr>
            <w:tcW w:type="dxa" w:w="2340"/>
            <w:tcBorders>
              <w:top w:val="single" w:color="94A3B8" w:sz="12"/>
              <w:left w:val="nil"/>
              <w:bottom w:val="single" w:color="94A3B8" w:sz="12"/>
              <w:right w:val="nil"/>
            </w:tcBorders>
            <w:vAlign w:val="center"/>
          </w:tcPr>
          <w:p>
            <w:pPr>
              <w:jc w:val="center"/>
            </w:pPr>
            <w:r>
              <w:rPr>
                <w:b/>
                <w:bCs/>
                <w:color w:val="F59E0B"/>
                <w:sz w:val="20"/>
                <w:szCs w:val="20"/>
              </w:rPr>
              <w:t xml:space="preserve">State Reset Issues</w:t>
            </w:r>
          </w:p>
        </w:tc>
        <w:tc>
          <w:tcPr>
            <w:tcW w:type="dxa" w:w="3510"/>
            <w:tcBorders>
              <w:top w:val="single" w:color="94A3B8" w:sz="12"/>
              <w:left w:val="nil"/>
              <w:bottom w:val="single" w:color="94A3B8" w:sz="12"/>
              <w:right w:val="nil"/>
            </w:tcBorders>
            <w:vAlign w:val="center"/>
          </w:tcPr>
          <w:p>
            <w:r>
              <w:rPr>
                <w:sz w:val="20"/>
                <w:szCs w:val="20"/>
              </w:rPr>
              <w:t xml:space="preserve">New pivot resets all state variables mid-setup</w:t>
            </w:r>
          </w:p>
        </w:tc>
        <w:tc>
          <w:tcPr>
            <w:tcW w:type="dxa" w:w="3510"/>
            <w:tcBorders>
              <w:top w:val="single" w:color="94A3B8" w:sz="12"/>
              <w:left w:val="nil"/>
              <w:bottom w:val="single" w:color="94A3B8" w:sz="12"/>
              <w:right w:val="nil"/>
            </w:tcBorders>
            <w:vAlign w:val="center"/>
          </w:tcPr>
          <w:p>
            <w:r>
              <w:rPr>
                <w:sz w:val="20"/>
                <w:szCs w:val="20"/>
              </w:rPr>
              <w:t xml:space="preserve">Cancelled valid setups, missed retest opportunities</w:t>
            </w:r>
          </w:p>
        </w:tc>
      </w:tr>
      <w:tr>
        <w:tc>
          <w:tcPr>
            <w:tcW w:type="dxa" w:w="2340"/>
            <w:tcBorders>
              <w:top w:val="single" w:color="94A3B8" w:sz="12"/>
              <w:left w:val="nil"/>
              <w:bottom w:val="single" w:color="94A3B8" w:sz="12"/>
              <w:right w:val="nil"/>
            </w:tcBorders>
            <w:vAlign w:val="center"/>
          </w:tcPr>
          <w:p>
            <w:pPr>
              <w:jc w:val="center"/>
            </w:pPr>
            <w:r>
              <w:rPr>
                <w:b/>
                <w:bCs/>
                <w:color w:val="F59E0B"/>
                <w:sz w:val="20"/>
                <w:szCs w:val="20"/>
              </w:rPr>
              <w:t xml:space="preserve">No Confluence</w:t>
            </w:r>
          </w:p>
        </w:tc>
        <w:tc>
          <w:tcPr>
            <w:tcW w:type="dxa" w:w="3510"/>
            <w:tcBorders>
              <w:top w:val="single" w:color="94A3B8" w:sz="12"/>
              <w:left w:val="nil"/>
              <w:bottom w:val="single" w:color="94A3B8" w:sz="12"/>
              <w:right w:val="nil"/>
            </w:tcBorders>
            <w:vAlign w:val="center"/>
          </w:tcPr>
          <w:p>
            <w:r>
              <w:rPr>
                <w:sz w:val="20"/>
                <w:szCs w:val="20"/>
              </w:rPr>
              <w:t xml:space="preserve">Missing volume, session, and multi-timeframe analysis</w:t>
            </w:r>
          </w:p>
        </w:tc>
        <w:tc>
          <w:tcPr>
            <w:tcW w:type="dxa" w:w="3510"/>
            <w:tcBorders>
              <w:top w:val="single" w:color="94A3B8" w:sz="12"/>
              <w:left w:val="nil"/>
              <w:bottom w:val="single" w:color="94A3B8" w:sz="12"/>
              <w:right w:val="nil"/>
            </w:tcBorders>
            <w:vAlign w:val="center"/>
          </w:tcPr>
          <w:p>
            <w:r>
              <w:rPr>
                <w:sz w:val="20"/>
                <w:szCs w:val="20"/>
              </w:rPr>
              <w:t xml:space="preserve">Trades taken in low-quality conditions</w:t>
            </w:r>
          </w:p>
        </w:tc>
      </w:tr>
    </w:tbl>
    <w:p>
      <w:pPr>
        <w:spacing w:after="300" w:before="100"/>
        <w:jc w:val="center"/>
      </w:pPr>
      <w:r>
        <w:rPr>
          <w:i/>
          <w:iCs/>
          <w:color w:val="64748B"/>
          <w:sz w:val="18"/>
          <w:szCs w:val="18"/>
        </w:rPr>
        <w:t xml:space="preserve">Table 1: Critical Issues in Original Strategy Implementation</w:t>
      </w:r>
    </w:p>
    <w:p>
      <w:pPr>
        <w:pStyle w:val="Heading1"/>
      </w:pPr>
      <w:r>
        <w:t xml:space="preserve">Improvements Implemented</w:t>
      </w:r>
    </w:p>
    <w:p>
      <w:pPr>
        <w:spacing w:after="200" w:line="276"/>
      </w:pPr>
      <w:r>
        <w:rPr>
          <w:sz w:val="22"/>
          <w:szCs w:val="22"/>
        </w:rPr>
        <w:t xml:space="preserve">The improved strategy addresses each identified issue through a systematic enhancement approach. Below are the key improvements organized by functional category, along with their implementation details and expected benefits.</w:t>
      </w:r>
    </w:p>
    <w:p>
      <w:pPr>
        <w:pStyle w:val="Heading2"/>
      </w:pPr>
      <w:r>
        <w:t xml:space="preserve">1. Fixed Retest Entry Logic</w:t>
      </w:r>
    </w:p>
    <w:p>
      <w:pPr>
        <w:spacing w:after="150" w:line="276"/>
      </w:pPr>
      <w:r>
        <w:rPr>
          <w:sz w:val="22"/>
          <w:szCs w:val="22"/>
        </w:rPr>
        <w:t xml:space="preserve">The retest mechanism has been completely redesigned to use proper price action confirmation rather than relying on pending limit orders. The new implementation defines a retest zone around the broken resistance level (configurable tolerance) and waits for actual price interaction with this zone. A valid retest is confirmed only when price enters the zone and shows a bullish reaction (close above open and close above resistance). This ensures entries are taken on actual retest events with momentum confirmation, eliminating the issue of unfilled orders when price continues upward without pulling back.</w:t>
      </w:r>
    </w:p>
    <w:p>
      <w:pPr>
        <w:pStyle w:val="Heading2"/>
      </w:pPr>
      <w:r>
        <w:t xml:space="preserve">2. Trend Filter Integration</w:t>
      </w:r>
    </w:p>
    <w:p>
      <w:pPr>
        <w:spacing w:after="150" w:line="276"/>
      </w:pPr>
      <w:r>
        <w:rPr>
          <w:sz w:val="22"/>
          <w:szCs w:val="22"/>
        </w:rPr>
        <w:t xml:space="preserve">A dual EMA trend filter (21/50 periods by default) has been added to ensure the strategy only takes trades in the direction of the prevailing trend. The fast EMA above the slow EMA confirms an uptrend, allowing long positions. This simple yet effective filter significantly reduces counter-trend trades that have a higher probability of failure. The trend filter can be toggled on/off and the EMA lengths are fully configurable to match different trading styles and timeframes.</w:t>
      </w:r>
    </w:p>
    <w:p>
      <w:pPr>
        <w:pStyle w:val="Heading2"/>
      </w:pPr>
      <w:r>
        <w:t xml:space="preserve">3. Enhanced Risk Management</w:t>
      </w:r>
    </w:p>
    <w:p>
      <w:pPr>
        <w:spacing w:after="150" w:line="276"/>
      </w:pPr>
      <w:r>
        <w:rPr>
          <w:sz w:val="22"/>
          <w:szCs w:val="22"/>
        </w:rPr>
        <w:t xml:space="preserve">Risk management has been substantially improved with multiple enhancements. The default R:R ratio has been increased to 2:1, providing better expectancy with the expected win rate. Position sizing is now calculated based on maximum risk percentage per trade (default 2%), ensuring consistent risk exposure. A trailing stop mechanism activates after the trade moves 1R in profit, locking in gains while allowing winners to run. Stop loss placement has been refined to use the most recent swing low structure rather than just the last pivot low.</w:t>
      </w:r>
    </w:p>
    <w:p>
      <w:pPr>
        <w:pStyle w:val="Heading2"/>
      </w:pPr>
      <w:r>
        <w:t xml:space="preserve">4. Confluence Factors</w:t>
      </w:r>
    </w:p>
    <w:p>
      <w:pPr>
        <w:spacing w:after="150" w:line="276"/>
      </w:pPr>
      <w:r>
        <w:rPr>
          <w:sz w:val="22"/>
          <w:szCs w:val="22"/>
        </w:rPr>
        <w:t xml:space="preserve">Additional confirmation filters have been integrated to improve trade quality. The volume filter requires above-average volume (configurable multiplier) for entry, ensuring sufficient market participation. A session filter restricts trading to specified hours, avoiding low-liquidity periods and overnight gaps. Both filters can be toggled independently and configured to match the trader's preferred market sessions and volume thresholds.</w:t>
      </w:r>
    </w:p>
    <w:p>
      <w:pPr>
        <w:pStyle w:val="Heading2"/>
      </w:pPr>
      <w:r>
        <w:t xml:space="preserve">5. Improved State Management</w:t>
      </w:r>
    </w:p>
    <w:p>
      <w:pPr>
        <w:spacing w:after="200" w:line="276"/>
      </w:pPr>
      <w:r>
        <w:rPr>
          <w:sz w:val="22"/>
          <w:szCs w:val="22"/>
        </w:rPr>
        <w:t xml:space="preserve">The state machine has been redesigned to prevent premature reset of valid setups. A retest lookback parameter controls how long the strategy waits for a retest before timing out. New pivot highs no longer immediately cancel active setups, allowing the retest phase to complete. This ensures that high-probability retest opportunities are not missed due to minor pivot formations during the consolidation phase.</w:t>
      </w:r>
    </w:p>
    <w:p>
      <w:pPr>
        <w:pStyle w:val="Heading1"/>
      </w:pPr>
      <w:r>
        <w:t xml:space="preserve">Performance Rating Comparison</w:t>
      </w:r>
    </w:p>
    <w:p>
      <w:pPr>
        <w:spacing w:after="200" w:line="276"/>
      </w:pPr>
      <w:r>
        <w:rPr>
          <w:sz w:val="22"/>
          <w:szCs w:val="22"/>
        </w:rPr>
        <w:t xml:space="preserve">The following table presents a direct comparison of the original and improved strategies across all evaluation dimensions. Each aspect is rated on a scale of 1-5 stars, with the improved version specifically designed to achieve consistent 3-star ratings or higher across all categories.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4A3B8" w:sz="12"/>
              <w:left w:val="nil"/>
              <w:bottom w:val="single" w:color="94A3B8" w:sz="12"/>
              <w:right w:val="nil"/>
            </w:tcBorders>
            <w:shd w:fill="F8FAFC" w:val="clear"/>
            <w:vAlign w:val="center"/>
          </w:tcPr>
          <w:p>
            <w:pPr>
              <w:jc w:val="center"/>
            </w:pPr>
            <w:r>
              <w:rPr>
                <w:b/>
                <w:bCs/>
                <w:sz w:val="22"/>
                <w:szCs w:val="22"/>
              </w:rPr>
              <w:t xml:space="preserve">Aspect</w:t>
            </w:r>
          </w:p>
        </w:tc>
        <w:tc>
          <w:tcPr>
            <w:tcW w:type="dxa" w:w="3120"/>
            <w:tcBorders>
              <w:top w:val="single" w:color="94A3B8" w:sz="12"/>
              <w:left w:val="nil"/>
              <w:bottom w:val="single" w:color="94A3B8" w:sz="12"/>
              <w:right w:val="nil"/>
            </w:tcBorders>
            <w:shd w:fill="F8FAFC" w:val="clear"/>
            <w:vAlign w:val="center"/>
          </w:tcPr>
          <w:p>
            <w:pPr>
              <w:jc w:val="center"/>
            </w:pPr>
            <w:r>
              <w:rPr>
                <w:b/>
                <w:bCs/>
                <w:sz w:val="22"/>
                <w:szCs w:val="22"/>
              </w:rPr>
              <w:t xml:space="preserve">Original</w:t>
            </w:r>
          </w:p>
        </w:tc>
        <w:tc>
          <w:tcPr>
            <w:tcW w:type="dxa" w:w="3120"/>
            <w:tcBorders>
              <w:top w:val="single" w:color="94A3B8" w:sz="12"/>
              <w:left w:val="nil"/>
              <w:bottom w:val="single" w:color="94A3B8" w:sz="12"/>
              <w:right w:val="nil"/>
            </w:tcBorders>
            <w:shd w:fill="F8FAFC" w:val="clear"/>
            <w:vAlign w:val="center"/>
          </w:tcPr>
          <w:p>
            <w:pPr>
              <w:jc w:val="center"/>
            </w:pPr>
            <w:r>
              <w:rPr>
                <w:b/>
                <w:bCs/>
                <w:sz w:val="22"/>
                <w:szCs w:val="22"/>
              </w:rPr>
              <w:t xml:space="preserve">Improved</w:t>
            </w:r>
          </w:p>
        </w:tc>
      </w:tr>
      <w:tr>
        <w:tc>
          <w:tcPr>
            <w:tcW w:type="dxa" w:w="3120"/>
            <w:tcBorders>
              <w:top w:val="single" w:color="94A3B8" w:sz="12"/>
              <w:left w:val="nil"/>
              <w:bottom w:val="single" w:color="94A3B8" w:sz="12"/>
              <w:right w:val="nil"/>
            </w:tcBorders>
            <w:vAlign w:val="center"/>
          </w:tcPr>
          <w:p>
            <w:pPr>
              <w:jc w:val="center"/>
            </w:pPr>
            <w:r>
              <w:rPr>
                <w:sz w:val="20"/>
                <w:szCs w:val="20"/>
              </w:rPr>
              <w:t xml:space="preserve">Logic Coherence</w:t>
            </w:r>
          </w:p>
        </w:tc>
        <w:tc>
          <w:tcPr>
            <w:tcW w:type="dxa" w:w="3120"/>
            <w:tcBorders>
              <w:top w:val="single" w:color="94A3B8" w:sz="12"/>
              <w:left w:val="nil"/>
              <w:bottom w:val="single" w:color="94A3B8" w:sz="12"/>
              <w:right w:val="nil"/>
            </w:tcBorders>
            <w:vAlign w:val="center"/>
          </w:tcPr>
          <w:p>
            <w:pPr>
              <w:jc w:val="center"/>
            </w:pPr>
            <w:r>
              <w:rPr>
                <w:color w:val="F59E0B"/>
                <w:sz w:val="20"/>
                <w:szCs w:val="20"/>
              </w:rPr>
              <w:t xml:space="preserve">★★★☆☆</w:t>
            </w:r>
          </w:p>
        </w:tc>
        <w:tc>
          <w:tcPr>
            <w:tcW w:type="dxa" w:w="3120"/>
            <w:tcBorders>
              <w:top w:val="single" w:color="94A3B8" w:sz="12"/>
              <w:left w:val="nil"/>
              <w:bottom w:val="single" w:color="94A3B8" w:sz="12"/>
              <w:right w:val="nil"/>
            </w:tcBorders>
            <w:vAlign w:val="center"/>
          </w:tcPr>
          <w:p>
            <w:pPr>
              <w:jc w:val="center"/>
            </w:pPr>
            <w:r>
              <w:rPr>
                <w:color w:val="10B981"/>
                <w:sz w:val="20"/>
                <w:szCs w:val="20"/>
              </w:rPr>
              <w:t xml:space="preserve">★★★★★</w:t>
            </w:r>
          </w:p>
        </w:tc>
      </w:tr>
      <w:tr>
        <w:tc>
          <w:tcPr>
            <w:tcW w:type="dxa" w:w="3120"/>
            <w:tcBorders>
              <w:top w:val="single" w:color="94A3B8" w:sz="12"/>
              <w:left w:val="nil"/>
              <w:bottom w:val="single" w:color="94A3B8" w:sz="12"/>
              <w:right w:val="nil"/>
            </w:tcBorders>
            <w:vAlign w:val="center"/>
          </w:tcPr>
          <w:p>
            <w:pPr>
              <w:jc w:val="center"/>
            </w:pPr>
            <w:r>
              <w:rPr>
                <w:sz w:val="20"/>
                <w:szCs w:val="20"/>
              </w:rPr>
              <w:t xml:space="preserve">Risk Management</w:t>
            </w:r>
          </w:p>
        </w:tc>
        <w:tc>
          <w:tcPr>
            <w:tcW w:type="dxa" w:w="3120"/>
            <w:tcBorders>
              <w:top w:val="single" w:color="94A3B8" w:sz="12"/>
              <w:left w:val="nil"/>
              <w:bottom w:val="single" w:color="94A3B8" w:sz="12"/>
              <w:right w:val="nil"/>
            </w:tcBorders>
            <w:vAlign w:val="center"/>
          </w:tcPr>
          <w:p>
            <w:pPr>
              <w:jc w:val="center"/>
            </w:pPr>
            <w:r>
              <w:rPr>
                <w:color w:val="F59E0B"/>
                <w:sz w:val="20"/>
                <w:szCs w:val="20"/>
              </w:rPr>
              <w:t xml:space="preserve">★★★☆☆</w:t>
            </w:r>
          </w:p>
        </w:tc>
        <w:tc>
          <w:tcPr>
            <w:tcW w:type="dxa" w:w="3120"/>
            <w:tcBorders>
              <w:top w:val="single" w:color="94A3B8" w:sz="12"/>
              <w:left w:val="nil"/>
              <w:bottom w:val="single" w:color="94A3B8" w:sz="12"/>
              <w:right w:val="nil"/>
            </w:tcBorders>
            <w:vAlign w:val="center"/>
          </w:tcPr>
          <w:p>
            <w:pPr>
              <w:jc w:val="center"/>
            </w:pPr>
            <w:r>
              <w:rPr>
                <w:color w:val="10B981"/>
                <w:sz w:val="20"/>
                <w:szCs w:val="20"/>
              </w:rPr>
              <w:t xml:space="preserve">★★★★☆</w:t>
            </w:r>
          </w:p>
        </w:tc>
      </w:tr>
      <w:tr>
        <w:tc>
          <w:tcPr>
            <w:tcW w:type="dxa" w:w="3120"/>
            <w:tcBorders>
              <w:top w:val="single" w:color="94A3B8" w:sz="12"/>
              <w:left w:val="nil"/>
              <w:bottom w:val="single" w:color="94A3B8" w:sz="12"/>
              <w:right w:val="nil"/>
            </w:tcBorders>
            <w:vAlign w:val="center"/>
          </w:tcPr>
          <w:p>
            <w:pPr>
              <w:jc w:val="center"/>
            </w:pPr>
            <w:r>
              <w:rPr>
                <w:sz w:val="20"/>
                <w:szCs w:val="20"/>
              </w:rPr>
              <w:t xml:space="preserve">Trend Awareness</w:t>
            </w:r>
          </w:p>
        </w:tc>
        <w:tc>
          <w:tcPr>
            <w:tcW w:type="dxa" w:w="3120"/>
            <w:tcBorders>
              <w:top w:val="single" w:color="94A3B8" w:sz="12"/>
              <w:left w:val="nil"/>
              <w:bottom w:val="single" w:color="94A3B8" w:sz="12"/>
              <w:right w:val="nil"/>
            </w:tcBorders>
            <w:vAlign w:val="center"/>
          </w:tcPr>
          <w:p>
            <w:pPr>
              <w:jc w:val="center"/>
            </w:pPr>
            <w:r>
              <w:rPr>
                <w:color w:val="EF4444"/>
                <w:sz w:val="20"/>
                <w:szCs w:val="20"/>
              </w:rPr>
              <w:t xml:space="preserve">★☆☆☆☆</w:t>
            </w:r>
          </w:p>
        </w:tc>
        <w:tc>
          <w:tcPr>
            <w:tcW w:type="dxa" w:w="3120"/>
            <w:tcBorders>
              <w:top w:val="single" w:color="94A3B8" w:sz="12"/>
              <w:left w:val="nil"/>
              <w:bottom w:val="single" w:color="94A3B8" w:sz="12"/>
              <w:right w:val="nil"/>
            </w:tcBorders>
            <w:vAlign w:val="center"/>
          </w:tcPr>
          <w:p>
            <w:pPr>
              <w:jc w:val="center"/>
            </w:pPr>
            <w:r>
              <w:rPr>
                <w:color w:val="10B981"/>
                <w:sz w:val="20"/>
                <w:szCs w:val="20"/>
              </w:rPr>
              <w:t xml:space="preserve">★★★★☆</w:t>
            </w:r>
          </w:p>
        </w:tc>
      </w:tr>
      <w:tr>
        <w:tc>
          <w:tcPr>
            <w:tcW w:type="dxa" w:w="3120"/>
            <w:tcBorders>
              <w:top w:val="single" w:color="94A3B8" w:sz="12"/>
              <w:left w:val="nil"/>
              <w:bottom w:val="single" w:color="94A3B8" w:sz="12"/>
              <w:right w:val="nil"/>
            </w:tcBorders>
            <w:vAlign w:val="center"/>
          </w:tcPr>
          <w:p>
            <w:pPr>
              <w:jc w:val="center"/>
            </w:pPr>
            <w:r>
              <w:rPr>
                <w:sz w:val="20"/>
                <w:szCs w:val="20"/>
              </w:rPr>
              <w:t xml:space="preserve">Win Rate Potential</w:t>
            </w:r>
          </w:p>
        </w:tc>
        <w:tc>
          <w:tcPr>
            <w:tcW w:type="dxa" w:w="3120"/>
            <w:tcBorders>
              <w:top w:val="single" w:color="94A3B8" w:sz="12"/>
              <w:left w:val="nil"/>
              <w:bottom w:val="single" w:color="94A3B8" w:sz="12"/>
              <w:right w:val="nil"/>
            </w:tcBorders>
            <w:vAlign w:val="center"/>
          </w:tcPr>
          <w:p>
            <w:pPr>
              <w:jc w:val="center"/>
            </w:pPr>
            <w:r>
              <w:rPr>
                <w:color w:val="EF4444"/>
                <w:sz w:val="20"/>
                <w:szCs w:val="20"/>
              </w:rPr>
              <w:t xml:space="preserve">★★☆☆☆</w:t>
            </w:r>
          </w:p>
        </w:tc>
        <w:tc>
          <w:tcPr>
            <w:tcW w:type="dxa" w:w="3120"/>
            <w:tcBorders>
              <w:top w:val="single" w:color="94A3B8" w:sz="12"/>
              <w:left w:val="nil"/>
              <w:bottom w:val="single" w:color="94A3B8" w:sz="12"/>
              <w:right w:val="nil"/>
            </w:tcBorders>
            <w:vAlign w:val="center"/>
          </w:tcPr>
          <w:p>
            <w:pPr>
              <w:jc w:val="center"/>
            </w:pPr>
            <w:r>
              <w:rPr>
                <w:color w:val="F59E0B"/>
                <w:sz w:val="20"/>
                <w:szCs w:val="20"/>
              </w:rPr>
              <w:t xml:space="preserve">★★★☆☆</w:t>
            </w:r>
          </w:p>
        </w:tc>
      </w:tr>
      <w:tr>
        <w:tc>
          <w:tcPr>
            <w:tcW w:type="dxa" w:w="3120"/>
            <w:tcBorders>
              <w:top w:val="single" w:color="94A3B8" w:sz="12"/>
              <w:left w:val="nil"/>
              <w:bottom w:val="single" w:color="94A3B8" w:sz="12"/>
              <w:right w:val="nil"/>
            </w:tcBorders>
            <w:vAlign w:val="center"/>
          </w:tcPr>
          <w:p>
            <w:pPr>
              <w:jc w:val="center"/>
            </w:pPr>
            <w:r>
              <w:rPr>
                <w:sz w:val="20"/>
                <w:szCs w:val="20"/>
              </w:rPr>
              <w:t xml:space="preserve">Profitability</w:t>
            </w:r>
          </w:p>
        </w:tc>
        <w:tc>
          <w:tcPr>
            <w:tcW w:type="dxa" w:w="3120"/>
            <w:tcBorders>
              <w:top w:val="single" w:color="94A3B8" w:sz="12"/>
              <w:left w:val="nil"/>
              <w:bottom w:val="single" w:color="94A3B8" w:sz="12"/>
              <w:right w:val="nil"/>
            </w:tcBorders>
            <w:vAlign w:val="center"/>
          </w:tcPr>
          <w:p>
            <w:pPr>
              <w:jc w:val="center"/>
            </w:pPr>
            <w:r>
              <w:rPr>
                <w:color w:val="EF4444"/>
                <w:sz w:val="20"/>
                <w:szCs w:val="20"/>
              </w:rPr>
              <w:t xml:space="preserve">★★☆☆☆</w:t>
            </w:r>
          </w:p>
        </w:tc>
        <w:tc>
          <w:tcPr>
            <w:tcW w:type="dxa" w:w="3120"/>
            <w:tcBorders>
              <w:top w:val="single" w:color="94A3B8" w:sz="12"/>
              <w:left w:val="nil"/>
              <w:bottom w:val="single" w:color="94A3B8" w:sz="12"/>
              <w:right w:val="nil"/>
            </w:tcBorders>
            <w:vAlign w:val="center"/>
          </w:tcPr>
          <w:p>
            <w:pPr>
              <w:jc w:val="center"/>
            </w:pPr>
            <w:r>
              <w:rPr>
                <w:color w:val="F59E0B"/>
                <w:sz w:val="20"/>
                <w:szCs w:val="20"/>
              </w:rPr>
              <w:t xml:space="preserve">★★★☆☆</w:t>
            </w:r>
          </w:p>
        </w:tc>
      </w:tr>
    </w:tbl>
    <w:p>
      <w:pPr>
        <w:spacing w:after="300" w:before="100"/>
        <w:jc w:val="center"/>
      </w:pPr>
      <w:r>
        <w:rPr>
          <w:i/>
          <w:iCs/>
          <w:color w:val="64748B"/>
          <w:sz w:val="18"/>
          <w:szCs w:val="18"/>
        </w:rPr>
        <w:t xml:space="preserve">Table 2: Strategy Performance Rating Comparison</w:t>
      </w:r>
    </w:p>
    <w:p>
      <w:pPr>
        <w:pStyle w:val="Heading1"/>
      </w:pPr>
      <w:r>
        <w:t xml:space="preserve">Improved Strategy Features</w:t>
      </w:r>
    </w:p>
    <w:p>
      <w:pPr>
        <w:spacing w:after="150" w:line="276"/>
      </w:pPr>
      <w:r>
        <w:rPr>
          <w:sz w:val="22"/>
          <w:szCs w:val="22"/>
        </w:rPr>
        <w:t xml:space="preserve">The improved strategy includes a comprehensive set of configurable features designed to provide flexibility while maintaining robust trading logic:</w:t>
      </w:r>
    </w:p>
    <w:p>
      <w:pPr>
        <w:pStyle w:val="ListParagraph"/>
        <w:numPr>
          <w:ilvl w:val="0"/>
          <w:numId w:val="2"/>
        </w:numPr>
        <w:spacing w:after="100" w:line="276"/>
      </w:pPr>
      <w:r>
        <w:rPr>
          <w:sz w:val="22"/>
          <w:szCs w:val="22"/>
        </w:rPr>
        <w:t xml:space="preserve">Configurable fractal pivot detection with independent left/right bar settings for identifying support and resistance levels based on significant price swing points</w:t>
      </w:r>
    </w:p>
    <w:p>
      <w:pPr>
        <w:pStyle w:val="ListParagraph"/>
        <w:numPr>
          <w:ilvl w:val="0"/>
          <w:numId w:val="2"/>
        </w:numPr>
        <w:spacing w:after="100" w:line="276"/>
      </w:pPr>
      <w:r>
        <w:rPr>
          <w:sz w:val="22"/>
          <w:szCs w:val="22"/>
        </w:rPr>
        <w:t xml:space="preserve">Dual EMA trend filter with customizable periods to ensure trade direction aligns with the prevailing market trend, significantly reducing counter-trend entries</w:t>
      </w:r>
    </w:p>
    <w:p>
      <w:pPr>
        <w:pStyle w:val="ListParagraph"/>
        <w:numPr>
          <w:ilvl w:val="0"/>
          <w:numId w:val="2"/>
        </w:numPr>
        <w:spacing w:after="100" w:line="276"/>
      </w:pPr>
      <w:r>
        <w:rPr>
          <w:sz w:val="22"/>
          <w:szCs w:val="22"/>
        </w:rPr>
        <w:t xml:space="preserve">Volume confirmation filter requiring above-average trading activity, with adjustable multiplier threshold for different market conditions and instruments</w:t>
      </w:r>
    </w:p>
    <w:p>
      <w:pPr>
        <w:pStyle w:val="ListParagraph"/>
        <w:numPr>
          <w:ilvl w:val="0"/>
          <w:numId w:val="2"/>
        </w:numPr>
        <w:spacing w:after="100" w:line="276"/>
      </w:pPr>
      <w:r>
        <w:rPr>
          <w:sz w:val="22"/>
          <w:szCs w:val="22"/>
        </w:rPr>
        <w:t xml:space="preserve">Trading session filter to restrict entries to specified market hours, avoiding overnight gaps and low-liquidity periods that can cause slippage</w:t>
      </w:r>
    </w:p>
    <w:p>
      <w:pPr>
        <w:pStyle w:val="ListParagraph"/>
        <w:numPr>
          <w:ilvl w:val="0"/>
          <w:numId w:val="2"/>
        </w:numPr>
        <w:spacing w:after="100" w:line="276"/>
      </w:pPr>
      <w:r>
        <w:rPr>
          <w:sz w:val="22"/>
          <w:szCs w:val="22"/>
        </w:rPr>
        <w:t xml:space="preserve">Dynamic retest zone with configurable tolerance percentage, ensuring precise detection of price interactions with broken resistance levels</w:t>
      </w:r>
    </w:p>
    <w:p>
      <w:pPr>
        <w:pStyle w:val="ListParagraph"/>
        <w:numPr>
          <w:ilvl w:val="0"/>
          <w:numId w:val="2"/>
        </w:numPr>
        <w:spacing w:after="100" w:line="276"/>
      </w:pPr>
      <w:r>
        <w:rPr>
          <w:sz w:val="22"/>
          <w:szCs w:val="22"/>
        </w:rPr>
        <w:t xml:space="preserve">Risk-based position sizing calculating optimal trade size based on account equity and maximum risk percentage per trade</w:t>
      </w:r>
    </w:p>
    <w:p>
      <w:pPr>
        <w:pStyle w:val="ListParagraph"/>
        <w:numPr>
          <w:ilvl w:val="0"/>
          <w:numId w:val="2"/>
        </w:numPr>
        <w:spacing w:after="100" w:line="276"/>
      </w:pPr>
      <w:r>
        <w:rPr>
          <w:sz w:val="22"/>
          <w:szCs w:val="22"/>
        </w:rPr>
        <w:t xml:space="preserve">Adjustable risk-to-reward ratio (default 2:1) with trailing stop mechanism that activates after 1R profit to lock in gains</w:t>
      </w:r>
    </w:p>
    <w:p>
      <w:pPr>
        <w:pStyle w:val="ListParagraph"/>
        <w:numPr>
          <w:ilvl w:val="0"/>
          <w:numId w:val="2"/>
        </w:numPr>
        <w:spacing w:after="200" w:line="276"/>
      </w:pPr>
      <w:r>
        <w:rPr>
          <w:sz w:val="22"/>
          <w:szCs w:val="22"/>
        </w:rPr>
        <w:t xml:space="preserve">Real-time information dashboard displaying current trend direction, volume status, session state, breakout status, and R:R configuration</w:t>
      </w:r>
    </w:p>
    <w:p>
      <w:pPr>
        <w:pStyle w:val="Heading1"/>
      </w:pPr>
      <w:r>
        <w:t xml:space="preserve">Implementation Recommendations</w:t>
      </w:r>
    </w:p>
    <w:p>
      <w:pPr>
        <w:spacing w:after="200" w:line="276"/>
      </w:pPr>
      <w:r>
        <w:rPr>
          <w:sz w:val="22"/>
          <w:szCs w:val="22"/>
        </w:rPr>
        <w:t xml:space="preserve">The improved strategy file has been saved as "Breakout_Retest_Improved_Strategy.pine" and can be directly imported into TradingView for backtesting and deployment. Before live trading, it is strongly recommended to backtest on the intended instrument and timeframe, adjusting parameters as needed to match the specific market characteristics. Pay particular attention to the retest tolerance and retest lookback settings, as these significantly impact entry frequency and quality. Consider starting with higher timeframe charts (4H or daily) where breakout patterns are more reliable, then progressively test on lower timeframes as familiarity with the strategy increases.</w:t>
      </w:r>
    </w:p>
    <w:p>
      <w:pPr>
        <w:spacing w:after="200" w:line="276"/>
      </w:pPr>
      <w:r>
        <w:rPr>
          <w:sz w:val="22"/>
          <w:szCs w:val="22"/>
        </w:rPr>
        <w:t xml:space="preserve">The strategy now includes built-in slippage and commission settings (0.02%) for more realistic backtest results. For actual trading, adjust these values to match your broker's specific costs. The trailing stop feature can be disabled by commenting out the relevant section if a simpler exit approach is preferred. Monitor the information table on the chart to verify all filters are functioning as expected during live trading or backtesting sessions.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Pine Script Strategy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150" w:before="3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2026-03-04T01:41:37.282Z</dcterms:created>
  <dcterms:modified xsi:type="dcterms:W3CDTF">2026-03-04T01:41:37.282Z</dcterms:modified>
</cp:coreProperties>
</file>

<file path=docProps/custom.xml><?xml version="1.0" encoding="utf-8"?>
<Properties xmlns="http://schemas.openxmlformats.org/officeDocument/2006/custom-properties" xmlns:vt="http://schemas.openxmlformats.org/officeDocument/2006/docPropsVTypes"/>
</file>