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40"/>
        <w:jc w:val="center"/>
      </w:pPr>
      <w:r>
        <w:rPr>
          <w:rFonts w:ascii="Times New Roman" w:cs="Times New Roman" w:eastAsia="Times New Roman" w:hAnsi="Times New Roman"/>
          <w:color w:val="666666"/>
          <w:sz w:val="22"/>
          <w:szCs w:val="22"/>
        </w:rPr>
        <w:t xml:space="preserve">University for the Creative Arts, Farnham</w:t>
      </w:r>
    </w:p>
    <w:p>
      <w:pPr>
        <w:spacing w:after="40"/>
        <w:jc w:val="center"/>
      </w:pPr>
      <w:r>
        <w:rPr>
          <w:rFonts w:ascii="Times New Roman" w:cs="Times New Roman" w:eastAsia="Times New Roman" w:hAnsi="Times New Roman"/>
          <w:color w:val="666666"/>
          <w:sz w:val="22"/>
          <w:szCs w:val="22"/>
        </w:rPr>
        <w:t xml:space="preserve">MSc Human-Computer Interaction  |  FGCT7024 Final Major Project</w:t>
      </w:r>
    </w:p>
    <w:p>
      <w:pPr>
        <w:spacing w:after="400"/>
      </w:pPr>
      <w:r>
        <w:t xml:space="preserve"/>
      </w:r>
    </w:p>
    <w:p>
      <w:pPr>
        <w:spacing w:after="120"/>
        <w:jc w:val="center"/>
      </w:pPr>
      <w:r>
        <w:rPr>
          <w:rFonts w:ascii="Times New Roman" w:cs="Times New Roman" w:eastAsia="Times New Roman" w:hAnsi="Times New Roman"/>
          <w:b/>
          <w:bCs/>
          <w:color w:val="1A1A1A"/>
          <w:sz w:val="34"/>
          <w:szCs w:val="34"/>
        </w:rPr>
        <w:t xml:space="preserve">Modeling Trust Calibration in Human-AI Financial Decision Systems:</w:t>
      </w:r>
    </w:p>
    <w:p>
      <w:pPr>
        <w:spacing w:after="500"/>
        <w:jc w:val="center"/>
      </w:pPr>
      <w:r>
        <w:rPr>
          <w:rFonts w:ascii="Times New Roman" w:cs="Times New Roman" w:eastAsia="Times New Roman" w:hAnsi="Times New Roman"/>
          <w:b/>
          <w:bCs/>
          <w:i/>
          <w:iCs/>
          <w:color w:val="2E74B5"/>
          <w:sz w:val="28"/>
          <w:szCs w:val="28"/>
        </w:rPr>
        <w:t xml:space="preserve">A Behavioral and Interactional Perspective</w:t>
      </w:r>
    </w:p>
    <w:p>
      <w:pPr>
        <w:spacing w:after="80"/>
        <w:jc w:val="center"/>
      </w:pPr>
      <w:r>
        <w:rPr>
          <w:rFonts w:ascii="Times New Roman" w:cs="Times New Roman" w:eastAsia="Times New Roman" w:hAnsi="Times New Roman"/>
          <w:b/>
          <w:bCs/>
          <w:sz w:val="24"/>
          <w:szCs w:val="24"/>
        </w:rPr>
        <w:t xml:space="preserve">Abdulla Al Noman</w:t>
      </w:r>
    </w:p>
    <w:p>
      <w:pPr>
        <w:spacing w:after="40"/>
        <w:jc w:val="center"/>
      </w:pPr>
      <w:r>
        <w:rPr>
          <w:rFonts w:ascii="Times New Roman" w:cs="Times New Roman" w:eastAsia="Times New Roman" w:hAnsi="Times New Roman"/>
          <w:color w:val="666666"/>
          <w:sz w:val="22"/>
          <w:szCs w:val="22"/>
        </w:rPr>
        <w:t xml:space="preserve">Student ID: 2512710</w:t>
      </w:r>
    </w:p>
    <w:p>
      <w:pPr>
        <w:spacing w:after="40"/>
        <w:jc w:val="center"/>
      </w:pPr>
      <w:r>
        <w:rPr>
          <w:rFonts w:ascii="Times New Roman" w:cs="Times New Roman" w:eastAsia="Times New Roman" w:hAnsi="Times New Roman"/>
          <w:color w:val="666666"/>
          <w:sz w:val="22"/>
          <w:szCs w:val="22"/>
        </w:rPr>
        <w:t xml:space="preserve">Supervisor: Roderick Morgan</w:t>
      </w:r>
    </w:p>
    <w:p>
      <w:pPr>
        <w:spacing w:after="40"/>
        <w:jc w:val="center"/>
      </w:pPr>
      <w:r>
        <w:rPr>
          <w:rFonts w:ascii="Times New Roman" w:cs="Times New Roman" w:eastAsia="Times New Roman" w:hAnsi="Times New Roman"/>
          <w:color w:val="666666"/>
          <w:sz w:val="22"/>
          <w:szCs w:val="22"/>
        </w:rPr>
        <w:t xml:space="preserve">Word Count: 14,200 (approx.)</w:t>
      </w:r>
    </w:p>
    <w:p>
      <w:pPr>
        <w:spacing w:after="40"/>
        <w:jc w:val="center"/>
      </w:pPr>
      <w:r>
        <w:rPr>
          <w:rFonts w:ascii="Times New Roman" w:cs="Times New Roman" w:eastAsia="Times New Roman" w:hAnsi="Times New Roman"/>
          <w:color w:val="666666"/>
          <w:sz w:val="22"/>
          <w:szCs w:val="22"/>
        </w:rPr>
        <w:t xml:space="preserve">Submission Date: 8 September 2026</w:t>
      </w:r>
    </w:p>
    <w:p>
      <w:r>
        <w:br/>
      </w:r>
    </w:p>
    <w:p>
      <w:pPr>
        <w:pStyle w:val="Heading1"/>
        <w:spacing w:after="200" w:before="480"/>
      </w:pPr>
      <w:r>
        <w:rPr>
          <w:rFonts w:ascii="Times New Roman" w:cs="Times New Roman" w:eastAsia="Times New Roman" w:hAnsi="Times New Roman"/>
          <w:b/>
          <w:bCs/>
          <w:color w:val="1A1A1A"/>
          <w:sz w:val="26"/>
          <w:szCs w:val="26"/>
        </w:rPr>
        <w:t xml:space="preserve">ABSTRACT</w:t>
      </w:r>
    </w:p>
    <w:p>
      <w:pPr>
        <w:spacing w:after="160" w:line="288"/>
        <w:jc w:val="both"/>
      </w:pPr>
      <w:r>
        <w:rPr>
          <w:rFonts w:ascii="Times New Roman" w:cs="Times New Roman" w:eastAsia="Times New Roman" w:hAnsi="Times New Roman"/>
          <w:sz w:val="24"/>
          <w:szCs w:val="24"/>
        </w:rPr>
        <w:t xml:space="preserve">Artificial intelligence is increasingly deployed in high-stakes financial decision-making, including consumer credit assessment. However, the conditions under which users appropriately calibrate — rather than unconditionally accept or systematically reject — AI-generated recommendations remain poorly understood. This study addresses this gap through a between-subjects behavioural experiment (N=630 after exclusions) in which participants made decisions on ten fictional loan applications with AI recommendations presented under three explanation conditions: no explanation (Condition A), surface explanation (Condition B), and counterfactual explanation (Condition C). The primary outcome was AI follow rate — the proportion of AI recommendations accepted — with secondary outcomes including calibration score, AI errors caught, trust in automation, perceived fairness, and appeal intent.</w:t>
      </w:r>
    </w:p>
    <w:p>
      <w:pPr>
        <w:spacing w:after="80"/>
      </w:pPr>
      <w:r>
        <w:t xml:space="preserve"/>
      </w:r>
    </w:p>
    <w:p>
      <w:pPr>
        <w:spacing w:after="160" w:line="288"/>
        <w:jc w:val="both"/>
      </w:pPr>
      <w:r>
        <w:rPr>
          <w:rFonts w:ascii="Times New Roman" w:cs="Times New Roman" w:eastAsia="Times New Roman" w:hAnsi="Times New Roman"/>
          <w:sz w:val="24"/>
          <w:szCs w:val="24"/>
        </w:rPr>
        <w:t xml:space="preserve">One-way ANOVA revealed significant condition effects on seven of nine outcomes (all F &gt; 8.90, p &lt; .001), with Condition C producing consistently superior calibration: the lowest AI follow rate (M=0.502, η²=0.127), the highest AI errors caught (M=1.748, η²=0.107), and the highest perceived fairness (M=5.330, η²=0.239). Bradley-Terry pairwise dominance modelling corroborated these findings, with Condition C achieving aggregate Bradley-Terry strength 1.847 versus 0.957 for B and 0.650 for A (P(C beats A)=0.740). Logistic regression further indicated that participants in Condition C were 79.5% less likely to be high AI followers than those in Condition A (OR=0.205, p &lt; .001). Financial literacy (OR=0.808, p=.015) and need for cognition (OR=0.622, p &lt; .001) emerged as significant individual difference moderators. Notably, calibration score — operationalised as the intra-participant correlation of confidence and decision accuracy — was not significantly differentiated across conditions (F=2.31, p=.10), suggesting that explanation type may improve behavioural calibration without necessarily improving metacognitive accuracy.</w:t>
      </w:r>
    </w:p>
    <w:p>
      <w:pPr>
        <w:spacing w:after="80"/>
      </w:pPr>
      <w:r>
        <w:t xml:space="preserve"/>
      </w:r>
    </w:p>
    <w:p>
      <w:pPr>
        <w:spacing w:after="160" w:line="288"/>
        <w:jc w:val="both"/>
      </w:pPr>
      <w:r>
        <w:rPr>
          <w:rFonts w:ascii="Times New Roman" w:cs="Times New Roman" w:eastAsia="Times New Roman" w:hAnsi="Times New Roman"/>
          <w:sz w:val="24"/>
          <w:szCs w:val="24"/>
        </w:rPr>
        <w:t xml:space="preserve">These findings inform the design of explainable AI (XAI) interfaces for financial services, with implications for the EU AI Act (2024) and UK FCA Consumer Duty (2023). A post-study evidence-based interface — ClearLend AI — implementing counterfactual explanation as its core design pattern is presented, with each design decision annotated with specific empirical findings.</w:t>
      </w:r>
    </w:p>
    <w:p>
      <w:pPr>
        <w:spacing w:after="80"/>
      </w:pPr>
      <w:r>
        <w:t xml:space="preserve"/>
      </w:r>
    </w:p>
    <w:p>
      <w:pPr>
        <w:spacing w:after="160" w:line="288"/>
        <w:jc w:val="both"/>
      </w:pPr>
      <w:r>
        <w:rPr>
          <w:rFonts w:ascii="Times New Roman" w:cs="Times New Roman" w:eastAsia="Times New Roman" w:hAnsi="Times New Roman"/>
          <w:i/>
          <w:iCs/>
          <w:sz w:val="24"/>
          <w:szCs w:val="24"/>
        </w:rPr>
        <w:t xml:space="preserve">Keywords: trust calibration, explainable AI, human-AI interaction, automation bias, counterfactual explanation, financial decision-making, XAI, HCI</w:t>
      </w:r>
    </w:p>
    <w:p>
      <w:r>
        <w:br/>
      </w:r>
    </w:p>
    <w:p>
      <w:pPr>
        <w:pStyle w:val="Heading1"/>
        <w:spacing w:after="200" w:before="480"/>
      </w:pPr>
      <w:r>
        <w:rPr>
          <w:rFonts w:ascii="Times New Roman" w:cs="Times New Roman" w:eastAsia="Times New Roman" w:hAnsi="Times New Roman"/>
          <w:b/>
          <w:bCs/>
          <w:color w:val="1A1A1A"/>
          <w:sz w:val="26"/>
          <w:szCs w:val="26"/>
        </w:rPr>
        <w:t xml:space="preserve">1. INTRODUCTION</w:t>
      </w:r>
    </w:p>
    <w:p>
      <w:pPr>
        <w:spacing w:after="160" w:line="288"/>
        <w:jc w:val="both"/>
      </w:pPr>
      <w:r>
        <w:rPr>
          <w:rFonts w:ascii="Times New Roman" w:cs="Times New Roman" w:eastAsia="Times New Roman" w:hAnsi="Times New Roman"/>
          <w:sz w:val="24"/>
          <w:szCs w:val="24"/>
        </w:rPr>
        <w:t xml:space="preserve">Algorithmic systems now underpin consequential decisions across credit scoring, insurance pricing, employment screening, and medical triage. In the United Kingdom alone, automated credit assessment systems process millions of applications annually, with outcomes that directly determine access to housing, education, and financial capital (Financial Conduct Authority [FCA], 2023). The opacity of many such systems — particularly those built on ensemble methods and deep learning — has generated regulatory concern and academic critique in equal measure. Pasquale (2015) characterised this as the 'black box problem': consequential decisions made by algorithms whose internal logic is invisible to those most affected by them. More recently, Wachter et al. (2017) formalised the concept of a right to explanation, arguing that algorithmic systems must provide meaningful, actionable information about their decision processes.</w:t>
      </w:r>
    </w:p>
    <w:p>
      <w:pPr>
        <w:spacing w:after="80"/>
      </w:pPr>
      <w:r>
        <w:t xml:space="preserve"/>
      </w:r>
    </w:p>
    <w:p>
      <w:pPr>
        <w:spacing w:after="160" w:line="288"/>
        <w:jc w:val="both"/>
      </w:pPr>
      <w:r>
        <w:rPr>
          <w:rFonts w:ascii="Times New Roman" w:cs="Times New Roman" w:eastAsia="Times New Roman" w:hAnsi="Times New Roman"/>
          <w:sz w:val="24"/>
          <w:szCs w:val="24"/>
        </w:rPr>
        <w:t xml:space="preserve">The European Union's Artificial Intelligence Act (2024) now classifies credit scoring as a high-risk AI application, requiring systems to provide meaningful explanations of automated decisions. Similarly, the UK's FCA Consumer Duty (2023) establishes that financial firms must ensure customers genuinely understand AI-generated decisions. These regulatory frameworks create a practical imperative: the question is not whether to explain AI decisions, but how to explain them most effectively.</w:t>
      </w:r>
    </w:p>
    <w:p>
      <w:pPr>
        <w:spacing w:after="80"/>
      </w:pPr>
      <w:r>
        <w:t xml:space="preserve"/>
      </w:r>
    </w:p>
    <w:p>
      <w:pPr>
        <w:spacing w:after="160" w:line="288"/>
        <w:jc w:val="both"/>
      </w:pPr>
      <w:r>
        <w:rPr>
          <w:rFonts w:ascii="Times New Roman" w:cs="Times New Roman" w:eastAsia="Times New Roman" w:hAnsi="Times New Roman"/>
          <w:sz w:val="24"/>
          <w:szCs w:val="24"/>
        </w:rPr>
        <w:t xml:space="preserve">Research on explainable AI (XAI) has proliferated in response, producing a rich taxonomy of explanation types — including feature importance summaries, confidence intervals, attention visualisations, and counterfactual explanations (Arrieta et al., 2020; Molnar, 2022). However, the majority of XAI evaluation research has focused on technical fidelity — whether explanations accurately reflect model behaviour — rather than on their behavioural effects on users (Doshi-Velez &amp; Kim, 2017; Lage et al., 2019). This leaves a critical gap: we do not know which explanation types produce appropriately calibrated trust in AI systems, particularly in high-stakes domains where both overtrust and undertrust carry significant consequences.</w:t>
      </w:r>
    </w:p>
    <w:p>
      <w:pPr>
        <w:spacing w:after="80"/>
      </w:pPr>
      <w:r>
        <w:t xml:space="preserve"/>
      </w:r>
    </w:p>
    <w:p>
      <w:pPr>
        <w:spacing w:after="160" w:line="288"/>
        <w:jc w:val="both"/>
      </w:pPr>
      <w:r>
        <w:rPr>
          <w:rFonts w:ascii="Times New Roman" w:cs="Times New Roman" w:eastAsia="Times New Roman" w:hAnsi="Times New Roman"/>
          <w:sz w:val="24"/>
          <w:szCs w:val="24"/>
        </w:rPr>
        <w:t xml:space="preserve">Trust calibration — the alignment between the trust a user places in an automated system and the actual reliability of that system — provides a theoretically grounded framework for evaluating this question. Lee and See (2004) define appropriate trust as reliance that is neither excessive (overtrust, or automation bias) nor insufficient (undertrust, or algorithm aversion) but calibrated to the system's actual performance. Both forms of miscalibration are costly: Dietvorst et al. (2015) demonstrated that users systematically abandon accurate algorithms after observing a single error (algorithm aversion), while Parasuraman and Riley (1997) documented the opposite pattern, showing that users maintain reliance on automation even after it fails (automation misuse). Financial decision contexts exacerbate both risks, as the stakes are high and the decision criteria are often opaque.</w:t>
      </w:r>
    </w:p>
    <w:p>
      <w:pPr>
        <w:spacing w:after="80"/>
      </w:pPr>
      <w:r>
        <w:t xml:space="preserve"/>
      </w:r>
    </w:p>
    <w:p>
      <w:pPr>
        <w:spacing w:after="160" w:line="288"/>
        <w:jc w:val="both"/>
      </w:pPr>
      <w:r>
        <w:rPr>
          <w:rFonts w:ascii="Times New Roman" w:cs="Times New Roman" w:eastAsia="Times New Roman" w:hAnsi="Times New Roman"/>
          <w:sz w:val="24"/>
          <w:szCs w:val="24"/>
        </w:rPr>
        <w:t xml:space="preserve">This study addresses this gap by investigating the effects of three AI explanation modalities — no explanation, surface explanation, and counterfactual explanation — on trust calibration in a simulated AI credit decision task. The research contributes empirical evidence on the behavioural consequences of different XAI approaches, and translates these findings into evidence-based interface design guidelines for AI-augmented financial services.</w:t>
      </w:r>
    </w:p>
    <w:p>
      <w:pPr>
        <w:pStyle w:val="Heading2"/>
        <w:spacing w:after="160" w:before="320"/>
      </w:pPr>
      <w:r>
        <w:rPr>
          <w:rFonts w:ascii="Times New Roman" w:cs="Times New Roman" w:eastAsia="Times New Roman" w:hAnsi="Times New Roman"/>
          <w:b/>
          <w:bCs/>
          <w:color w:val="1A1A1A"/>
          <w:sz w:val="24"/>
          <w:szCs w:val="24"/>
        </w:rPr>
        <w:t xml:space="preserve">1.1 Research Questions</w:t>
      </w:r>
    </w:p>
    <w:p>
      <w:pPr>
        <w:spacing w:after="160" w:line="288"/>
        <w:jc w:val="both"/>
      </w:pPr>
      <w:r>
        <w:rPr>
          <w:rFonts w:ascii="Times New Roman" w:cs="Times New Roman" w:eastAsia="Times New Roman" w:hAnsi="Times New Roman"/>
          <w:sz w:val="24"/>
          <w:szCs w:val="24"/>
        </w:rPr>
        <w:t xml:space="preserve">This study addresses three primary research questions:</w:t>
      </w:r>
    </w:p>
    <w:p>
      <w:pPr>
        <w:pStyle w:val="ListParagraph"/>
        <w:numPr>
          <w:ilvl w:val="0"/>
          <w:numId w:val="2"/>
        </w:numPr>
        <w:spacing w:after="100" w:line="276"/>
      </w:pPr>
      <w:r>
        <w:rPr>
          <w:rFonts w:ascii="Times New Roman" w:cs="Times New Roman" w:eastAsia="Times New Roman" w:hAnsi="Times New Roman"/>
          <w:sz w:val="24"/>
          <w:szCs w:val="24"/>
        </w:rPr>
        <w:t xml:space="preserve">RQ1: Does the type of AI explanation (none, surface, counterfactual) significantly affect user trust calibration in AI-mediated financial decisions?</w:t>
      </w:r>
    </w:p>
    <w:p>
      <w:pPr>
        <w:pStyle w:val="ListParagraph"/>
        <w:numPr>
          <w:ilvl w:val="0"/>
          <w:numId w:val="2"/>
        </w:numPr>
        <w:spacing w:after="100" w:line="276"/>
      </w:pPr>
      <w:r>
        <w:rPr>
          <w:rFonts w:ascii="Times New Roman" w:cs="Times New Roman" w:eastAsia="Times New Roman" w:hAnsi="Times New Roman"/>
          <w:sz w:val="24"/>
          <w:szCs w:val="24"/>
        </w:rPr>
        <w:t xml:space="preserve">RQ2: Do individual differences in financial literacy, need for cognition, and technology disposition moderate the relationship between explanation type and trust calibration?</w:t>
      </w:r>
    </w:p>
    <w:p>
      <w:pPr>
        <w:pStyle w:val="ListParagraph"/>
        <w:numPr>
          <w:ilvl w:val="0"/>
          <w:numId w:val="2"/>
        </w:numPr>
        <w:spacing w:after="100" w:line="276"/>
      </w:pPr>
      <w:r>
        <w:rPr>
          <w:rFonts w:ascii="Times New Roman" w:cs="Times New Roman" w:eastAsia="Times New Roman" w:hAnsi="Times New Roman"/>
          <w:sz w:val="24"/>
          <w:szCs w:val="24"/>
        </w:rPr>
        <w:t xml:space="preserve">RQ3: Which explanation modality produces the most appropriate trust calibration, operationalised as lower AI follow rates on error scenarios, higher error detection, and stronger alignment between user confidence and decision accuracy?</w:t>
      </w:r>
    </w:p>
    <w:p>
      <w:pPr>
        <w:spacing w:after="80"/>
      </w:pPr>
      <w:r>
        <w:t xml:space="preserve"/>
      </w:r>
    </w:p>
    <w:p>
      <w:pPr>
        <w:spacing w:after="160" w:line="288"/>
        <w:jc w:val="both"/>
      </w:pPr>
      <w:r>
        <w:rPr>
          <w:rFonts w:ascii="Times New Roman" w:cs="Times New Roman" w:eastAsia="Times New Roman" w:hAnsi="Times New Roman"/>
          <w:sz w:val="24"/>
          <w:szCs w:val="24"/>
        </w:rPr>
        <w:t xml:space="preserve">The following hypotheses were pre-registered on the Open Science Framework (OSF) prior to data collection:</w:t>
      </w:r>
    </w:p>
    <w:p>
      <w:pPr>
        <w:pStyle w:val="ListParagraph"/>
        <w:numPr>
          <w:ilvl w:val="0"/>
          <w:numId w:val="2"/>
        </w:numPr>
        <w:spacing w:after="100" w:line="276"/>
      </w:pPr>
      <w:r>
        <w:rPr>
          <w:rFonts w:ascii="Times New Roman" w:cs="Times New Roman" w:eastAsia="Times New Roman" w:hAnsi="Times New Roman"/>
          <w:sz w:val="24"/>
          <w:szCs w:val="24"/>
        </w:rPr>
        <w:t xml:space="preserve">H1: Participants in Condition C (counterfactual explanation) will exhibit significantly lower AI follow rates than those in Conditions A and B.</w:t>
      </w:r>
    </w:p>
    <w:p>
      <w:pPr>
        <w:pStyle w:val="ListParagraph"/>
        <w:numPr>
          <w:ilvl w:val="0"/>
          <w:numId w:val="2"/>
        </w:numPr>
        <w:spacing w:after="100" w:line="276"/>
      </w:pPr>
      <w:r>
        <w:rPr>
          <w:rFonts w:ascii="Times New Roman" w:cs="Times New Roman" w:eastAsia="Times New Roman" w:hAnsi="Times New Roman"/>
          <w:sz w:val="24"/>
          <w:szCs w:val="24"/>
        </w:rPr>
        <w:t xml:space="preserve">H2: Participants in Condition C will detect significantly more AI errors than those in Conditions A and B.</w:t>
      </w:r>
    </w:p>
    <w:p>
      <w:pPr>
        <w:pStyle w:val="ListParagraph"/>
        <w:numPr>
          <w:ilvl w:val="0"/>
          <w:numId w:val="2"/>
        </w:numPr>
        <w:spacing w:after="100" w:line="276"/>
      </w:pPr>
      <w:r>
        <w:rPr>
          <w:rFonts w:ascii="Times New Roman" w:cs="Times New Roman" w:eastAsia="Times New Roman" w:hAnsi="Times New Roman"/>
          <w:sz w:val="24"/>
          <w:szCs w:val="24"/>
        </w:rPr>
        <w:t xml:space="preserve">H3: Financial literacy will negatively moderate AI follow rate, such that higher financial literacy is associated with lower automation bias.</w:t>
      </w:r>
    </w:p>
    <w:p>
      <w:pPr>
        <w:pStyle w:val="ListParagraph"/>
        <w:numPr>
          <w:ilvl w:val="0"/>
          <w:numId w:val="2"/>
        </w:numPr>
        <w:spacing w:after="100" w:line="276"/>
      </w:pPr>
      <w:r>
        <w:rPr>
          <w:rFonts w:ascii="Times New Roman" w:cs="Times New Roman" w:eastAsia="Times New Roman" w:hAnsi="Times New Roman"/>
          <w:sz w:val="24"/>
          <w:szCs w:val="24"/>
        </w:rPr>
        <w:t xml:space="preserve">H4: There will be significant variation in trust recovery trajectories after AI errors across the three conditions.</w:t>
      </w:r>
    </w:p>
    <w:p>
      <w:r>
        <w:br/>
      </w:r>
    </w:p>
    <w:p>
      <w:pPr>
        <w:pStyle w:val="Heading1"/>
        <w:spacing w:after="200" w:before="480"/>
      </w:pPr>
      <w:r>
        <w:rPr>
          <w:rFonts w:ascii="Times New Roman" w:cs="Times New Roman" w:eastAsia="Times New Roman" w:hAnsi="Times New Roman"/>
          <w:b/>
          <w:bCs/>
          <w:color w:val="1A1A1A"/>
          <w:sz w:val="26"/>
          <w:szCs w:val="26"/>
        </w:rPr>
        <w:t xml:space="preserve">2. LITERATURE REVIEW</w:t>
      </w:r>
    </w:p>
    <w:p>
      <w:pPr>
        <w:pStyle w:val="Heading2"/>
        <w:spacing w:after="160" w:before="320"/>
      </w:pPr>
      <w:r>
        <w:rPr>
          <w:rFonts w:ascii="Times New Roman" w:cs="Times New Roman" w:eastAsia="Times New Roman" w:hAnsi="Times New Roman"/>
          <w:b/>
          <w:bCs/>
          <w:color w:val="1A1A1A"/>
          <w:sz w:val="24"/>
          <w:szCs w:val="24"/>
        </w:rPr>
        <w:t xml:space="preserve">2.1 Trust Calibration in Human-Automation Interaction</w:t>
      </w:r>
    </w:p>
    <w:p>
      <w:pPr>
        <w:spacing w:after="160" w:line="288"/>
        <w:jc w:val="both"/>
      </w:pPr>
      <w:r>
        <w:rPr>
          <w:rFonts w:ascii="Times New Roman" w:cs="Times New Roman" w:eastAsia="Times New Roman" w:hAnsi="Times New Roman"/>
          <w:sz w:val="24"/>
          <w:szCs w:val="24"/>
        </w:rPr>
        <w:t xml:space="preserve">The conceptual foundation for this study rests on Lee and See's (2004) seminal taxonomy of trust in automation, which distinguishes between trust that is too high (automation misuse), too low (automation disuse), and appropriately calibrated. Their framework positions calibration as a dynamic process influenced by three classes of factors: the system's demonstrated competence, the user's prior beliefs and individual differences, and the nature of the interface through which system behaviour is communicated. This study operationalises calibration behaviourally — through the pattern of compliance and override decisions across ten sequential scenarios — rather than through self-report scales alone, following the recommendation of Hoff and Bashir (2015) that trust measures should capture actual reliance behaviour rather than stated intentions.</w:t>
      </w:r>
    </w:p>
    <w:p>
      <w:pPr>
        <w:spacing w:after="80"/>
      </w:pPr>
      <w:r>
        <w:t xml:space="preserve"/>
      </w:r>
    </w:p>
    <w:p>
      <w:pPr>
        <w:spacing w:after="160" w:line="288"/>
        <w:jc w:val="both"/>
      </w:pPr>
      <w:r>
        <w:rPr>
          <w:rFonts w:ascii="Times New Roman" w:cs="Times New Roman" w:eastAsia="Times New Roman" w:hAnsi="Times New Roman"/>
          <w:sz w:val="24"/>
          <w:szCs w:val="24"/>
        </w:rPr>
        <w:t xml:space="preserve">Parasuraman and Riley (1997) introduced the concept of automation bias as a systematic tendency to favour automated recommendations over human judgement, persisting even in the presence of system errors. Their taxonomy of commission errors (acting on incorrect automation output) and omission errors (failing to notice automation failures) maps directly onto the two forms of miscalibration this study seeks to detect. Critically, Parasuraman and Riley argued that automation bias is not a stable individual trait but is moderated by interface design features — a finding that motivates this study's manipulation of explanation type.</w:t>
      </w:r>
    </w:p>
    <w:p>
      <w:pPr>
        <w:spacing w:after="80"/>
      </w:pPr>
      <w:r>
        <w:t xml:space="preserve"/>
      </w:r>
    </w:p>
    <w:p>
      <w:pPr>
        <w:spacing w:after="160" w:line="288"/>
        <w:jc w:val="both"/>
      </w:pPr>
      <w:r>
        <w:rPr>
          <w:rFonts w:ascii="Times New Roman" w:cs="Times New Roman" w:eastAsia="Times New Roman" w:hAnsi="Times New Roman"/>
          <w:sz w:val="24"/>
          <w:szCs w:val="24"/>
        </w:rPr>
        <w:t xml:space="preserve">More recent computational work by Logg et al. (2019) introduced the complementary construct of algorithmic appreciation — the tendency to weight algorithm outputs above human advice, particularly in tasks involving large datasets and predictable outcomes. Financial credit assessment exemplifies such tasks: the decision involves multiple quantitative variables, the AI system processes them consistently, and the 'correct' answer is objectively determinable. Logg et al. found that algorithmic appreciation was stronger when the algorithm's superiority was made salient through performance feedback. This study extends their insight by asking whether explanation type — rather than performance feedback — can moderate algorithmic appreciation to produce appropriate rather than unconditional deference.</w:t>
      </w:r>
    </w:p>
    <w:p>
      <w:pPr>
        <w:pStyle w:val="Heading2"/>
        <w:spacing w:after="160" w:before="320"/>
      </w:pPr>
      <w:r>
        <w:rPr>
          <w:rFonts w:ascii="Times New Roman" w:cs="Times New Roman" w:eastAsia="Times New Roman" w:hAnsi="Times New Roman"/>
          <w:b/>
          <w:bCs/>
          <w:color w:val="1A1A1A"/>
          <w:sz w:val="24"/>
          <w:szCs w:val="24"/>
        </w:rPr>
        <w:t xml:space="preserve">2.2 Counterfactual Explanation in XAI</w:t>
      </w:r>
    </w:p>
    <w:p>
      <w:pPr>
        <w:spacing w:after="160" w:line="288"/>
        <w:jc w:val="both"/>
      </w:pPr>
      <w:r>
        <w:rPr>
          <w:rFonts w:ascii="Times New Roman" w:cs="Times New Roman" w:eastAsia="Times New Roman" w:hAnsi="Times New Roman"/>
          <w:sz w:val="24"/>
          <w:szCs w:val="24"/>
        </w:rPr>
        <w:t xml:space="preserve">Counterfactual explanations — of the form 'if X had been different, the decision would have been Y' — have attracted sustained theoretical attention in the XAI literature since Wachter et al.'s (2017) formal proposal. Unlike feature importance summaries that describe what drove a decision, counterfactuals specify what would need to change to alter it. This distinction is significant for the present study: counterfactual explanations do not merely inform the user of the AI's reasoning but provide a mental model of the system's decision boundary, enabling the user to evaluate individual cases against that boundary.</w:t>
      </w:r>
    </w:p>
    <w:p>
      <w:pPr>
        <w:spacing w:after="80"/>
      </w:pPr>
      <w:r>
        <w:t xml:space="preserve"/>
      </w:r>
    </w:p>
    <w:p>
      <w:pPr>
        <w:spacing w:after="160" w:line="288"/>
        <w:jc w:val="both"/>
      </w:pPr>
      <w:r>
        <w:rPr>
          <w:rFonts w:ascii="Times New Roman" w:cs="Times New Roman" w:eastAsia="Times New Roman" w:hAnsi="Times New Roman"/>
          <w:sz w:val="24"/>
          <w:szCs w:val="24"/>
        </w:rPr>
        <w:t xml:space="preserve">Empirically, Byrne (2019) demonstrated that counterfactual thinking facilitates causal reasoning and enables more accurate prediction of hypothetical outcomes. Applied to XAI contexts, this suggests that counterfactual explanations may help users construct more accurate mental models of AI systems — enabling them to identify cases where the system's reasoning is sound and cases where it may be erroneous. Several recent HCI studies support this hypothesis. Cai et al. (2019) found that medical AI explanations that provided contrastive information (what the system would have decided in a different case) improved both user calibration and decision accuracy compared to feature-importance explanations. Similarly, Madumal et al. (2020) demonstrated that causal explanations — which share structural properties with counterfactuals — produced higher trust appropriateness than non-causal alternatives in a game-playing domain.</w:t>
      </w:r>
    </w:p>
    <w:p>
      <w:pPr>
        <w:spacing w:after="80"/>
      </w:pPr>
      <w:r>
        <w:t xml:space="preserve"/>
      </w:r>
    </w:p>
    <w:p>
      <w:pPr>
        <w:spacing w:after="160" w:line="288"/>
        <w:jc w:val="both"/>
      </w:pPr>
      <w:r>
        <w:rPr>
          <w:rFonts w:ascii="Times New Roman" w:cs="Times New Roman" w:eastAsia="Times New Roman" w:hAnsi="Times New Roman"/>
          <w:sz w:val="24"/>
          <w:szCs w:val="24"/>
        </w:rPr>
        <w:t xml:space="preserve">The credit domain presents particular challenges for explanation design. Applicant profiles involve multiple co-varying features (income, credit utilisation, repayment history, debt-to-income ratio), creating potential for explanation complexity to overwhelm users with lower financial literacy. Singla et al. (2025) demonstrated that explanation format interacted significantly with user expertise in a credit approval context, with visual feature summaries outperforming textual explanations for novice users. This study addresses this interaction by measuring financial literacy as a moderating covariate and examining whether explanation effects differ by literacy level.</w:t>
      </w:r>
    </w:p>
    <w:p>
      <w:pPr>
        <w:pStyle w:val="Heading2"/>
        <w:spacing w:after="160" w:before="320"/>
      </w:pPr>
      <w:r>
        <w:rPr>
          <w:rFonts w:ascii="Times New Roman" w:cs="Times New Roman" w:eastAsia="Times New Roman" w:hAnsi="Times New Roman"/>
          <w:b/>
          <w:bCs/>
          <w:color w:val="1A1A1A"/>
          <w:sz w:val="24"/>
          <w:szCs w:val="24"/>
        </w:rPr>
        <w:t xml:space="preserve">2.3 Individual Differences and Trust</w:t>
      </w:r>
    </w:p>
    <w:p>
      <w:pPr>
        <w:spacing w:after="160" w:line="288"/>
        <w:jc w:val="both"/>
      </w:pPr>
      <w:r>
        <w:rPr>
          <w:rFonts w:ascii="Times New Roman" w:cs="Times New Roman" w:eastAsia="Times New Roman" w:hAnsi="Times New Roman"/>
          <w:sz w:val="24"/>
          <w:szCs w:val="24"/>
        </w:rPr>
        <w:t xml:space="preserve">Mayer, Davis, and Schoorman (1995) proposed that trust in any agent — human or automated — is jointly determined by perceptions of that agent's ability, benevolence, and integrity. Applied to AI systems, this framework predicts that users who perceive the AI as more competent (ability), more fair (benevolence), and more transparent (integrity) will calibrate higher trust. Each of these perceptions may be differentially affected by explanation type: surface explanations may communicate competence through apparent reasoning, while counterfactual explanations may additionally communicate integrity through transparency about decision boundaries.</w:t>
      </w:r>
    </w:p>
    <w:p>
      <w:pPr>
        <w:spacing w:after="80"/>
      </w:pPr>
      <w:r>
        <w:t xml:space="preserve"/>
      </w:r>
    </w:p>
    <w:p>
      <w:pPr>
        <w:spacing w:after="160" w:line="288"/>
        <w:jc w:val="both"/>
      </w:pPr>
      <w:r>
        <w:rPr>
          <w:rFonts w:ascii="Times New Roman" w:cs="Times New Roman" w:eastAsia="Times New Roman" w:hAnsi="Times New Roman"/>
          <w:sz w:val="24"/>
          <w:szCs w:val="24"/>
        </w:rPr>
        <w:t xml:space="preserve">Individual differences in need for cognition (NFC; Cacioppo &amp; Petty, 1982) — the tendency to engage in and enjoy effortful cognitive activity — predict systematic differences in information processing. High-NFC individuals engage in more deliberate evaluation of presented information, suggesting they may process explanations more thoroughly and consequently achieve better trust calibration. Kahneman's (2011) dual-process framework provides a theoretical mechanism: high-NFC individuals are more likely to engage System 2 (deliberate, analytical) processing when evaluating AI recommendations, reducing susceptibility to the System 1 (automatic, heuristic) processing that underlies automation bias.</w:t>
      </w:r>
    </w:p>
    <w:p>
      <w:pPr>
        <w:spacing w:after="80"/>
      </w:pPr>
      <w:r>
        <w:t xml:space="preserve"/>
      </w:r>
    </w:p>
    <w:p>
      <w:pPr>
        <w:spacing w:after="160" w:line="288"/>
        <w:jc w:val="both"/>
      </w:pPr>
      <w:r>
        <w:rPr>
          <w:rFonts w:ascii="Times New Roman" w:cs="Times New Roman" w:eastAsia="Times New Roman" w:hAnsi="Times New Roman"/>
          <w:sz w:val="24"/>
          <w:szCs w:val="24"/>
        </w:rPr>
        <w:t xml:space="preserve">Financial literacy — the ability to understand and apply financial concepts — is particularly relevant to the credit domain. Individuals with higher financial literacy have domain-specific knowledge enabling them to evaluate the plausibility of AI credit decisions against their understanding of how creditworthiness is assessed. Lusardi and Mitchell (2011) demonstrated that financial literacy predicts a range of better financial decision-making outcomes and is strongly correlated with deliberate information processing in financial contexts. The EU AI Act's requirement for meaningful explanations implicitly assumes a degree of user financial literacy, making variation in this construct a theoretically important moderator.</w:t>
      </w:r>
    </w:p>
    <w:p>
      <w:pPr>
        <w:pStyle w:val="Heading2"/>
        <w:spacing w:after="160" w:before="320"/>
      </w:pPr>
      <w:r>
        <w:rPr>
          <w:rFonts w:ascii="Times New Roman" w:cs="Times New Roman" w:eastAsia="Times New Roman" w:hAnsi="Times New Roman"/>
          <w:b/>
          <w:bCs/>
          <w:color w:val="1A1A1A"/>
          <w:sz w:val="24"/>
          <w:szCs w:val="24"/>
        </w:rPr>
        <w:t xml:space="preserve">2.4 Regulatory and Ethical Context</w:t>
      </w:r>
    </w:p>
    <w:p>
      <w:pPr>
        <w:spacing w:after="160" w:line="288"/>
        <w:jc w:val="both"/>
      </w:pPr>
      <w:r>
        <w:rPr>
          <w:rFonts w:ascii="Times New Roman" w:cs="Times New Roman" w:eastAsia="Times New Roman" w:hAnsi="Times New Roman"/>
          <w:sz w:val="24"/>
          <w:szCs w:val="24"/>
        </w:rPr>
        <w:t xml:space="preserve">The EU Artificial Intelligence Act (2024) classifies AI systems used in credit scoring, credit risk assessment, and creditworthiness evaluation as high-risk systems under Annex III, subject to requirements for transparency, human oversight, and meaningful explanation. Specifically, Article 13 requires that high-risk AI systems be designed such that their operation is 'sufficiently transparent to enable deployers to interpret the system's output and use it appropriately.' This requirement creates a direct research mandate for the kind of empirical comparison this study undertakes: to understand which explanation approaches enable appropriate interpretation and appropriate use.</w:t>
      </w:r>
    </w:p>
    <w:p>
      <w:pPr>
        <w:spacing w:after="80"/>
      </w:pPr>
      <w:r>
        <w:t xml:space="preserve"/>
      </w:r>
    </w:p>
    <w:p>
      <w:pPr>
        <w:spacing w:after="160" w:line="288"/>
        <w:jc w:val="both"/>
      </w:pPr>
      <w:r>
        <w:rPr>
          <w:rFonts w:ascii="Times New Roman" w:cs="Times New Roman" w:eastAsia="Times New Roman" w:hAnsi="Times New Roman"/>
          <w:sz w:val="24"/>
          <w:szCs w:val="24"/>
        </w:rPr>
        <w:t xml:space="preserve">In the United Kingdom, the FCA's Consumer Duty (2023) requires that financial firms ensure customers have sufficient information to make effective decisions. The Duty's 'consumer understanding' outcome specifically addresses the need for information to be presented in a way that is likely to be understood and acted upon appropriately. Eubanks (2018) documented systematic racial and socioeconomic biases in automated welfare and credit systems, arguing that opacity in these systems functions as a mechanism of social exclusion. The present study contributes to this discourse by providing empirical evidence on which explanation modalities best support the kind of informed, autonomous decision-making that regulatory frameworks assume.</w:t>
      </w:r>
    </w:p>
    <w:p>
      <w:r>
        <w:br/>
      </w:r>
    </w:p>
    <w:p>
      <w:pPr>
        <w:pStyle w:val="Heading1"/>
        <w:spacing w:after="200" w:before="480"/>
      </w:pPr>
      <w:r>
        <w:rPr>
          <w:rFonts w:ascii="Times New Roman" w:cs="Times New Roman" w:eastAsia="Times New Roman" w:hAnsi="Times New Roman"/>
          <w:b/>
          <w:bCs/>
          <w:color w:val="1A1A1A"/>
          <w:sz w:val="26"/>
          <w:szCs w:val="26"/>
        </w:rPr>
        <w:t xml:space="preserve">3. METHODOLOGY</w:t>
      </w:r>
    </w:p>
    <w:p>
      <w:pPr>
        <w:pStyle w:val="Heading2"/>
        <w:spacing w:after="160" w:before="320"/>
      </w:pPr>
      <w:r>
        <w:rPr>
          <w:rFonts w:ascii="Times New Roman" w:cs="Times New Roman" w:eastAsia="Times New Roman" w:hAnsi="Times New Roman"/>
          <w:b/>
          <w:bCs/>
          <w:color w:val="1A1A1A"/>
          <w:sz w:val="24"/>
          <w:szCs w:val="24"/>
        </w:rPr>
        <w:t xml:space="preserve">3.1 Research Design</w:t>
      </w:r>
    </w:p>
    <w:p>
      <w:pPr>
        <w:spacing w:after="160" w:line="288"/>
        <w:jc w:val="both"/>
      </w:pPr>
      <w:r>
        <w:rPr>
          <w:rFonts w:ascii="Times New Roman" w:cs="Times New Roman" w:eastAsia="Times New Roman" w:hAnsi="Times New Roman"/>
          <w:sz w:val="24"/>
          <w:szCs w:val="24"/>
        </w:rPr>
        <w:t xml:space="preserve">This study employed a single-factor between-subjects experimental design with three levels (Condition A: no explanation; Condition B: surface explanation; Condition C: counterfactual explanation). A between-subjects design was chosen to avoid carry-over effects: if participants encountered multiple explanation types across trials, their calibration behaviour in later conditions would inevitably be influenced by exposure to earlier conditions. Random assignment to conditions was achieved through URL parameter randomisation in the web-based stimulus application, ensuring that participants were unaware of the existence of other conditions.</w:t>
      </w:r>
    </w:p>
    <w:p>
      <w:pPr>
        <w:spacing w:after="80"/>
      </w:pPr>
      <w:r>
        <w:t xml:space="preserve"/>
      </w:r>
    </w:p>
    <w:p>
      <w:pPr>
        <w:spacing w:after="160" w:line="288"/>
        <w:jc w:val="both"/>
      </w:pPr>
      <w:r>
        <w:rPr>
          <w:rFonts w:ascii="Times New Roman" w:cs="Times New Roman" w:eastAsia="Times New Roman" w:hAnsi="Times New Roman"/>
          <w:sz w:val="24"/>
          <w:szCs w:val="24"/>
        </w:rPr>
        <w:t xml:space="preserve">The study followed a mixed-methods design, combining quantitative behavioural data from the experimental task with qualitative data from semi-structured post-task interviews. Quantitative analysis addressed RQ1 and RQ3 (condition effects on calibration outcomes); qualitative analysis addressed the mechanisms underlying observed effects. Triangulation of findings across both data streams provided a basis for the conceptual model presented in Section 5.</w:t>
      </w:r>
    </w:p>
    <w:p>
      <w:pPr>
        <w:spacing w:after="80"/>
      </w:pPr>
      <w:r>
        <w:t xml:space="preserve"/>
      </w:r>
    </w:p>
    <w:p>
      <w:pPr>
        <w:spacing w:after="160" w:line="288"/>
        <w:jc w:val="both"/>
      </w:pPr>
      <w:r>
        <w:rPr>
          <w:rFonts w:ascii="Times New Roman" w:cs="Times New Roman" w:eastAsia="Times New Roman" w:hAnsi="Times New Roman"/>
          <w:sz w:val="24"/>
          <w:szCs w:val="24"/>
        </w:rPr>
        <w:t xml:space="preserve">The study was pre-registered on the Open Science Framework (osf.io) prior to data collection, with the analysis plan, primary outcomes, and exclusion criteria specified in advance. This approach prevents post-hoc analytic flexibility (Simmons et al., 2011) and strengthens the confirmatory status of the reported findings.</w:t>
      </w:r>
    </w:p>
    <w:p>
      <w:pPr>
        <w:pStyle w:val="Heading2"/>
        <w:spacing w:after="160" w:before="320"/>
      </w:pPr>
      <w:r>
        <w:rPr>
          <w:rFonts w:ascii="Times New Roman" w:cs="Times New Roman" w:eastAsia="Times New Roman" w:hAnsi="Times New Roman"/>
          <w:b/>
          <w:bCs/>
          <w:color w:val="1A1A1A"/>
          <w:sz w:val="24"/>
          <w:szCs w:val="24"/>
        </w:rPr>
        <w:t xml:space="preserve">3.2 Participants</w:t>
      </w:r>
    </w:p>
    <w:p>
      <w:pPr>
        <w:spacing w:after="160" w:line="288"/>
        <w:jc w:val="both"/>
      </w:pPr>
      <w:r>
        <w:rPr>
          <w:rFonts w:ascii="Times New Roman" w:cs="Times New Roman" w:eastAsia="Times New Roman" w:hAnsi="Times New Roman"/>
          <w:sz w:val="24"/>
          <w:szCs w:val="24"/>
        </w:rPr>
        <w:t xml:space="preserve">Participants were recruited through purposive sampling via social media, university mailing lists, and snowball sampling through existing student networks. Inclusion criteria were: aged 18 or above; sufficient English language proficiency to complete the task independently; access to a computer or tablet (the stimulus was not optimised for smartphone use). No specific domain knowledge was required, as the task was designed to be accessible to non-experts.</w:t>
      </w:r>
    </w:p>
    <w:p>
      <w:pPr>
        <w:spacing w:after="80"/>
      </w:pPr>
      <w:r>
        <w:t xml:space="preserve"/>
      </w:r>
    </w:p>
    <w:p>
      <w:pPr>
        <w:spacing w:after="160" w:line="288"/>
        <w:jc w:val="both"/>
      </w:pPr>
      <w:r>
        <w:rPr>
          <w:rFonts w:ascii="Times New Roman" w:cs="Times New Roman" w:eastAsia="Times New Roman" w:hAnsi="Times New Roman"/>
          <w:sz w:val="24"/>
          <w:szCs w:val="24"/>
        </w:rPr>
        <w:t xml:space="preserve">A total of 678 participants completed the study. Following pre-registered exclusion criteria, 48 participants who correctly identified the study's focus on trust in AI during the suspicion probe were excluded from the primary analysis, yielding an analysis sample of N=630 (Condition A: n=201; Condition B: n=223; Condition C: n=206). The achieved sample exceeded the pre-registered minimum of 180 participants (60 per condition) required for 80% power to detect medium condition effects (f=0.25) in one-way ANOVA.</w:t>
      </w:r>
    </w:p>
    <w:p>
      <w:pPr>
        <w:spacing w:after="80"/>
      </w:pPr>
      <w:r>
        <w:t xml:space="preserve"/>
      </w:r>
    </w:p>
    <w:p>
      <w:pPr>
        <w:spacing w:after="160" w:line="288"/>
        <w:jc w:val="both"/>
      </w:pPr>
      <w:r>
        <w:rPr>
          <w:rFonts w:ascii="Times New Roman" w:cs="Times New Roman" w:eastAsia="Times New Roman" w:hAnsi="Times New Roman"/>
          <w:sz w:val="24"/>
          <w:szCs w:val="24"/>
        </w:rPr>
        <w:t xml:space="preserve">The sample was demographically diverse: 56% Bangladeshi, 11% British, 10% Indian, 7% Pakistani, 5% Chinese, 4% Nigerian, 3% Malaysian, and 4% other nationalities. The majority (84%) were university students across undergraduate, MSc, MBA, and PhD programmes. Age groups included 18–22 (29%), 23–27 (37%), 28–32 (17%), 33–40 (10%), and 41 or above (7%). Gender distribution was 60% male, 37% female, and 3% other or prefer not to say. Participants were drawn from 25 universities, with the most common study subjects being Computer Science (18%), Human-Computer Interaction (12%), Business and Management (11%), and Information Technology (10%).</w:t>
      </w:r>
    </w:p>
    <w:p>
      <w:pPr>
        <w:pStyle w:val="Heading2"/>
        <w:spacing w:after="160" w:before="320"/>
      </w:pPr>
      <w:r>
        <w:rPr>
          <w:rFonts w:ascii="Times New Roman" w:cs="Times New Roman" w:eastAsia="Times New Roman" w:hAnsi="Times New Roman"/>
          <w:b/>
          <w:bCs/>
          <w:color w:val="1A1A1A"/>
          <w:sz w:val="24"/>
          <w:szCs w:val="24"/>
        </w:rPr>
        <w:t xml:space="preserve">3.3 Materials and Stimulus</w:t>
      </w:r>
    </w:p>
    <w:p>
      <w:pPr>
        <w:spacing w:after="160" w:line="288"/>
        <w:jc w:val="both"/>
      </w:pPr>
      <w:r>
        <w:rPr>
          <w:rFonts w:ascii="Times New Roman" w:cs="Times New Roman" w:eastAsia="Times New Roman" w:hAnsi="Times New Roman"/>
          <w:sz w:val="24"/>
          <w:szCs w:val="24"/>
        </w:rPr>
        <w:t xml:space="preserve">The experimental stimulus was a custom React web application deployed on Vercel at three condition-specific URLs, each presenting an identical interface except for the AI explanation component. The stimulus presented participants with ten fictional loan applications representing real-world diversity in applicant demographics, employment type, income level, and credit history. All applicant profiles, credit histories, and AI verdicts were entirely fictitious; this was confirmed during the debrief.</w:t>
      </w:r>
    </w:p>
    <w:p>
      <w:pPr>
        <w:spacing w:after="80"/>
      </w:pPr>
      <w:r>
        <w:t xml:space="preserve"/>
      </w:r>
    </w:p>
    <w:p>
      <w:pPr>
        <w:spacing w:after="160" w:line="288"/>
        <w:jc w:val="both"/>
      </w:pPr>
      <w:r>
        <w:rPr>
          <w:rFonts w:ascii="Times New Roman" w:cs="Times New Roman" w:eastAsia="Times New Roman" w:hAnsi="Times New Roman"/>
          <w:sz w:val="24"/>
          <w:szCs w:val="24"/>
        </w:rPr>
        <w:t xml:space="preserve">Each scenario displayed an applicant profile card containing: applicant name, age, and employment status; annual income; credit utilisation percentage; repayment history (number of missed payments); debt-to-income ratio; and loan amount requested. Following profile review, the AI recommendation was presented in one of three formats according to condition assignment.</w:t>
      </w:r>
    </w:p>
    <w:p>
      <w:pPr>
        <w:spacing w:after="80"/>
      </w:pPr>
      <w:r>
        <w:t xml:space="preserve"/>
      </w:r>
    </w:p>
    <w:p>
      <w:pPr>
        <w:spacing w:after="160" w:line="288"/>
        <w:jc w:val="both"/>
      </w:pPr>
      <w:r>
        <w:rPr>
          <w:rFonts w:ascii="Times New Roman" w:cs="Times New Roman" w:eastAsia="Times New Roman" w:hAnsi="Times New Roman"/>
          <w:sz w:val="24"/>
          <w:szCs w:val="24"/>
        </w:rPr>
        <w:t xml:space="preserve">In Condition A, participants saw only the AI verdict (APPROVE or DECLINE) and a confidence percentage (e.g., 72%). In Condition B, participants additionally saw a single-sentence surface explanation identifying the primary factor (e.g., 'The primary factor in this decision was high credit utilisation at 38%'). In Condition C, participants received the verdict, confidence, and a counterfactual explanation specifying what change would alter the decision (e.g., 'This decision would change to APPROVE if credit utilisation dropped below 25% and debt-to-income ratio fell below 28%'). The counterfactual explanations were constructed to be actionable, specific, and internally consistent with the displayed applicant data.</w:t>
      </w:r>
    </w:p>
    <w:p>
      <w:pPr>
        <w:spacing w:after="80"/>
      </w:pPr>
      <w:r>
        <w:t xml:space="preserve"/>
      </w:r>
    </w:p>
    <w:p>
      <w:pPr>
        <w:spacing w:after="160" w:line="288"/>
        <w:jc w:val="both"/>
      </w:pPr>
      <w:r>
        <w:rPr>
          <w:rFonts w:ascii="Times New Roman" w:cs="Times New Roman" w:eastAsia="Times New Roman" w:hAnsi="Times New Roman"/>
          <w:sz w:val="24"/>
          <w:szCs w:val="24"/>
        </w:rPr>
        <w:t xml:space="preserve">The AI system was deliberately designed to be wrong on scenarios 3, 7, and 10 — yielding a true accuracy of 70%. Errors involved cases where the AI incorrectly declined an application that should have been approved (Scenarios 3 and 7) or incorrectly approved one that should have been declined (Scenario 10). The error pattern was constructed to test trust calibration under realistic conditions where AI errors occur but are not the norm. After each scenario, participants recorded their decision (Approve/Decline), confidence in their decision on a 1–5 Likert scale, and whether they followed the AI recommendation.</w:t>
      </w:r>
    </w:p>
    <w:p>
      <w:pPr>
        <w:pStyle w:val="Heading2"/>
        <w:spacing w:after="160" w:before="320"/>
      </w:pPr>
      <w:r>
        <w:rPr>
          <w:rFonts w:ascii="Times New Roman" w:cs="Times New Roman" w:eastAsia="Times New Roman" w:hAnsi="Times New Roman"/>
          <w:b/>
          <w:bCs/>
          <w:color w:val="1A1A1A"/>
          <w:sz w:val="24"/>
          <w:szCs w:val="24"/>
        </w:rPr>
        <w:t xml:space="preserve">3.4 Pre-task Measures</w:t>
      </w:r>
    </w:p>
    <w:p>
      <w:pPr>
        <w:spacing w:after="160" w:line="288"/>
        <w:jc w:val="both"/>
      </w:pPr>
      <w:r>
        <w:rPr>
          <w:rFonts w:ascii="Times New Roman" w:cs="Times New Roman" w:eastAsia="Times New Roman" w:hAnsi="Times New Roman"/>
          <w:sz w:val="24"/>
          <w:szCs w:val="24"/>
        </w:rPr>
        <w:t xml:space="preserve">Before beginning the loan decision task, all participants completed three validated individual difference scales via Qualtrics:</w:t>
      </w:r>
    </w:p>
    <w:p>
      <w:pPr>
        <w:spacing w:after="80"/>
      </w:pPr>
      <w:r>
        <w:t xml:space="preserve"/>
      </w:r>
    </w:p>
    <w:p>
      <w:pPr>
        <w:spacing w:after="160" w:line="288"/>
        <w:jc w:val="both"/>
      </w:pPr>
      <w:r>
        <w:rPr>
          <w:rFonts w:ascii="Times New Roman" w:cs="Times New Roman" w:eastAsia="Times New Roman" w:hAnsi="Times New Roman"/>
          <w:sz w:val="24"/>
          <w:szCs w:val="24"/>
        </w:rPr>
        <w:t xml:space="preserve">Financial Literacy Scale (Lusardi &amp; Mitchell, 2011): Three objective questions assessing understanding of interest compounding, inflation effects, and investment diversification. Scored 0–3 (correct responses).</w:t>
      </w:r>
    </w:p>
    <w:p>
      <w:pPr>
        <w:spacing w:after="80"/>
      </w:pPr>
      <w:r>
        <w:t xml:space="preserve"/>
      </w:r>
    </w:p>
    <w:p>
      <w:pPr>
        <w:spacing w:after="160" w:line="288"/>
        <w:jc w:val="both"/>
      </w:pPr>
      <w:r>
        <w:rPr>
          <w:rFonts w:ascii="Times New Roman" w:cs="Times New Roman" w:eastAsia="Times New Roman" w:hAnsi="Times New Roman"/>
          <w:sz w:val="24"/>
          <w:szCs w:val="24"/>
        </w:rPr>
        <w:t xml:space="preserve">Need for Cognition Scale (Cacioppo &amp; Petty, 1982; abbreviated): Six items assessing preference for cognitively effortful tasks (e.g., 'I prefer complex problems to simple ones'). Rated 1–5; two items reverse-scored; total range 6–30.</w:t>
      </w:r>
    </w:p>
    <w:p>
      <w:pPr>
        <w:spacing w:after="80"/>
      </w:pPr>
      <w:r>
        <w:t xml:space="preserve"/>
      </w:r>
    </w:p>
    <w:p>
      <w:pPr>
        <w:spacing w:after="160" w:line="288"/>
        <w:jc w:val="both"/>
      </w:pPr>
      <w:r>
        <w:rPr>
          <w:rFonts w:ascii="Times New Roman" w:cs="Times New Roman" w:eastAsia="Times New Roman" w:hAnsi="Times New Roman"/>
          <w:sz w:val="24"/>
          <w:szCs w:val="24"/>
        </w:rPr>
        <w:t xml:space="preserve">Technology Disposition Scale (Venkatesh et al., 2003): Four items assessing comfort with AI-powered systems (e.g., 'I am comfortable making decisions with the help of automated systems'). Rated 1–5; total range 4–20.</w:t>
      </w:r>
    </w:p>
    <w:p>
      <w:pPr>
        <w:pStyle w:val="Heading2"/>
        <w:spacing w:after="160" w:before="320"/>
      </w:pPr>
      <w:r>
        <w:rPr>
          <w:rFonts w:ascii="Times New Roman" w:cs="Times New Roman" w:eastAsia="Times New Roman" w:hAnsi="Times New Roman"/>
          <w:b/>
          <w:bCs/>
          <w:color w:val="1A1A1A"/>
          <w:sz w:val="24"/>
          <w:szCs w:val="24"/>
        </w:rPr>
        <w:t xml:space="preserve">3.5 Post-task Measures</w:t>
      </w:r>
    </w:p>
    <w:p>
      <w:pPr>
        <w:spacing w:after="160" w:line="288"/>
        <w:jc w:val="both"/>
      </w:pPr>
      <w:r>
        <w:rPr>
          <w:rFonts w:ascii="Times New Roman" w:cs="Times New Roman" w:eastAsia="Times New Roman" w:hAnsi="Times New Roman"/>
          <w:sz w:val="24"/>
          <w:szCs w:val="24"/>
        </w:rPr>
        <w:t xml:space="preserve">Following the loan decision task, participants completed a post-task Qualtrics survey including:</w:t>
      </w:r>
    </w:p>
    <w:p>
      <w:pPr>
        <w:spacing w:after="80"/>
      </w:pPr>
      <w:r>
        <w:t xml:space="preserve"/>
      </w:r>
    </w:p>
    <w:p>
      <w:pPr>
        <w:spacing w:after="160" w:line="288"/>
        <w:jc w:val="both"/>
      </w:pPr>
      <w:r>
        <w:rPr>
          <w:rFonts w:ascii="Times New Roman" w:cs="Times New Roman" w:eastAsia="Times New Roman" w:hAnsi="Times New Roman"/>
          <w:sz w:val="24"/>
          <w:szCs w:val="24"/>
        </w:rPr>
        <w:t xml:space="preserve">Trust in Automation Scale (Jian, Bisantz &amp; Drury, 2000): Twelve items on a 7-point scale assessing trust in the AI system (e.g., 'I can trust the system'; five items reverse-scored for distrust). Mean scores reported; range 1–7.</w:t>
      </w:r>
    </w:p>
    <w:p>
      <w:pPr>
        <w:spacing w:after="80"/>
      </w:pPr>
      <w:r>
        <w:t xml:space="preserve"/>
      </w:r>
    </w:p>
    <w:p>
      <w:pPr>
        <w:spacing w:after="160" w:line="288"/>
        <w:jc w:val="both"/>
      </w:pPr>
      <w:r>
        <w:rPr>
          <w:rFonts w:ascii="Times New Roman" w:cs="Times New Roman" w:eastAsia="Times New Roman" w:hAnsi="Times New Roman"/>
          <w:sz w:val="24"/>
          <w:szCs w:val="24"/>
        </w:rPr>
        <w:t xml:space="preserve">Perceived Fairness Scale (Lee, 2018): Six items assessing perceived fairness of the AI decision process (e.g., 'The AI system applied consistent standards to all applicants'; one item reverse-scored). Rated 1–7; mean scores reported.</w:t>
      </w:r>
    </w:p>
    <w:p>
      <w:pPr>
        <w:spacing w:after="80"/>
      </w:pPr>
      <w:r>
        <w:t xml:space="preserve"/>
      </w:r>
    </w:p>
    <w:p>
      <w:pPr>
        <w:spacing w:after="160" w:line="288"/>
        <w:jc w:val="both"/>
      </w:pPr>
      <w:r>
        <w:rPr>
          <w:rFonts w:ascii="Times New Roman" w:cs="Times New Roman" w:eastAsia="Times New Roman" w:hAnsi="Times New Roman"/>
          <w:sz w:val="24"/>
          <w:szCs w:val="24"/>
        </w:rPr>
        <w:t xml:space="preserve">Behavioural Intent Items: Single items assessing appeal intent ('If you received a declined decision, would you appeal it?', 1–5) and re-trust intent ('Would you trust this organisation again?', 1–5).</w:t>
      </w:r>
    </w:p>
    <w:p>
      <w:pPr>
        <w:spacing w:after="80"/>
      </w:pPr>
      <w:r>
        <w:t xml:space="preserve"/>
      </w:r>
    </w:p>
    <w:p>
      <w:pPr>
        <w:spacing w:after="160" w:line="288"/>
        <w:jc w:val="both"/>
      </w:pPr>
      <w:r>
        <w:rPr>
          <w:rFonts w:ascii="Times New Roman" w:cs="Times New Roman" w:eastAsia="Times New Roman" w:hAnsi="Times New Roman"/>
          <w:sz w:val="24"/>
          <w:szCs w:val="24"/>
        </w:rPr>
        <w:t xml:space="preserve">Mental Model Accuracy: Participants estimated the percentage of scenarios in which the AI was correct (true answer: 70%). Mental model accuracy was operationalised as a binary variable (1 = estimate within ±10% of the true accuracy).</w:t>
      </w:r>
    </w:p>
    <w:p>
      <w:pPr>
        <w:spacing w:after="80"/>
      </w:pPr>
      <w:r>
        <w:t xml:space="preserve"/>
      </w:r>
    </w:p>
    <w:p>
      <w:pPr>
        <w:spacing w:after="160" w:line="288"/>
        <w:jc w:val="both"/>
      </w:pPr>
      <w:r>
        <w:rPr>
          <w:rFonts w:ascii="Times New Roman" w:cs="Times New Roman" w:eastAsia="Times New Roman" w:hAnsi="Times New Roman"/>
          <w:sz w:val="24"/>
          <w:szCs w:val="24"/>
        </w:rPr>
        <w:t xml:space="preserve">Suspicion Probe: An open-ended question asked participants whether they had formed any idea about the specific focus of the research. Participants who correctly identified trust in AI as the research focus were excluded from analysis per the pre-registration protocol.</w:t>
      </w:r>
    </w:p>
    <w:p>
      <w:pPr>
        <w:pStyle w:val="Heading2"/>
        <w:spacing w:after="160" w:before="320"/>
      </w:pPr>
      <w:r>
        <w:rPr>
          <w:rFonts w:ascii="Times New Roman" w:cs="Times New Roman" w:eastAsia="Times New Roman" w:hAnsi="Times New Roman"/>
          <w:b/>
          <w:bCs/>
          <w:color w:val="1A1A1A"/>
          <w:sz w:val="24"/>
          <w:szCs w:val="24"/>
        </w:rPr>
        <w:t xml:space="preserve">3.6 Semi-structured Interview</w:t>
      </w:r>
    </w:p>
    <w:p>
      <w:pPr>
        <w:spacing w:after="160" w:line="288"/>
        <w:jc w:val="both"/>
      </w:pPr>
      <w:r>
        <w:rPr>
          <w:rFonts w:ascii="Times New Roman" w:cs="Times New Roman" w:eastAsia="Times New Roman" w:hAnsi="Times New Roman"/>
          <w:sz w:val="24"/>
          <w:szCs w:val="24"/>
        </w:rPr>
        <w:t xml:space="preserve">A subset of 24 participants (eight per condition) completed a 20–25 minute semi-structured interview after the post-task survey. Interviews were audio-recorded with participant consent and transcribed using Otter.ai followed by manual correction. Interview questions explored participants' trust reasoning ('Walk me through your thinking when you decided to follow or override the AI'), emotional responses to AI errors ('How did you feel when the AI made a recommendation you disagreed with?'), and perceptions of fairness and transparency ('Did the way the AI explained its decision change how much you trusted it?'). Thematic analysis following Braun and Clarke's (2019) reflexive approach was conducted on the transcripts, producing four primary themes reported in Section 5.2.</w:t>
      </w:r>
    </w:p>
    <w:p>
      <w:pPr>
        <w:pStyle w:val="Heading2"/>
        <w:spacing w:after="160" w:before="320"/>
      </w:pPr>
      <w:r>
        <w:rPr>
          <w:rFonts w:ascii="Times New Roman" w:cs="Times New Roman" w:eastAsia="Times New Roman" w:hAnsi="Times New Roman"/>
          <w:b/>
          <w:bCs/>
          <w:color w:val="1A1A1A"/>
          <w:sz w:val="24"/>
          <w:szCs w:val="24"/>
        </w:rPr>
        <w:t xml:space="preserve">3.7 Data Analysis</w:t>
      </w:r>
    </w:p>
    <w:p>
      <w:pPr>
        <w:spacing w:after="160" w:line="288"/>
        <w:jc w:val="both"/>
      </w:pPr>
      <w:r>
        <w:rPr>
          <w:rFonts w:ascii="Times New Roman" w:cs="Times New Roman" w:eastAsia="Times New Roman" w:hAnsi="Times New Roman"/>
          <w:sz w:val="24"/>
          <w:szCs w:val="24"/>
        </w:rPr>
        <w:t xml:space="preserve">Quantitative analysis was conducted using Python 3.12 with pandas, scipy, pingouin, and statsmodels libraries. The analysis pipeline was pre-registered and version-controlled on GitHub (https://github.com/abdullaalnomanco/trust-calibration-fmp). Three analytical approaches were employed:</w:t>
      </w:r>
    </w:p>
    <w:p>
      <w:pPr>
        <w:spacing w:after="80"/>
      </w:pPr>
      <w:r>
        <w:t xml:space="preserve"/>
      </w:r>
    </w:p>
    <w:p>
      <w:pPr>
        <w:spacing w:after="160" w:line="288"/>
        <w:jc w:val="both"/>
      </w:pPr>
      <w:r>
        <w:rPr>
          <w:rFonts w:ascii="Times New Roman" w:cs="Times New Roman" w:eastAsia="Times New Roman" w:hAnsi="Times New Roman"/>
          <w:sz w:val="24"/>
          <w:szCs w:val="24"/>
        </w:rPr>
        <w:t xml:space="preserve">One-way ANOVA with Tukey–Kramer post-hoc correction was used to test condition effects on all continuous outcome measures. Effect sizes are reported as eta-squared (η²), with benchmarks of .06 (medium) and .14 (large) following Richardson (2011).</w:t>
      </w:r>
    </w:p>
    <w:p>
      <w:pPr>
        <w:spacing w:after="80"/>
      </w:pPr>
      <w:r>
        <w:t xml:space="preserve"/>
      </w:r>
    </w:p>
    <w:p>
      <w:pPr>
        <w:spacing w:after="160" w:line="288"/>
        <w:jc w:val="both"/>
      </w:pPr>
      <w:r>
        <w:rPr>
          <w:rFonts w:ascii="Times New Roman" w:cs="Times New Roman" w:eastAsia="Times New Roman" w:hAnsi="Times New Roman"/>
          <w:sz w:val="24"/>
          <w:szCs w:val="24"/>
        </w:rPr>
        <w:t xml:space="preserve">Bradley-Terry pairwise dominance modelling was used to estimate latent strength parameters for each condition across all outcomes, enabling probabilistic statements about condition superiority that complement the frequentist ANOVA results.</w:t>
      </w:r>
    </w:p>
    <w:p>
      <w:pPr>
        <w:spacing w:after="80"/>
      </w:pPr>
      <w:r>
        <w:t xml:space="preserve"/>
      </w:r>
    </w:p>
    <w:p>
      <w:pPr>
        <w:spacing w:after="160" w:line="288"/>
        <w:jc w:val="both"/>
      </w:pPr>
      <w:r>
        <w:rPr>
          <w:rFonts w:ascii="Times New Roman" w:cs="Times New Roman" w:eastAsia="Times New Roman" w:hAnsi="Times New Roman"/>
          <w:sz w:val="24"/>
          <w:szCs w:val="24"/>
        </w:rPr>
        <w:t xml:space="preserve">Logistic regression was used to model the binary outcome of high AI follow rate (above-median follow rate), with condition, financial literacy, need for cognition, and technology disposition as predictors. Odds ratios with 95% confidence intervals are reported.</w:t>
      </w:r>
    </w:p>
    <w:p>
      <w:pPr>
        <w:spacing w:after="80"/>
      </w:pPr>
      <w:r>
        <w:t xml:space="preserve"/>
      </w:r>
    </w:p>
    <w:p>
      <w:pPr>
        <w:spacing w:after="160" w:line="288"/>
        <w:jc w:val="both"/>
      </w:pPr>
      <w:r>
        <w:rPr>
          <w:rFonts w:ascii="Times New Roman" w:cs="Times New Roman" w:eastAsia="Times New Roman" w:hAnsi="Times New Roman"/>
          <w:sz w:val="24"/>
          <w:szCs w:val="24"/>
        </w:rPr>
        <w:t xml:space="preserve">ANCOVA was conducted to examine individual difference moderation, with financial literacy, need for cognition, and technology disposition as covariates alongside condition as the primary factor.</w:t>
      </w:r>
    </w:p>
    <w:p>
      <w:pPr>
        <w:spacing w:after="80"/>
      </w:pPr>
      <w:r>
        <w:t xml:space="preserve"/>
      </w:r>
    </w:p>
    <w:p>
      <w:pPr>
        <w:spacing w:after="160" w:line="288"/>
        <w:jc w:val="both"/>
      </w:pPr>
      <w:r>
        <w:rPr>
          <w:rFonts w:ascii="Times New Roman" w:cs="Times New Roman" w:eastAsia="Times New Roman" w:hAnsi="Times New Roman"/>
          <w:sz w:val="24"/>
          <w:szCs w:val="24"/>
        </w:rPr>
        <w:t xml:space="preserve">Calibration score was computed for each participant as the Pearson correlation between their confidence ratings (1–5) and their decision accuracy (0/1) across the ten scenarios — a within-participant index of metacognitive accuracy (Fleming &amp; Dolan, 2012).</w:t>
      </w:r>
    </w:p>
    <w:p>
      <w:r>
        <w:br/>
      </w:r>
    </w:p>
    <w:p>
      <w:pPr>
        <w:pStyle w:val="Heading1"/>
        <w:spacing w:after="200" w:before="480"/>
      </w:pPr>
      <w:r>
        <w:rPr>
          <w:rFonts w:ascii="Times New Roman" w:cs="Times New Roman" w:eastAsia="Times New Roman" w:hAnsi="Times New Roman"/>
          <w:b/>
          <w:bCs/>
          <w:color w:val="1A1A1A"/>
          <w:sz w:val="26"/>
          <w:szCs w:val="26"/>
        </w:rPr>
        <w:t xml:space="preserve">4. RESULTS</w:t>
      </w:r>
    </w:p>
    <w:p>
      <w:pPr>
        <w:pStyle w:val="Heading2"/>
        <w:spacing w:after="160" w:before="320"/>
      </w:pPr>
      <w:r>
        <w:rPr>
          <w:rFonts w:ascii="Times New Roman" w:cs="Times New Roman" w:eastAsia="Times New Roman" w:hAnsi="Times New Roman"/>
          <w:b/>
          <w:bCs/>
          <w:color w:val="1A1A1A"/>
          <w:sz w:val="24"/>
          <w:szCs w:val="24"/>
        </w:rPr>
        <w:t xml:space="preserve">4.1 Descriptive Statistics and Condition Effects</w:t>
      </w:r>
    </w:p>
    <w:p>
      <w:pPr>
        <w:spacing w:after="160" w:line="288"/>
        <w:jc w:val="both"/>
      </w:pPr>
      <w:r>
        <w:rPr>
          <w:rFonts w:ascii="Times New Roman" w:cs="Times New Roman" w:eastAsia="Times New Roman" w:hAnsi="Times New Roman"/>
          <w:sz w:val="24"/>
          <w:szCs w:val="24"/>
        </w:rPr>
        <w:t xml:space="preserve">Table 1 presents means, standard deviations, and ANOVA results for all outcome measures across the three conditions. The analysis sample comprised N=630 participants following exclusion of 48 who identified the study's focus during the suspicion probe.</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1. Means, Standard Deviations, and One-Way ANOVA Results by Explanation Condition (N=630)</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600"/>
        <w:gridCol w:w="820"/>
        <w:gridCol w:w="820"/>
        <w:gridCol w:w="820"/>
        <w:gridCol w:w="820"/>
        <w:gridCol w:w="820"/>
        <w:gridCol w:w="820"/>
        <w:gridCol w:w="660"/>
        <w:gridCol w:w="500"/>
      </w:tblGrid>
      <w:tr>
        <w:trPr>
          <w:tblHeader/>
        </w:trPr>
        <w:tc>
          <w:tcPr>
            <w:tcW w:type="dxa" w:w="26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Measure</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M_A</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SD_A</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M_B</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SD_B</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M_C</w:t>
            </w:r>
          </w:p>
        </w:tc>
        <w:tc>
          <w:tcPr>
            <w:tcW w:type="dxa" w:w="82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SD_C</w:t>
            </w:r>
          </w:p>
        </w:tc>
        <w:tc>
          <w:tcPr>
            <w:tcW w:type="dxa" w:w="66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F</w:t>
            </w:r>
          </w:p>
        </w:tc>
        <w:tc>
          <w:tcPr>
            <w:tcW w:type="dxa" w:w="5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η²</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0.655</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0.146</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0.591</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0.157</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0.502</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0.181</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45.69***</w:t>
            </w:r>
          </w:p>
        </w:tc>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0.127</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Calibration Score</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0.046</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0.222</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0.020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0.195</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0.230</w:t>
            </w:r>
          </w:p>
        </w:tc>
        <w:tc>
          <w:tcPr>
            <w:tcW w:type="dxa" w:w="6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2.31 ns</w:t>
            </w:r>
          </w:p>
        </w:tc>
        <w:tc>
          <w:tcPr>
            <w:tcW w:type="dxa" w:w="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1.050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1.354</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0.857</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1.748</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0.823</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37.47***</w:t>
            </w:r>
          </w:p>
        </w:tc>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0.107</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Trust in Automation</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4.633</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0.698</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4.290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0.661</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3.912</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6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57.27***</w:t>
            </w:r>
          </w:p>
        </w:tc>
        <w:tc>
          <w:tcPr>
            <w:tcW w:type="dxa" w:w="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4.113</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0.914</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4.564</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0.919</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5.330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0.818</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98.48***</w:t>
            </w:r>
          </w:p>
        </w:tc>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0.239</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2.502</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0.991</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3.054</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3.786</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0.994</w:t>
            </w:r>
          </w:p>
        </w:tc>
        <w:tc>
          <w:tcPr>
            <w:tcW w:type="dxa" w:w="6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86.59***</w:t>
            </w:r>
          </w:p>
        </w:tc>
        <w:tc>
          <w:tcPr>
            <w:tcW w:type="dxa" w:w="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0.216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Re-trust Intent</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3.279</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3.462</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0.985</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3.078</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8.90***</w:t>
            </w:r>
          </w:p>
        </w:tc>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0.028</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Mental Model Estimate(%)</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79.99</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16.54</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81.89</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15.10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81.85</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15.53</w:t>
            </w:r>
          </w:p>
        </w:tc>
        <w:tc>
          <w:tcPr>
            <w:tcW w:type="dxa" w:w="6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 ns</w:t>
            </w:r>
          </w:p>
        </w:tc>
        <w:tc>
          <w:tcPr>
            <w:tcW w:type="dxa" w:w="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Response Time (ms)</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14700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1560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16157</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1671</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19358</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1659</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436.08***</w:t>
            </w:r>
          </w:p>
        </w:tc>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0.582</w:t>
            </w:r>
          </w:p>
        </w:tc>
      </w:tr>
      <w:tr>
        <w:tc>
          <w:tcPr>
            <w:tcW w:type="dxa" w:w="8680"/>
            <w:tcBorders>
              <w:top w:val="single" w:color="555555"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 p &lt; .001; ns = not significant. Condition A = no explanation (n=201); Condition B = surface explanation (n=223); Condition C = counterfactual explanation (n=206). η² = eta-squared effect size.</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Seven of nine outcome measures showed significant condition effects. AI follow rate exhibited a monotonic decrease across conditions: Condition A (M=0.655, SD=0.146), Condition B (M=0.591, SD=0.157), and Condition C (M=0.502, SD=0.181), F(2,627)=45.69, p&lt;.001, η²=0.127. This represents a medium effect size, indicating that explanation type accounted for approximately 12.7% of variance in follow-rate. AI errors caught followed the complementary pattern, increasing from Condition A (M=1.050) through B (M=1.354) to C (M=1.748), F(2,627)=37.47, p&lt;.001, η²=0.107.</w:t>
      </w:r>
    </w:p>
    <w:p>
      <w:pPr>
        <w:spacing w:after="80"/>
      </w:pPr>
      <w:r>
        <w:t xml:space="preserve"/>
      </w:r>
    </w:p>
    <w:p>
      <w:pPr>
        <w:spacing w:after="160" w:line="288"/>
        <w:jc w:val="both"/>
      </w:pPr>
      <w:r>
        <w:rPr>
          <w:rFonts w:ascii="Times New Roman" w:cs="Times New Roman" w:eastAsia="Times New Roman" w:hAnsi="Times New Roman"/>
          <w:sz w:val="24"/>
          <w:szCs w:val="24"/>
        </w:rPr>
        <w:t xml:space="preserve">Perceived fairness showed the largest effect among attitudinal outcomes, η²=0.239, with Condition C substantially exceeding both A and B (M=5.330 vs M=4.113 and M=4.564 respectively). Appeal intent followed a similar pattern, rising from A (M=2.502) through B (M=3.054) to C (M=3.786), η²=0.216. Trust in Automation scale scores exhibited an inverse pattern: Condition A participants reported the highest trust (M=4.633) and Condition C the lowest (M=3.912), η²=0.154. This is consistent with the interpretation that Condition C participants appropriately reduced their trust following exposure to AI errors, while Condition A participants maintained inflated trust throughout.</w:t>
      </w:r>
    </w:p>
    <w:p>
      <w:pPr>
        <w:spacing w:after="80"/>
      </w:pPr>
      <w:r>
        <w:t xml:space="preserve"/>
      </w:r>
    </w:p>
    <w:p>
      <w:pPr>
        <w:spacing w:after="160" w:line="288"/>
        <w:jc w:val="both"/>
      </w:pPr>
      <w:r>
        <w:rPr>
          <w:rFonts w:ascii="Times New Roman" w:cs="Times New Roman" w:eastAsia="Times New Roman" w:hAnsi="Times New Roman"/>
          <w:sz w:val="24"/>
          <w:szCs w:val="24"/>
        </w:rPr>
        <w:t xml:space="preserve">Response time showed the largest effect size of any outcome, η²=0.582, with Condition C participants taking substantially longer per decision (M=19,358ms) than Condition B (M=16,157ms) or Condition A (M=14,700ms). This suggests that counterfactual explanations prompted more deliberate decision-making, consistent with the dual-process account that more information-rich explanations engage System 2 processing.</w:t>
      </w:r>
    </w:p>
    <w:p>
      <w:pPr>
        <w:spacing w:after="80"/>
      </w:pPr>
      <w:r>
        <w:t xml:space="preserve"/>
      </w:r>
    </w:p>
    <w:p>
      <w:pPr>
        <w:spacing w:after="160" w:line="288"/>
        <w:jc w:val="both"/>
      </w:pPr>
      <w:r>
        <w:rPr>
          <w:rFonts w:ascii="Times New Roman" w:cs="Times New Roman" w:eastAsia="Times New Roman" w:hAnsi="Times New Roman"/>
          <w:sz w:val="24"/>
          <w:szCs w:val="24"/>
        </w:rPr>
        <w:t xml:space="preserve">Two outcomes did not reach significance: calibration score (F=2.31, p=.10, η²=0.007) and mental model estimate (F=0.98, p=.375, η²=0.003). The non-significant calibration score finding is theoretically notable and is discussed further in Section 5.3.</w:t>
      </w:r>
    </w:p>
    <w:p>
      <w:pPr>
        <w:pStyle w:val="Heading2"/>
        <w:spacing w:after="160" w:before="320"/>
      </w:pPr>
      <w:r>
        <w:rPr>
          <w:rFonts w:ascii="Times New Roman" w:cs="Times New Roman" w:eastAsia="Times New Roman" w:hAnsi="Times New Roman"/>
          <w:b/>
          <w:bCs/>
          <w:color w:val="1A1A1A"/>
          <w:sz w:val="24"/>
          <w:szCs w:val="24"/>
        </w:rPr>
        <w:t xml:space="preserve">4.2 Post-Hoc Comparisons</w:t>
      </w:r>
    </w:p>
    <w:p>
      <w:pPr>
        <w:spacing w:after="160" w:line="288"/>
        <w:jc w:val="both"/>
      </w:pPr>
      <w:r>
        <w:rPr>
          <w:rFonts w:ascii="Times New Roman" w:cs="Times New Roman" w:eastAsia="Times New Roman" w:hAnsi="Times New Roman"/>
          <w:sz w:val="24"/>
          <w:szCs w:val="24"/>
        </w:rPr>
        <w:t xml:space="preserve">Table 2 presents Tukey–Kramer post-hoc comparisons for the four primary outcomes. All pairwise comparisons for AI follow rate, AI errors caught, perceived fairness, and appeal intent reached significance after familywise correction. Effect sizes (Hedges' g) ranged from medium (g=0.38 for A vs B on errors caught) to large (g=1.35 for A vs C on perceived fairness), with Condition C consistently showing the strongest effects.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2. Tukey–Kramer Post-Hoc Comparisons for Primary Outcome Measures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000"/>
        <w:gridCol w:w="1000"/>
        <w:gridCol w:w="1280"/>
      </w:tblGrid>
      <w:tr>
        <w:trPr>
          <w:tblHeader/>
        </w:trPr>
        <w:tc>
          <w:tcPr>
            <w:tcW w:type="dxa" w:w="22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Outcome</w:t>
            </w:r>
          </w:p>
        </w:tc>
        <w:tc>
          <w:tcPr>
            <w:tcW w:type="dxa" w:w="18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Comparison</w:t>
            </w:r>
          </w:p>
        </w:tc>
        <w:tc>
          <w:tcPr>
            <w:tcW w:type="dxa" w:w="14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Mean Diff</w:t>
            </w:r>
          </w:p>
        </w:tc>
        <w:tc>
          <w:tcPr>
            <w:tcW w:type="dxa" w:w="10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SE</w:t>
            </w:r>
          </w:p>
        </w:tc>
        <w:tc>
          <w:tcPr>
            <w:tcW w:type="dxa" w:w="10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w:t>
            </w:r>
          </w:p>
        </w:tc>
        <w:tc>
          <w:tcPr>
            <w:tcW w:type="dxa" w:w="12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Hedges' 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0.153</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0.52</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−0.304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0.075</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−0.698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0.88</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−0.394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0.074</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0.47</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−0.451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0.49</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−1.217</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0.086</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1.35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0.86</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−0.552</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0.087</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−1.284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1.29</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−0.732</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0.085</w:t>
            </w:r>
          </w:p>
        </w:tc>
        <w:tc>
          <w:tcPr>
            <w:tcW w:type="dxa" w:w="1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2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0.74</w:t>
            </w:r>
          </w:p>
        </w:tc>
      </w:tr>
      <w:tr>
        <w:tc>
          <w:tcPr>
            <w:tcW w:type="dxa" w:w="8680"/>
            <w:tcBorders>
              <w:top w:val="single" w:color="555555"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All comparisons survive Tukey–Kramer correction for familywise error. Mean differences are Condition A minus Condition B/C. Hedges' g: 0.2=small, 0.5=medium, 0.8=large.</w:t>
            </w:r>
          </w:p>
        </w:tc>
      </w:tr>
    </w:tbl>
    <w:p>
      <w:pPr>
        <w:spacing w:after="120"/>
      </w:pPr>
      <w:r>
        <w:t xml:space="preserve"/>
      </w:r>
    </w:p>
    <w:p>
      <w:pPr>
        <w:pStyle w:val="Heading2"/>
        <w:spacing w:after="160" w:before="320"/>
      </w:pPr>
      <w:r>
        <w:rPr>
          <w:rFonts w:ascii="Times New Roman" w:cs="Times New Roman" w:eastAsia="Times New Roman" w:hAnsi="Times New Roman"/>
          <w:b/>
          <w:bCs/>
          <w:color w:val="1A1A1A"/>
          <w:sz w:val="24"/>
          <w:szCs w:val="24"/>
        </w:rPr>
        <w:t xml:space="preserve">4.3 Bradley-Terry Model</w:t>
      </w:r>
    </w:p>
    <w:p>
      <w:pPr>
        <w:spacing w:after="160" w:line="288"/>
        <w:jc w:val="both"/>
      </w:pPr>
      <w:r>
        <w:rPr>
          <w:rFonts w:ascii="Times New Roman" w:cs="Times New Roman" w:eastAsia="Times New Roman" w:hAnsi="Times New Roman"/>
          <w:sz w:val="24"/>
          <w:szCs w:val="24"/>
        </w:rPr>
        <w:t xml:space="preserve">To provide a probabilistic framework for comparing condition performance across all outcomes simultaneously, Bradley-Terry pairwise dominance models were fitted for each outcome and aggregated. Table 3 presents the Bradley-Terry strength parameters and pairwise win probabilities.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3. Bradley-Terry Model Results — Pairwise Dominance Analysis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600"/>
        <w:gridCol w:w="780"/>
        <w:gridCol w:w="780"/>
        <w:gridCol w:w="780"/>
        <w:gridCol w:w="780"/>
        <w:gridCol w:w="780"/>
        <w:gridCol w:w="1180"/>
      </w:tblGrid>
      <w:tr>
        <w:trPr>
          <w:tblHeader/>
        </w:trPr>
        <w:tc>
          <w:tcPr>
            <w:tcW w:type="dxa" w:w="26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Outcome</w:t>
            </w:r>
          </w:p>
        </w:tc>
        <w:tc>
          <w:tcPr>
            <w:tcW w:type="dxa" w:w="7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Str_A</w:t>
            </w:r>
          </w:p>
        </w:tc>
        <w:tc>
          <w:tcPr>
            <w:tcW w:type="dxa" w:w="7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Str_B</w:t>
            </w:r>
          </w:p>
        </w:tc>
        <w:tc>
          <w:tcPr>
            <w:tcW w:type="dxa" w:w="7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Str_C</w:t>
            </w:r>
          </w:p>
        </w:tc>
        <w:tc>
          <w:tcPr>
            <w:tcW w:type="dxa" w:w="7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P(C&gt;A)</w:t>
            </w:r>
          </w:p>
        </w:tc>
        <w:tc>
          <w:tcPr>
            <w:tcW w:type="dxa" w:w="7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P(C&gt;B)</w:t>
            </w:r>
          </w:p>
        </w:tc>
        <w:tc>
          <w:tcPr>
            <w:tcW w:type="dxa" w:w="11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Ranking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0.537</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0.974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1.914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0.781</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0.663</w:t>
            </w:r>
          </w:p>
        </w:tc>
        <w:tc>
          <w:tcPr>
            <w:tcW w:type="dxa" w:w="1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Calibration Score</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1.145</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0.984</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0.888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0.437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0.474</w:t>
            </w:r>
          </w:p>
        </w:tc>
        <w:tc>
          <w:tcPr>
            <w:tcW w:type="dxa" w:w="11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A &gt; B &gt; 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0.519</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0.950</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2.030</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0.797</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1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0.387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0.923</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2.798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0.878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0.752</w:t>
            </w:r>
          </w:p>
        </w:tc>
        <w:tc>
          <w:tcPr>
            <w:tcW w:type="dxa" w:w="11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0.484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0.860</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2.404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0.833</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0.736</w:t>
            </w:r>
          </w:p>
        </w:tc>
        <w:tc>
          <w:tcPr>
            <w:tcW w:type="dxa" w:w="1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Trust/Automation</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0.558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0.970</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1.847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0.656</w:t>
            </w:r>
          </w:p>
        </w:tc>
        <w:tc>
          <w:tcPr>
            <w:tcW w:type="dxa" w:w="11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Mental Model</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1.041</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1.046</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0.532</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0.501</w:t>
            </w:r>
          </w:p>
        </w:tc>
        <w:tc>
          <w:tcPr>
            <w:tcW w:type="dxa" w:w="1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AGGREGATE</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0.650</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1.847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0.740</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0.659</w:t>
            </w:r>
          </w:p>
        </w:tc>
        <w:tc>
          <w:tcPr>
            <w:tcW w:type="dxa" w:w="11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8680"/>
            <w:tcBorders>
              <w:top w:val="single" w:color="555555"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Str = Bradley-Terry strength parameter (higher = stronger performance on that outcome). P(C&gt;A) = probability Condition C beats Condition A in pairwise comparison. Final row shows aggregate averages across all outcomes.</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Condition C achieved the highest Bradley-Terry strength on six of seven outcomes, with aggregate strength 1.847 compared to 0.957 for Condition B and 0.650 for Condition A. The aggregate probability that Condition C outperforms Condition A in a pairwise comparison is 0.740, and 0.659 against Condition B. Condition A produced higher Bradley-Terry strength than Condition C on calibration score only, consistent with the ANOVA finding that calibration score was not significantly differentiated across conditions. The convergence between ANOVA (which tests mean differences) and Bradley-Terry (which models pairwise dominance probability) strengthens confidence in the overall pattern: counterfactual explanation consistently produces superior trust calibration outcomes.</w:t>
      </w:r>
    </w:p>
    <w:p>
      <w:pPr>
        <w:pStyle w:val="Heading2"/>
        <w:spacing w:after="160" w:before="320"/>
      </w:pPr>
      <w:r>
        <w:rPr>
          <w:rFonts w:ascii="Times New Roman" w:cs="Times New Roman" w:eastAsia="Times New Roman" w:hAnsi="Times New Roman"/>
          <w:b/>
          <w:bCs/>
          <w:color w:val="1A1A1A"/>
          <w:sz w:val="24"/>
          <w:szCs w:val="24"/>
        </w:rPr>
        <w:t xml:space="preserve">4.4 Individual Difference Moderation</w:t>
      </w:r>
    </w:p>
    <w:p>
      <w:pPr>
        <w:spacing w:after="160" w:line="288"/>
        <w:jc w:val="both"/>
      </w:pPr>
      <w:r>
        <w:rPr>
          <w:rFonts w:ascii="Times New Roman" w:cs="Times New Roman" w:eastAsia="Times New Roman" w:hAnsi="Times New Roman"/>
          <w:sz w:val="24"/>
          <w:szCs w:val="24"/>
        </w:rPr>
        <w:t xml:space="preserve">Table 4 presents the logistic regression model predicting high AI follow rate from condition and individual difference variables.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4. Logistic Regression — Predictors of High AI Follow Rate (N=630)</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1200"/>
        <w:gridCol w:w="1580"/>
      </w:tblGrid>
      <w:tr>
        <w:trPr>
          <w:tblHeader/>
        </w:trPr>
        <w:tc>
          <w:tcPr>
            <w:tcW w:type="dxa" w:w="32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Variable</w:t>
            </w:r>
          </w:p>
        </w:tc>
        <w:tc>
          <w:tcPr>
            <w:tcW w:type="dxa" w:w="9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OR</w:t>
            </w:r>
          </w:p>
        </w:tc>
        <w:tc>
          <w:tcPr>
            <w:tcW w:type="dxa" w:w="9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CI Lower</w:t>
            </w:r>
          </w:p>
        </w:tc>
        <w:tc>
          <w:tcPr>
            <w:tcW w:type="dxa" w:w="9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CI Upper</w:t>
            </w:r>
          </w:p>
        </w:tc>
        <w:tc>
          <w:tcPr>
            <w:tcW w:type="dxa" w:w="120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w:t>
            </w:r>
          </w:p>
        </w:tc>
        <w:tc>
          <w:tcPr>
            <w:tcW w:type="dxa" w:w="1580"/>
            <w:tcBorders>
              <w:top w:val="single" w:color="AAAAAA" w:sz="2"/>
              <w:left w:val="single" w:color="AAAAAA" w:sz="1"/>
              <w:bottom w:val="single" w:color="AAAAAA" w:sz="2"/>
              <w:right w:val="single" w:color="AAAAAA"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Significance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B (vs A —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0.439</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0.293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C (vs A —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0.205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0.131</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0.322</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5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Financial Literacy (0–3)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0.808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Need for Cognition (1–5)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0.622</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0.509</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0.760</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 .001</w:t>
            </w:r>
          </w:p>
        </w:tc>
        <w:tc>
          <w:tcPr>
            <w:tcW w:type="dxa" w:w="15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Tech. Disposition (1–5)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1.175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0.943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1.463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.151</w:t>
            </w:r>
          </w:p>
        </w:tc>
        <w:tc>
          <w:tcPr>
            <w:tcW w:type="dxa" w:w="1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ns</w:t>
            </w:r>
          </w:p>
        </w:tc>
      </w:tr>
      <w:tr>
        <w:tc>
          <w:tcPr>
            <w:tcW w:type="dxa" w:w="8680"/>
            <w:tcBorders>
              <w:top w:val="single" w:color="555555"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DV = high AI follower (above median follow rate; n=630). OR = odds ratio. Intercept omitted for clarity. *** p &lt; .001; * p &lt; .05; ns = not significant.</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Condition effects remained substantial after controlling for individual differences. Compared to Condition A, participants in Condition B were 56.1% less likely to be classified as high AI followers (OR=0.439, p&lt;.001), and those in Condition C were 79.5% less likely (OR=0.205, p&lt;.001). Financial literacy was a significant negative predictor of high follow rate (OR=0.808, p=.015), indicating that each additional point of financial literacy reduced the odds of being a high follower by approximately 19%. Need for cognition showed the strongest individual-difference effect (OR=0.622, p&lt;.001): each unit increase on the five-point scale was associated with a 37.8% reduction in the odds of being a high AI follower. Technology disposition was not a significant predictor after controlling for other variables (OR=1.175, p=.151).</w:t>
      </w:r>
    </w:p>
    <w:p>
      <w:pPr>
        <w:spacing w:after="80"/>
      </w:pPr>
      <w:r>
        <w:t xml:space="preserve"/>
      </w:r>
    </w:p>
    <w:p>
      <w:pPr>
        <w:spacing w:after="160" w:line="288"/>
        <w:jc w:val="both"/>
      </w:pPr>
      <w:r>
        <w:rPr>
          <w:rFonts w:ascii="Times New Roman" w:cs="Times New Roman" w:eastAsia="Times New Roman" w:hAnsi="Times New Roman"/>
          <w:sz w:val="24"/>
          <w:szCs w:val="24"/>
        </w:rPr>
        <w:t xml:space="preserve">ANCOVA confirmed these moderation effects while controlling for condition: financial literacy (F=12.794, p&lt;.001) and need for cognition (F=22.914, p&lt;.001) were both significant covariates of AI follow rate, while technology disposition was not (F=0.622, p=.431). The condition effect remained significant after covariate adjustment (F=50.246, p&lt;.001), indicating that explanation type had an independent effect on follow rate beyond individual differences.</w:t>
      </w:r>
    </w:p>
    <w:p>
      <w:pPr>
        <w:pStyle w:val="Heading2"/>
        <w:spacing w:after="160" w:before="320"/>
      </w:pPr>
      <w:r>
        <w:rPr>
          <w:rFonts w:ascii="Times New Roman" w:cs="Times New Roman" w:eastAsia="Times New Roman" w:hAnsi="Times New Roman"/>
          <w:b/>
          <w:bCs/>
          <w:color w:val="1A1A1A"/>
          <w:sz w:val="24"/>
          <w:szCs w:val="24"/>
        </w:rPr>
        <w:t xml:space="preserve">4.5 Trust Trajectory After AI Errors</w:t>
      </w:r>
    </w:p>
    <w:p>
      <w:pPr>
        <w:spacing w:after="160" w:line="288"/>
        <w:jc w:val="both"/>
      </w:pPr>
      <w:r>
        <w:rPr>
          <w:rFonts w:ascii="Times New Roman" w:cs="Times New Roman" w:eastAsia="Times New Roman" w:hAnsi="Times New Roman"/>
          <w:sz w:val="24"/>
          <w:szCs w:val="24"/>
        </w:rPr>
        <w:t xml:space="preserve">To examine how trust recovered following AI errors on scenarios 3, 7, and 10, scenario-level follow rates were computed for each condition across the ten scenarios. The trajectory revealed condition-specific patterns of trust disruption and recovery. In Condition A, follow rates declined modestly after each AI error (average drop = −0.048) but recovered partially by the subsequent scenario. In Condition B, drops were somewhat larger (average = −0.072) and recovery was slower. In Condition C, drops were the largest (average = −0.142), but post-error follow rates in Condition C remained lower than those in Conditions A or B throughout the task, suggesting that counterfactual explanations equipped participants to maintain calibrated scepticism rather than reverting to default compliance.</w:t>
      </w:r>
    </w:p>
    <w:p>
      <w:pPr>
        <w:spacing w:after="80"/>
      </w:pPr>
      <w:r>
        <w:t xml:space="preserve"/>
      </w:r>
    </w:p>
    <w:p>
      <w:pPr>
        <w:spacing w:after="160" w:line="288"/>
        <w:jc w:val="both"/>
      </w:pPr>
      <w:r>
        <w:rPr>
          <w:rFonts w:ascii="Times New Roman" w:cs="Times New Roman" w:eastAsia="Times New Roman" w:hAnsi="Times New Roman"/>
          <w:sz w:val="24"/>
          <w:szCs w:val="24"/>
        </w:rPr>
        <w:t xml:space="preserve">This pattern is consistent with the interpretation that counterfactual explanations built stronger mental models of the AI's decision boundaries, enabling participants in Condition C to update their trust more appropriately in response to observed errors. In contrast, participants in Condition A appeared to exhibit partial trust recovery after each error — a pattern consistent with automation complacency, whereby brief disruptions to compliance are followed by reversion to default reliance.</w:t>
      </w:r>
    </w:p>
    <w:p>
      <w:r>
        <w:br/>
      </w:r>
    </w:p>
    <w:p>
      <w:pPr>
        <w:pStyle w:val="Heading1"/>
        <w:spacing w:after="200" w:before="480"/>
      </w:pPr>
      <w:r>
        <w:rPr>
          <w:rFonts w:ascii="Times New Roman" w:cs="Times New Roman" w:eastAsia="Times New Roman" w:hAnsi="Times New Roman"/>
          <w:b/>
          <w:bCs/>
          <w:color w:val="1A1A1A"/>
          <w:sz w:val="26"/>
          <w:szCs w:val="26"/>
        </w:rPr>
        <w:t xml:space="preserve">5. DISCUSSION</w:t>
      </w:r>
    </w:p>
    <w:p>
      <w:pPr>
        <w:pStyle w:val="Heading2"/>
        <w:spacing w:after="160" w:before="320"/>
      </w:pPr>
      <w:r>
        <w:rPr>
          <w:rFonts w:ascii="Times New Roman" w:cs="Times New Roman" w:eastAsia="Times New Roman" w:hAnsi="Times New Roman"/>
          <w:b/>
          <w:bCs/>
          <w:color w:val="1A1A1A"/>
          <w:sz w:val="24"/>
          <w:szCs w:val="24"/>
        </w:rPr>
        <w:t xml:space="preserve">5.1 Counterfactual Explanation and Trust Calibration</w:t>
      </w:r>
    </w:p>
    <w:p>
      <w:pPr>
        <w:spacing w:after="160" w:line="288"/>
        <w:jc w:val="both"/>
      </w:pPr>
      <w:r>
        <w:rPr>
          <w:rFonts w:ascii="Times New Roman" w:cs="Times New Roman" w:eastAsia="Times New Roman" w:hAnsi="Times New Roman"/>
          <w:sz w:val="24"/>
          <w:szCs w:val="24"/>
        </w:rPr>
        <w:t xml:space="preserve">The primary finding of this study — that counterfactual explanation produces significantly better trust calibration than surface explanation or no explanation — converges with and extends prior work in several important ways. The effect on AI follow rate (η²=0.127, a medium effect size) indicates a practically meaningful reduction in automation bias, not merely a statistically detectable one. Condition C participants followed the AI recommendation on approximately half of all scenarios (M=0.502), compared to nearly two-thirds in Condition A (M=0.655). In the three scenarios where the AI was definitively wrong, this difference in follow rate directly translates to better decision accuracy.</w:t>
      </w:r>
    </w:p>
    <w:p>
      <w:pPr>
        <w:spacing w:after="80"/>
      </w:pPr>
      <w:r>
        <w:t xml:space="preserve"/>
      </w:r>
    </w:p>
    <w:p>
      <w:pPr>
        <w:spacing w:after="160" w:line="288"/>
        <w:jc w:val="both"/>
      </w:pPr>
      <w:r>
        <w:rPr>
          <w:rFonts w:ascii="Times New Roman" w:cs="Times New Roman" w:eastAsia="Times New Roman" w:hAnsi="Times New Roman"/>
          <w:sz w:val="24"/>
          <w:szCs w:val="24"/>
        </w:rPr>
        <w:t xml:space="preserve">The mechanism by which counterfactual explanation achieves this effect appears to be mental model formation. By specifying the conditions under which the AI's decision would change, counterfactual explanations communicate the AI's decision logic in a form that participants can actively use: comparing the applicant's profile against the stated boundary conditions and independently assessing whether the AI's verdict follows. This interpretation is consistent with Byrne's (2019) account of counterfactual reasoning as a tool for causal inference, and with Cai et al.'s (2019) finding that contrastive explanations in medical AI improved user calibration.</w:t>
      </w:r>
    </w:p>
    <w:p>
      <w:pPr>
        <w:spacing w:after="80"/>
      </w:pPr>
      <w:r>
        <w:t xml:space="preserve"/>
      </w:r>
    </w:p>
    <w:p>
      <w:pPr>
        <w:spacing w:after="160" w:line="288"/>
        <w:jc w:val="both"/>
      </w:pPr>
      <w:r>
        <w:rPr>
          <w:rFonts w:ascii="Times New Roman" w:cs="Times New Roman" w:eastAsia="Times New Roman" w:hAnsi="Times New Roman"/>
          <w:sz w:val="24"/>
          <w:szCs w:val="24"/>
        </w:rPr>
        <w:t xml:space="preserve">The large effect on perceived fairness (η²=0.239) is particularly notable. Condition C participants rated the AI decision process substantially fairer than those in other conditions, despite receiving identical AI verdicts. This finding aligns with procedural justice theory (Thibaut &amp; Walker, 1975), which holds that perceived fairness is determined not only by outcome valence but by the quality of the process by which outcomes are reached. Counterfactual explanations may fulfil the procedural requirements for fairness by communicating that the AI's decisions followed coherent, stated criteria — even when those criteria resulted in unfavourable outcomes.</w:t>
      </w:r>
    </w:p>
    <w:p>
      <w:pPr>
        <w:spacing w:after="80"/>
      </w:pPr>
      <w:r>
        <w:t xml:space="preserve"/>
      </w:r>
    </w:p>
    <w:p>
      <w:pPr>
        <w:spacing w:after="160" w:line="288"/>
        <w:jc w:val="both"/>
      </w:pPr>
      <w:r>
        <w:rPr>
          <w:rFonts w:ascii="Times New Roman" w:cs="Times New Roman" w:eastAsia="Times New Roman" w:hAnsi="Times New Roman"/>
          <w:sz w:val="24"/>
          <w:szCs w:val="24"/>
        </w:rPr>
        <w:t xml:space="preserve">The pattern of results on appeal intent (η²=0.216) carries practical implications for the design of AI decision systems in regulated financial contexts. Condition C participants were more inclined to appeal a declined decision (M=3.786 vs M=2.502 in Condition A). This may initially appear undesirable from an institutional perspective. However, the EU AI Act explicitly requires that high-risk AI systems support meaningful contestability of decisions; higher appeal intent in response to counterfactual explanations suggests that these explanations fulfil this regulatory requirement by equipping users to exercise their right to challenge. Appropriate contestability is a feature of a well-designed system, not a cost.</w:t>
      </w:r>
    </w:p>
    <w:p>
      <w:pPr>
        <w:pStyle w:val="Heading2"/>
        <w:spacing w:after="160" w:before="320"/>
      </w:pPr>
      <w:r>
        <w:rPr>
          <w:rFonts w:ascii="Times New Roman" w:cs="Times New Roman" w:eastAsia="Times New Roman" w:hAnsi="Times New Roman"/>
          <w:b/>
          <w:bCs/>
          <w:color w:val="1A1A1A"/>
          <w:sz w:val="24"/>
          <w:szCs w:val="24"/>
        </w:rPr>
        <w:t xml:space="preserve">5.2 Individual Differences and the Financial Literacy Moderator</w:t>
      </w:r>
    </w:p>
    <w:p>
      <w:pPr>
        <w:spacing w:after="160" w:line="288"/>
        <w:jc w:val="both"/>
      </w:pPr>
      <w:r>
        <w:rPr>
          <w:rFonts w:ascii="Times New Roman" w:cs="Times New Roman" w:eastAsia="Times New Roman" w:hAnsi="Times New Roman"/>
          <w:sz w:val="24"/>
          <w:szCs w:val="24"/>
        </w:rPr>
        <w:t xml:space="preserve">The finding that financial literacy significantly moderated trust calibration — with higher-literacy participants showing lower follow rates and greater error detection — extends Lusardi and Mitchell's (2011) framework into the AI interaction domain. Financial literacy may confer calibration advantages through two mechanisms: first, domain knowledge enabling participants to evaluate the plausibility of AI credit decisions independently of the AI's stated reasoning; second, familiarity with financial concepts enabling more fluent processing of explanation content, particularly the factor-specific information in counterfactual explanations.</w:t>
      </w:r>
    </w:p>
    <w:p>
      <w:pPr>
        <w:spacing w:after="80"/>
      </w:pPr>
      <w:r>
        <w:t xml:space="preserve"/>
      </w:r>
    </w:p>
    <w:p>
      <w:pPr>
        <w:spacing w:after="160" w:line="288"/>
        <w:jc w:val="both"/>
      </w:pPr>
      <w:r>
        <w:rPr>
          <w:rFonts w:ascii="Times New Roman" w:cs="Times New Roman" w:eastAsia="Times New Roman" w:hAnsi="Times New Roman"/>
          <w:sz w:val="24"/>
          <w:szCs w:val="24"/>
        </w:rPr>
        <w:t xml:space="preserve">Need for cognition emerged as the strongest individual-difference predictor in the logistic regression (OR=0.622), consistent with Kahneman's (2011) dual-process account. High-NFC individuals are characterised by a preference for effortful cognitive processing, suggesting they are more likely to engage in deliberate evaluation of AI recommendations rather than heuristic compliance. This finding has design implications: interfaces that reduce cognitive load — through visual summary, progressive disclosure, or interactive exploration — may partially compensate for lower NFC among users by scaffolding the deliberate processing that produces better calibration.</w:t>
      </w:r>
    </w:p>
    <w:p>
      <w:pPr>
        <w:pStyle w:val="Heading2"/>
        <w:spacing w:after="160" w:before="320"/>
      </w:pPr>
      <w:r>
        <w:rPr>
          <w:rFonts w:ascii="Times New Roman" w:cs="Times New Roman" w:eastAsia="Times New Roman" w:hAnsi="Times New Roman"/>
          <w:b/>
          <w:bCs/>
          <w:color w:val="1A1A1A"/>
          <w:sz w:val="24"/>
          <w:szCs w:val="24"/>
        </w:rPr>
        <w:t xml:space="preserve">5.3 The Calibration Score Paradox</w:t>
      </w:r>
    </w:p>
    <w:p>
      <w:pPr>
        <w:spacing w:after="160" w:line="288"/>
        <w:jc w:val="both"/>
      </w:pPr>
      <w:r>
        <w:rPr>
          <w:rFonts w:ascii="Times New Roman" w:cs="Times New Roman" w:eastAsia="Times New Roman" w:hAnsi="Times New Roman"/>
          <w:sz w:val="24"/>
          <w:szCs w:val="24"/>
        </w:rPr>
        <w:t xml:space="preserve">The null result for the calibration score — the within-participant correlation between confidence and decision accuracy — warrants careful interpretation. Despite significant improvements in behavioural calibration (lower follow rates, more errors caught, higher fairness ratings) in Condition C, there was no corresponding improvement in metacognitive accuracy as measured by the confidence-accuracy correlation. This dissociation between behavioural and metacognitive calibration is consistent with dual-calibration frameworks (Ais et al., 2016), which distinguish between calibration of choice (whether one makes the objectively correct decision) and calibration of confidence (whether one knows how often one is correct).</w:t>
      </w:r>
    </w:p>
    <w:p>
      <w:pPr>
        <w:spacing w:after="80"/>
      </w:pPr>
      <w:r>
        <w:t xml:space="preserve"/>
      </w:r>
    </w:p>
    <w:p>
      <w:pPr>
        <w:spacing w:after="160" w:line="288"/>
        <w:jc w:val="both"/>
      </w:pPr>
      <w:r>
        <w:rPr>
          <w:rFonts w:ascii="Times New Roman" w:cs="Times New Roman" w:eastAsia="Times New Roman" w:hAnsi="Times New Roman"/>
          <w:sz w:val="24"/>
          <w:szCs w:val="24"/>
        </w:rPr>
        <w:t xml:space="preserve">One interpretation is that counterfactual explanations primarily improve decision-making quality without necessarily improving self-knowledge about decision quality. Participants in Condition C may have made better decisions by deferring to the counterfactual logic rather than by developing a genuinely more accurate sense of their own competence. This possibility has important implications for the design of explanation systems: if better explanations improve decisions without improving metacognitive calibration, then user confidence may remain poorly predictive of decision accuracy even when decision quality improves. This is a limitation that warrants investigation in future research.</w:t>
      </w:r>
    </w:p>
    <w:p>
      <w:pPr>
        <w:pStyle w:val="Heading2"/>
        <w:spacing w:after="160" w:before="320"/>
      </w:pPr>
      <w:r>
        <w:rPr>
          <w:rFonts w:ascii="Times New Roman" w:cs="Times New Roman" w:eastAsia="Times New Roman" w:hAnsi="Times New Roman"/>
          <w:b/>
          <w:bCs/>
          <w:color w:val="1A1A1A"/>
          <w:sz w:val="24"/>
          <w:szCs w:val="24"/>
        </w:rPr>
        <w:t xml:space="preserve">5.4 Qualitative Themes</w:t>
      </w:r>
    </w:p>
    <w:p>
      <w:pPr>
        <w:spacing w:after="160" w:line="288"/>
        <w:jc w:val="both"/>
      </w:pPr>
      <w:r>
        <w:rPr>
          <w:rFonts w:ascii="Times New Roman" w:cs="Times New Roman" w:eastAsia="Times New Roman" w:hAnsi="Times New Roman"/>
          <w:sz w:val="24"/>
          <w:szCs w:val="24"/>
        </w:rPr>
        <w:t xml:space="preserve">Thematic analysis of 24 interview transcripts produced four primary themes that contextualise and deepen the quantitative findings:</w:t>
      </w:r>
    </w:p>
    <w:p>
      <w:pPr>
        <w:spacing w:after="80"/>
      </w:pPr>
      <w:r>
        <w:t xml:space="preserve"/>
      </w:r>
    </w:p>
    <w:p>
      <w:pPr>
        <w:pStyle w:val="Heading3"/>
        <w:spacing w:after="120" w:before="240"/>
      </w:pPr>
      <w:r>
        <w:rPr>
          <w:rFonts w:ascii="Times New Roman" w:cs="Times New Roman" w:eastAsia="Times New Roman" w:hAnsi="Times New Roman"/>
          <w:b/>
          <w:bCs/>
          <w:i/>
          <w:iCs/>
          <w:color w:val="1A1A1A"/>
          <w:sz w:val="24"/>
          <w:szCs w:val="24"/>
        </w:rPr>
        <w:t xml:space="preserve">Theme 1: Explanation as Authority Transfer</w:t>
      </w:r>
    </w:p>
    <w:p>
      <w:pPr>
        <w:spacing w:after="160" w:line="288"/>
        <w:jc w:val="both"/>
      </w:pPr>
      <w:r>
        <w:rPr>
          <w:rFonts w:ascii="Times New Roman" w:cs="Times New Roman" w:eastAsia="Times New Roman" w:hAnsi="Times New Roman"/>
          <w:sz w:val="24"/>
          <w:szCs w:val="24"/>
        </w:rPr>
        <w:t xml:space="preserve">Across all three conditions, participants described the AI recommendation as conferring a form of institutional authority. However, the form of this authority differed by condition. In Condition A, authority was experienced as opaque and unconditional: 'It said decline, so I declined. Who am I to argue with a system?' In Condition C, authority was experienced as conditional and contestable: 'When it told me what would actually change the decision, I could see whether it made sense. And sometimes it didn't, so I disagreed.' Counterfactual explanations appeared to transform the AI's authority from institutional to evidential — from 'the system says so' to 'the system reasons thus, and I can evaluate that reasoning.'</w:t>
      </w:r>
    </w:p>
    <w:p>
      <w:pPr>
        <w:pStyle w:val="Heading3"/>
        <w:spacing w:after="120" w:before="240"/>
      </w:pPr>
      <w:r>
        <w:rPr>
          <w:rFonts w:ascii="Times New Roman" w:cs="Times New Roman" w:eastAsia="Times New Roman" w:hAnsi="Times New Roman"/>
          <w:b/>
          <w:bCs/>
          <w:i/>
          <w:iCs/>
          <w:color w:val="1A1A1A"/>
          <w:sz w:val="24"/>
          <w:szCs w:val="24"/>
        </w:rPr>
        <w:t xml:space="preserve">Theme 2: Emotional Disruption After AI Error</w:t>
      </w:r>
    </w:p>
    <w:p>
      <w:pPr>
        <w:spacing w:after="160" w:line="288"/>
        <w:jc w:val="both"/>
      </w:pPr>
      <w:r>
        <w:rPr>
          <w:rFonts w:ascii="Times New Roman" w:cs="Times New Roman" w:eastAsia="Times New Roman" w:hAnsi="Times New Roman"/>
          <w:sz w:val="24"/>
          <w:szCs w:val="24"/>
        </w:rPr>
        <w:t xml:space="preserve">Trust crashes following AI errors were consistently described in emotional terms — anger, betrayal, disorientation — rather than purely cognitive terms. Participants in Condition A expressed the strongest emotional disruption: 'I felt like I'd been lied to. I just followed it and it was wrong.' Participants in Condition C expressed more modulated responses: 'I thought something seemed off about that one anyway, because the numbers didn't quite match what it said would change things.' The counterfactual logic appeared to provide a cognitive framework for anticipating and evaluating error, reducing the emotional shock when errors occurred. This theme suggests that the mechanism by which counterfactual explanations improve trust calibration may be partly emotional — not only by enabling better decision-making but by changing the quality of the user's affective response to AI errors.</w:t>
      </w:r>
    </w:p>
    <w:p>
      <w:pPr>
        <w:pStyle w:val="Heading3"/>
        <w:spacing w:after="120" w:before="240"/>
      </w:pPr>
      <w:r>
        <w:rPr>
          <w:rFonts w:ascii="Times New Roman" w:cs="Times New Roman" w:eastAsia="Times New Roman" w:hAnsi="Times New Roman"/>
          <w:b/>
          <w:bCs/>
          <w:i/>
          <w:iCs/>
          <w:color w:val="1A1A1A"/>
          <w:sz w:val="24"/>
          <w:szCs w:val="24"/>
        </w:rPr>
        <w:t xml:space="preserve">Theme 3: Actionability as a Fairness Criterion</w:t>
      </w:r>
    </w:p>
    <w:p>
      <w:pPr>
        <w:spacing w:after="160" w:line="288"/>
        <w:jc w:val="both"/>
      </w:pPr>
      <w:r>
        <w:rPr>
          <w:rFonts w:ascii="Times New Roman" w:cs="Times New Roman" w:eastAsia="Times New Roman" w:hAnsi="Times New Roman"/>
          <w:sz w:val="24"/>
          <w:szCs w:val="24"/>
        </w:rPr>
        <w:t xml:space="preserve">Across all conditions, participants spontaneously referenced fairness in their accounts of the AI decision process. However, the content of fairness concerns differed. In Conditions A and B, fairness was discussed in terms of outcome fairness — whether the decision was 'right' or 'fair to the person'. In Condition C, fairness was additionally discussed in terms of procedural fairness — whether the decision was explicable and contestable. Participants in Condition C more frequently referenced what an applicant could do in response to a declined decision, suggesting that counterfactual explanations activated a sense of agency that was absent in other conditions.</w:t>
      </w:r>
    </w:p>
    <w:p>
      <w:pPr>
        <w:pStyle w:val="Heading3"/>
        <w:spacing w:after="120" w:before="240"/>
      </w:pPr>
      <w:r>
        <w:rPr>
          <w:rFonts w:ascii="Times New Roman" w:cs="Times New Roman" w:eastAsia="Times New Roman" w:hAnsi="Times New Roman"/>
          <w:b/>
          <w:bCs/>
          <w:i/>
          <w:iCs/>
          <w:color w:val="1A1A1A"/>
          <w:sz w:val="24"/>
          <w:szCs w:val="24"/>
        </w:rPr>
        <w:t xml:space="preserve">Theme 4: Financial Literacy as a Buffer Against Automation Bias</w:t>
      </w:r>
    </w:p>
    <w:p>
      <w:pPr>
        <w:spacing w:after="160" w:line="288"/>
        <w:jc w:val="both"/>
      </w:pPr>
      <w:r>
        <w:rPr>
          <w:rFonts w:ascii="Times New Roman" w:cs="Times New Roman" w:eastAsia="Times New Roman" w:hAnsi="Times New Roman"/>
          <w:sz w:val="24"/>
          <w:szCs w:val="24"/>
        </w:rPr>
        <w:t xml:space="preserve">Consistent with the quantitative moderation finding, participants with high financial literacy described more active, critical engagement with AI recommendations across all conditions. However, the interaction between financial literacy and explanation type was qualitatively important: high-literacy participants in Condition A still described critical engagement, but reported difficulty without a clear anchor: 'I knew something didn't add up but I couldn't quite put my finger on it.' High-literacy participants in Condition C described the counterfactual as providing exactly the anchor they needed: 'When it gave me the specific numbers, I could check them against what I knew about credit. That's when I spotted it was wrong.' For lower-literacy participants, counterfactual explanations also appeared beneficial, though some expressed difficulty with the conditional framing: 'I wasn't sure what the numbers meant, but at least I knew what to look for.'</w:t>
      </w:r>
    </w:p>
    <w:p>
      <w:pPr>
        <w:pStyle w:val="Heading2"/>
        <w:spacing w:after="160" w:before="320"/>
      </w:pPr>
      <w:r>
        <w:rPr>
          <w:rFonts w:ascii="Times New Roman" w:cs="Times New Roman" w:eastAsia="Times New Roman" w:hAnsi="Times New Roman"/>
          <w:b/>
          <w:bCs/>
          <w:color w:val="1A1A1A"/>
          <w:sz w:val="24"/>
          <w:szCs w:val="24"/>
        </w:rPr>
        <w:t xml:space="preserve">5.5 Theoretical Contributions</w:t>
      </w:r>
    </w:p>
    <w:p>
      <w:pPr>
        <w:spacing w:after="160" w:line="288"/>
        <w:jc w:val="both"/>
      </w:pPr>
      <w:r>
        <w:rPr>
          <w:rFonts w:ascii="Times New Roman" w:cs="Times New Roman" w:eastAsia="Times New Roman" w:hAnsi="Times New Roman"/>
          <w:sz w:val="24"/>
          <w:szCs w:val="24"/>
        </w:rPr>
        <w:t xml:space="preserve">This study makes three primary theoretical contributions. First, it extends Lee and See's (2004) trust calibration framework to the domain of financial AI, demonstrating that explanation type is a significant determinant of calibration quality — a finding that was theoretically predicted but empirically underspecified. Second, it documents a dissociation between behavioural and metacognitive calibration, contributing to the growing literature on dual-calibration in human-AI interaction. Third, it demonstrates that counterfactual explanations fulfil a procedural justice function — producing perceptions of fairness that exceed those generated by outcome-identical but explanation-different alternatives — adding an affective and normative dimension to the predominantly cognitive XAI literature.</w:t>
      </w:r>
    </w:p>
    <w:p>
      <w:pPr>
        <w:pStyle w:val="Heading2"/>
        <w:spacing w:after="160" w:before="320"/>
      </w:pPr>
      <w:r>
        <w:rPr>
          <w:rFonts w:ascii="Times New Roman" w:cs="Times New Roman" w:eastAsia="Times New Roman" w:hAnsi="Times New Roman"/>
          <w:b/>
          <w:bCs/>
          <w:color w:val="1A1A1A"/>
          <w:sz w:val="24"/>
          <w:szCs w:val="24"/>
        </w:rPr>
        <w:t xml:space="preserve">5.6 Limitations</w:t>
      </w:r>
    </w:p>
    <w:p>
      <w:pPr>
        <w:spacing w:after="160" w:line="288"/>
        <w:jc w:val="both"/>
      </w:pPr>
      <w:r>
        <w:rPr>
          <w:rFonts w:ascii="Times New Roman" w:cs="Times New Roman" w:eastAsia="Times New Roman" w:hAnsi="Times New Roman"/>
          <w:sz w:val="24"/>
          <w:szCs w:val="24"/>
        </w:rPr>
        <w:t xml:space="preserve">Several limitations constrain the generalisability of these findings. First, the use of a simulated AI system in a fictional scenario context limits ecological validity: participants knew their decisions had no real consequences, and the AI system was not a genuine machine-learning model but a scripted decision sequence. However, the use of a fictional scenario is consistent with standard practice in HCI research on sensitive topics and enabled experimental control that would not be achievable with real financial data.</w:t>
      </w:r>
    </w:p>
    <w:p>
      <w:pPr>
        <w:spacing w:after="80"/>
      </w:pPr>
      <w:r>
        <w:t xml:space="preserve"/>
      </w:r>
    </w:p>
    <w:p>
      <w:pPr>
        <w:spacing w:after="160" w:line="288"/>
        <w:jc w:val="both"/>
      </w:pPr>
      <w:r>
        <w:rPr>
          <w:rFonts w:ascii="Times New Roman" w:cs="Times New Roman" w:eastAsia="Times New Roman" w:hAnsi="Times New Roman"/>
          <w:sz w:val="24"/>
          <w:szCs w:val="24"/>
        </w:rPr>
        <w:t xml:space="preserve">Second, the sample was predominantly university-educated, which may inflate the prevalence of high financial literacy and need for cognition relative to the general population. This limits the generalisability of findings to populations with lower literacy or cognitive engagement. Third, the study was conducted in a single session, precluding investigation of longitudinal trust dynamics and learning effects. Fourth, the interview subsample was not stratified by quantitative outcome, meaning the qualitative themes may not be fully representative of all quantitative response patterns.</w:t>
      </w:r>
    </w:p>
    <w:p>
      <w:r>
        <w:br/>
      </w:r>
    </w:p>
    <w:p>
      <w:pPr>
        <w:pStyle w:val="Heading1"/>
        <w:spacing w:after="200" w:before="480"/>
      </w:pPr>
      <w:r>
        <w:rPr>
          <w:rFonts w:ascii="Times New Roman" w:cs="Times New Roman" w:eastAsia="Times New Roman" w:hAnsi="Times New Roman"/>
          <w:b/>
          <w:bCs/>
          <w:color w:val="1A1A1A"/>
          <w:sz w:val="26"/>
          <w:szCs w:val="26"/>
        </w:rPr>
        <w:t xml:space="preserve">6. EVIDENCE-BASED INTERFACE DESIGN: CLEARLEND AI</w:t>
      </w:r>
    </w:p>
    <w:p>
      <w:pPr>
        <w:pStyle w:val="Heading2"/>
        <w:spacing w:after="160" w:before="320"/>
      </w:pPr>
      <w:r>
        <w:rPr>
          <w:rFonts w:ascii="Times New Roman" w:cs="Times New Roman" w:eastAsia="Times New Roman" w:hAnsi="Times New Roman"/>
          <w:b/>
          <w:bCs/>
          <w:color w:val="1A1A1A"/>
          <w:sz w:val="24"/>
          <w:szCs w:val="24"/>
        </w:rPr>
        <w:t xml:space="preserve">6.1 Design Rationale</w:t>
      </w:r>
    </w:p>
    <w:p>
      <w:pPr>
        <w:spacing w:after="160" w:line="288"/>
        <w:jc w:val="both"/>
      </w:pPr>
      <w:r>
        <w:rPr>
          <w:rFonts w:ascii="Times New Roman" w:cs="Times New Roman" w:eastAsia="Times New Roman" w:hAnsi="Times New Roman"/>
          <w:sz w:val="24"/>
          <w:szCs w:val="24"/>
        </w:rPr>
        <w:t xml:space="preserve">Following the empirical study, the research findings were translated into a high-fidelity interface prototype — ClearLend AI — representing what an AI credit decision explanation system should look like given the empirical evidence. This translation instantiates the research-through-design methodology (Zimmerman et al., 2007), in which empirical findings directly motivate and justify design decisions. Each design choice is annotated with its specific empirical basis, making the connection between evidence and design explicit and auditable.</w:t>
      </w:r>
    </w:p>
    <w:p>
      <w:pPr>
        <w:spacing w:after="80"/>
      </w:pPr>
      <w:r>
        <w:t xml:space="preserve"/>
      </w:r>
    </w:p>
    <w:p>
      <w:pPr>
        <w:spacing w:after="160" w:line="288"/>
        <w:jc w:val="both"/>
      </w:pPr>
      <w:r>
        <w:rPr>
          <w:rFonts w:ascii="Times New Roman" w:cs="Times New Roman" w:eastAsia="Times New Roman" w:hAnsi="Times New Roman"/>
          <w:sz w:val="24"/>
          <w:szCs w:val="24"/>
        </w:rPr>
        <w:t xml:space="preserve">The interface was designed for mobile-first deployment, reflecting the dominant channel for financial service interaction in the UK (FCA, 2023). Design tokens (colour palette, typography, spacing) were established following WCAG 2.2 AA accessibility standards, with minimum contrast ratios of 4.5:1 for all text elements. The visual language draws on established fintech design conventions to ensure cognitive accessibility — an important consideration given the evidence that counterfactual explanations can overwhelm users with lower financial literacy if presented without careful visual hierarchy.</w:t>
      </w:r>
    </w:p>
    <w:p>
      <w:pPr>
        <w:pStyle w:val="Heading2"/>
        <w:spacing w:after="160" w:before="320"/>
      </w:pPr>
      <w:r>
        <w:rPr>
          <w:rFonts w:ascii="Times New Roman" w:cs="Times New Roman" w:eastAsia="Times New Roman" w:hAnsi="Times New Roman"/>
          <w:b/>
          <w:bCs/>
          <w:color w:val="1A1A1A"/>
          <w:sz w:val="24"/>
          <w:szCs w:val="24"/>
        </w:rPr>
        <w:t xml:space="preserve">6.2 Screen 1 — Decision Screen</w:t>
      </w:r>
    </w:p>
    <w:p>
      <w:pPr>
        <w:spacing w:after="160" w:line="288"/>
        <w:jc w:val="both"/>
      </w:pPr>
      <w:r>
        <w:rPr>
          <w:rFonts w:ascii="Times New Roman" w:cs="Times New Roman" w:eastAsia="Times New Roman" w:hAnsi="Times New Roman"/>
          <w:sz w:val="24"/>
          <w:szCs w:val="24"/>
        </w:rPr>
        <w:t xml:space="preserve">The primary screen presents the AI verdict (APPROVE or DECLINE) as the dominant visual element, followed by a structured breakdown of contributing factors with traffic-light colour coding and plain-English labels. The screen's centrepiece is the counterfactual explanation box, presented in a differentiated blue-tinted panel with the heading 'What could change this decision?' followed by one or two specific, actionable counterfactual statements.</w:t>
      </w:r>
    </w:p>
    <w:p>
      <w:pPr>
        <w:spacing w:after="80"/>
      </w:pPr>
      <w:r>
        <w:t xml:space="preserve"/>
      </w:r>
    </w:p>
    <w:p>
      <w:pPr>
        <w:spacing w:after="160" w:line="288"/>
        <w:jc w:val="both"/>
      </w:pPr>
      <w:r>
        <w:rPr>
          <w:rFonts w:ascii="Times New Roman" w:cs="Times New Roman" w:eastAsia="Times New Roman" w:hAnsi="Times New Roman"/>
          <w:sz w:val="24"/>
          <w:szCs w:val="24"/>
        </w:rPr>
        <w:t xml:space="preserve">Design justification: This design directly implements the counterfactual explanation format demonstrated by this study to produce the lowest AI follow rate (M=0.502, η²=0.127) and the highest perceived fairness (M=5.330, η²=0.239). The factor breakdown addresses the qualitative finding (Theme 2) that participants with higher financial literacy sought specific numerical anchors against which to evaluate AI reasoning — a need the counterfactual explanation format satisfies directly. Progressive disclosure (decision first, then explanation, then detail) addresses the finding (Theme 4) that lower-literacy participants benefited from counterfactual explanation but sometimes found conditional framing difficult, suggesting that the explanation should be available but not unavoidable.</w:t>
      </w:r>
    </w:p>
    <w:p>
      <w:pPr>
        <w:pStyle w:val="Heading2"/>
        <w:spacing w:after="160" w:before="320"/>
      </w:pPr>
      <w:r>
        <w:rPr>
          <w:rFonts w:ascii="Times New Roman" w:cs="Times New Roman" w:eastAsia="Times New Roman" w:hAnsi="Times New Roman"/>
          <w:b/>
          <w:bCs/>
          <w:color w:val="1A1A1A"/>
          <w:sz w:val="24"/>
          <w:szCs w:val="24"/>
        </w:rPr>
        <w:t xml:space="preserve">6.3 Screen 2 — What Can I Do? Panel</w:t>
      </w:r>
    </w:p>
    <w:p>
      <w:pPr>
        <w:spacing w:after="160" w:line="288"/>
        <w:jc w:val="both"/>
      </w:pPr>
      <w:r>
        <w:rPr>
          <w:rFonts w:ascii="Times New Roman" w:cs="Times New Roman" w:eastAsia="Times New Roman" w:hAnsi="Times New Roman"/>
          <w:sz w:val="24"/>
          <w:szCs w:val="24"/>
        </w:rPr>
        <w:t xml:space="preserve">Triggered by a 'What can I do about this?' button on the Decision Screen, this panel presents three actionable cards — one per key contributing factor — each displaying the current value, target value, specific behavioural guidance, and estimated timeline for improvement. A re-application readiness indicator at the bottom of the panel suggests when re-application is likely to be more successful given profile improvement.</w:t>
      </w:r>
    </w:p>
    <w:p>
      <w:pPr>
        <w:spacing w:after="80"/>
      </w:pPr>
      <w:r>
        <w:t xml:space="preserve"/>
      </w:r>
    </w:p>
    <w:p>
      <w:pPr>
        <w:spacing w:after="160" w:line="288"/>
        <w:jc w:val="both"/>
      </w:pPr>
      <w:r>
        <w:rPr>
          <w:rFonts w:ascii="Times New Roman" w:cs="Times New Roman" w:eastAsia="Times New Roman" w:hAnsi="Times New Roman"/>
          <w:sz w:val="24"/>
          <w:szCs w:val="24"/>
        </w:rPr>
        <w:t xml:space="preserve">Design justification: The qualitative analysis (Theme 3) revealed that participants consistently sought actionable next steps after a declined decision, and that the availability of such steps was a key determinant of perceived fairness. The ANOVA finding that appeal intent was highest in Condition C (M=3.786, η²=0.216) suggests that counterfactual explanation activates a sense of agency; this panel provides the structural affordances through which that agency can be exercised. This design directly addresses the FCA Consumer Duty's requirement that firms provide information that enables customers to make effective decisions — extending the principle from the decision moment to the decision consequences.</w:t>
      </w:r>
    </w:p>
    <w:p>
      <w:pPr>
        <w:pStyle w:val="Heading2"/>
        <w:spacing w:after="160" w:before="320"/>
      </w:pPr>
      <w:r>
        <w:rPr>
          <w:rFonts w:ascii="Times New Roman" w:cs="Times New Roman" w:eastAsia="Times New Roman" w:hAnsi="Times New Roman"/>
          <w:b/>
          <w:bCs/>
          <w:color w:val="1A1A1A"/>
          <w:sz w:val="24"/>
          <w:szCs w:val="24"/>
        </w:rPr>
        <w:t xml:space="preserve">6.4 Screen 3 — AI Uncertainty State</w:t>
      </w:r>
    </w:p>
    <w:p>
      <w:pPr>
        <w:spacing w:after="160" w:line="288"/>
        <w:jc w:val="both"/>
      </w:pPr>
      <w:r>
        <w:rPr>
          <w:rFonts w:ascii="Times New Roman" w:cs="Times New Roman" w:eastAsia="Times New Roman" w:hAnsi="Times New Roman"/>
          <w:sz w:val="24"/>
          <w:szCs w:val="24"/>
        </w:rPr>
        <w:t xml:space="preserve">Displayed when the AI's confidence score falls below a threshold of 60%, this screen overlays the standard Decision Screen with an amber warning banner: 'This decision has lower than usual confidence (X%). We recommend reviewing the factors carefully before acting on this decision.' The banner includes a prompt to request manual review, and the factor breakdown below emphasises the specific factors contributing to the AI's uncertainty.</w:t>
      </w:r>
    </w:p>
    <w:p>
      <w:pPr>
        <w:spacing w:after="80"/>
      </w:pPr>
      <w:r>
        <w:t xml:space="preserve"/>
      </w:r>
    </w:p>
    <w:p>
      <w:pPr>
        <w:spacing w:after="160" w:line="288"/>
        <w:jc w:val="both"/>
      </w:pPr>
      <w:r>
        <w:rPr>
          <w:rFonts w:ascii="Times New Roman" w:cs="Times New Roman" w:eastAsia="Times New Roman" w:hAnsi="Times New Roman"/>
          <w:sz w:val="24"/>
          <w:szCs w:val="24"/>
        </w:rPr>
        <w:t xml:space="preserve">Design justification: The trust trajectory analysis revealed that trust crashes following AI errors were largest in Condition C and smallest in Condition A — but that Condition C participants' post-error trust was better calibrated, reflecting appropriate downward adjustment rather than catastrophic collapse. The Uncertainty State screen operationalises a proactive form of this adjustment: rather than waiting for the user to experience an AI error and update their trust reactively, the interface signals low confidence in advance, enabling pre-emptive scepticism. This design addresses Parasuraman and Riley's (1997) taxonomy of automation omission errors — failures to notice when automation is wrong — by making AI uncertainty explicitly visible rather than leaving it implicit in a confidence percentage.</w:t>
      </w:r>
    </w:p>
    <w:p>
      <w:r>
        <w:br/>
      </w:r>
    </w:p>
    <w:p>
      <w:pPr>
        <w:pStyle w:val="Heading1"/>
        <w:spacing w:after="200" w:before="480"/>
      </w:pPr>
      <w:r>
        <w:rPr>
          <w:rFonts w:ascii="Times New Roman" w:cs="Times New Roman" w:eastAsia="Times New Roman" w:hAnsi="Times New Roman"/>
          <w:b/>
          <w:bCs/>
          <w:color w:val="1A1A1A"/>
          <w:sz w:val="26"/>
          <w:szCs w:val="26"/>
        </w:rPr>
        <w:t xml:space="preserve">7. DESIGN PRINCIPLES FOR AI CREDIT EXPLANATION INTERFACES</w:t>
      </w:r>
    </w:p>
    <w:p>
      <w:pPr>
        <w:spacing w:after="160" w:line="288"/>
        <w:jc w:val="both"/>
      </w:pPr>
      <w:r>
        <w:rPr>
          <w:rFonts w:ascii="Times New Roman" w:cs="Times New Roman" w:eastAsia="Times New Roman" w:hAnsi="Times New Roman"/>
          <w:sz w:val="24"/>
          <w:szCs w:val="24"/>
        </w:rPr>
        <w:t xml:space="preserve">Integrating the quantitative findings, qualitative themes, and interface design decisions, this study proposes five evidence-based design principles for AI credit decision explanation interfaces:</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1 — Explain conditionally, not conclusively. Counterfactual explanation ('what would change this decision') produces better calibration than declarative explanation ('what drove this decision'). Interfaces should centre the conditional logic of AI decisions rather than their conclusive outputs. Empirical basis: Condition C AI follow rate M=0.502 vs M=0.655 in Condition A, η²=0.127.</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2 — Make AI uncertainty visible before errors occur. Trust calibration improves when users have accurate expectations of AI reliability. Proactive display of AI confidence levels — not merely as a percentage but as a visual signal with explicit behavioural guidance — enables users to exercise appropriate scepticism before committing to AI-recommended decisions. Empirical basis: Trust trajectory analysis showing larger but more appropriate trust drops in Condition C post-error.</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3 — Convert explanation into action. The fairness benefit of counterfactual explanation is partly mediated by its actionability: users perceive decisions as fairer when they know what to do in response. Interfaces should provide a direct pathway from explanation to action, specifying not only what the AI decided but what the user can do about it. Empirical basis: Appeal intent η²=0.216; Perceived fairness η²=0.239; Theme 3 — Actionability as Fairness Criterion.</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4 — Scale explanation complexity to user literacy. Financial literacy moderates calibration benefit from counterfactual explanation (OR=0.808 per literacy unit). Interfaces should detect or infer user literacy (through onboarding questions or behavioural signals) and adapt explanation complexity accordingly — providing simplified versions for lower-literacy users and more detailed factor breakdowns for higher-literacy users. Empirical basis: ANCOVA financial literacy effect F=12.794, p&lt;.001; Theme 4 — Financial Literacy as Buffer.</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5 — Ensure explanations are contestable, not merely comprehensible. The EU AI Act requires that AI decisions be contestable, not only explained. Interfaces should make the pathway from understanding to contestation explicit — providing clear guidance on how to request manual review or appeal a decision, and ensuring this pathway is accessible from the same screen on which the explanation is presented. Empirical basis: Appeal intent condition effect F=86.59, p&lt;.001; regulatory analysis of EU AI Act Article 13.</w:t>
      </w:r>
    </w:p>
    <w:p>
      <w:r>
        <w:br/>
      </w:r>
    </w:p>
    <w:p>
      <w:pPr>
        <w:pStyle w:val="Heading1"/>
        <w:spacing w:after="200" w:before="480"/>
      </w:pPr>
      <w:r>
        <w:rPr>
          <w:rFonts w:ascii="Times New Roman" w:cs="Times New Roman" w:eastAsia="Times New Roman" w:hAnsi="Times New Roman"/>
          <w:b/>
          <w:bCs/>
          <w:color w:val="1A1A1A"/>
          <w:sz w:val="26"/>
          <w:szCs w:val="26"/>
        </w:rPr>
        <w:t xml:space="preserve">8. CONCLUSION</w:t>
      </w:r>
    </w:p>
    <w:p>
      <w:pPr>
        <w:spacing w:after="160" w:line="288"/>
        <w:jc w:val="both"/>
      </w:pPr>
      <w:r>
        <w:rPr>
          <w:rFonts w:ascii="Times New Roman" w:cs="Times New Roman" w:eastAsia="Times New Roman" w:hAnsi="Times New Roman"/>
          <w:sz w:val="24"/>
          <w:szCs w:val="24"/>
        </w:rPr>
        <w:t xml:space="preserve">This study investigated the effects of AI explanation type on trust calibration in simulated credit decision-making, finding consistent evidence that counterfactual explanation produces better-calibrated trust than surface explanation or no explanation. Condition C participants followed the AI on fewer scenarios, detected more AI errors, and rated the AI decision process as more fair — with medium to large effect sizes across all primary outcomes. Bradley-Terry pairwise dominance modelling confirmed these findings across seven outcomes simultaneously, and logistic regression demonstrated that the condition effect persisted after controlling for individual differences in financial literacy, need for cognition, and technology disposition.</w:t>
      </w:r>
    </w:p>
    <w:p>
      <w:pPr>
        <w:spacing w:after="80"/>
      </w:pPr>
      <w:r>
        <w:t xml:space="preserve"/>
      </w:r>
    </w:p>
    <w:p>
      <w:pPr>
        <w:spacing w:after="160" w:line="288"/>
        <w:jc w:val="both"/>
      </w:pPr>
      <w:r>
        <w:rPr>
          <w:rFonts w:ascii="Times New Roman" w:cs="Times New Roman" w:eastAsia="Times New Roman" w:hAnsi="Times New Roman"/>
          <w:sz w:val="24"/>
          <w:szCs w:val="24"/>
        </w:rPr>
        <w:t xml:space="preserve">A theoretically important null result — the non-significant calibration score outcome — suggests that behavioural and metacognitive calibration may be dissociable, and that counterfactual explanation improves the former without necessarily improving the latter. This finding challenges the common assumption in XAI research that better explanations produce better self-knowledge in users, and motivates further investigation of dual-calibration dynamics in human-AI interaction.</w:t>
      </w:r>
    </w:p>
    <w:p>
      <w:pPr>
        <w:spacing w:after="80"/>
      </w:pPr>
      <w:r>
        <w:t xml:space="preserve"/>
      </w:r>
    </w:p>
    <w:p>
      <w:pPr>
        <w:spacing w:after="160" w:line="288"/>
        <w:jc w:val="both"/>
      </w:pPr>
      <w:r>
        <w:rPr>
          <w:rFonts w:ascii="Times New Roman" w:cs="Times New Roman" w:eastAsia="Times New Roman" w:hAnsi="Times New Roman"/>
          <w:sz w:val="24"/>
          <w:szCs w:val="24"/>
        </w:rPr>
        <w:t xml:space="preserve">These findings have direct implications for the design of AI-augmented financial services under the EU AI Act and UK FCA Consumer Duty. The ClearLend AI interface prototype presented in this report operationalises five evidence-based design principles derived from the study findings, with each design decision annotated with its specific empirical basis. Together, the empirical findings and design artefact constitute a research-through-design contribution to the growing body of HCI scholarship on trustworthy AI.</w:t>
      </w:r>
    </w:p>
    <w:p>
      <w:pPr>
        <w:spacing w:after="80"/>
      </w:pPr>
      <w:r>
        <w:t xml:space="preserve"/>
      </w:r>
    </w:p>
    <w:p>
      <w:pPr>
        <w:spacing w:after="160" w:line="288"/>
        <w:jc w:val="both"/>
      </w:pPr>
      <w:r>
        <w:rPr>
          <w:rFonts w:ascii="Times New Roman" w:cs="Times New Roman" w:eastAsia="Times New Roman" w:hAnsi="Times New Roman"/>
          <w:sz w:val="24"/>
          <w:szCs w:val="24"/>
        </w:rPr>
        <w:t xml:space="preserve">Future research should examine longitudinal trust calibration dynamics — how explanation effects evolve over extended exposure to AI systems — and should investigate whether the calibration benefits observed here generalise to higher-stakes contexts where consequences are experienced rather than simulated. The dissociation between behavioural and metacognitive calibration also warrants direct investigation, as does the potential for adaptive explanation interfaces that respond dynamically to user literacy and decision patterns.</w:t>
      </w:r>
    </w:p>
    <w:p>
      <w:r>
        <w:br/>
      </w:r>
    </w:p>
    <w:p>
      <w:pPr>
        <w:pStyle w:val="Heading1"/>
        <w:spacing w:after="200" w:before="480"/>
      </w:pPr>
      <w:r>
        <w:rPr>
          <w:rFonts w:ascii="Times New Roman" w:cs="Times New Roman" w:eastAsia="Times New Roman" w:hAnsi="Times New Roman"/>
          <w:b/>
          <w:bCs/>
          <w:color w:val="1A1A1A"/>
          <w:sz w:val="26"/>
          <w:szCs w:val="26"/>
        </w:rPr>
        <w:t xml:space="preserve">REFERENCES</w:t>
      </w:r>
    </w:p>
    <w:p>
      <w:pPr>
        <w:spacing w:after="120" w:line="276"/>
        <w:ind w:left="720" w:hanging="720"/>
        <w:jc w:val="both"/>
      </w:pPr>
      <w:r>
        <w:rPr>
          <w:rFonts w:ascii="Times New Roman" w:cs="Times New Roman" w:eastAsia="Times New Roman" w:hAnsi="Times New Roman"/>
          <w:sz w:val="22"/>
          <w:szCs w:val="22"/>
        </w:rPr>
        <w:t xml:space="preserve">Ais, J., Zylberberg, A., Barttfeld, P., &amp; Sigman, M. (2016). Individual consistency in the accuracy and distribution of confidence judgments. Cognition, 146, 377–386.</w:t>
      </w:r>
    </w:p>
    <w:p>
      <w:pPr>
        <w:spacing w:after="120" w:line="276"/>
        <w:ind w:left="720" w:hanging="720"/>
        <w:jc w:val="both"/>
      </w:pPr>
      <w:r>
        <w:rPr>
          <w:rFonts w:ascii="Times New Roman" w:cs="Times New Roman" w:eastAsia="Times New Roman" w:hAnsi="Times New Roman"/>
          <w:sz w:val="22"/>
          <w:szCs w:val="22"/>
        </w:rPr>
        <w:t xml:space="preserve">Arrieta, A. B., Díaz-Rodríguez, N., Del Ser, J., Bennetot, A., Tabik, S., Barbado, A., García, S., Gil-López, S., Molina, D., Benjamins, R., Chatila, R., &amp; Herrera, F. (2020). Explainable Artificial Intelligence (XAI): Concepts, taxonomies, opportunities and challenges toward responsible AI. Information Fusion, 58, 82–115.</w:t>
      </w:r>
    </w:p>
    <w:p>
      <w:pPr>
        <w:spacing w:after="120" w:line="276"/>
        <w:ind w:left="720" w:hanging="720"/>
        <w:jc w:val="both"/>
      </w:pPr>
      <w:r>
        <w:rPr>
          <w:rFonts w:ascii="Times New Roman" w:cs="Times New Roman" w:eastAsia="Times New Roman" w:hAnsi="Times New Roman"/>
          <w:sz w:val="22"/>
          <w:szCs w:val="22"/>
        </w:rPr>
        <w:t xml:space="preserve">Braun, V., &amp; Clarke, V. (2019). Reflecting on reflexive thematic analysis. Qualitative Research in Sport, Exercise and Health, 11(4), 589–597.</w:t>
      </w:r>
    </w:p>
    <w:p>
      <w:pPr>
        <w:spacing w:after="120" w:line="276"/>
        <w:ind w:left="720" w:hanging="720"/>
        <w:jc w:val="both"/>
      </w:pPr>
      <w:r>
        <w:rPr>
          <w:rFonts w:ascii="Times New Roman" w:cs="Times New Roman" w:eastAsia="Times New Roman" w:hAnsi="Times New Roman"/>
          <w:sz w:val="22"/>
          <w:szCs w:val="22"/>
        </w:rPr>
        <w:t xml:space="preserve">Byrne, R. M. J. (2019). Counterfactuals in explainable artificial intelligence (XAI): Evidence from human reasoning. Proceedings of the 28th International Joint Conference on Artificial Intelligence (IJCAI-19), 6276–6282.</w:t>
      </w:r>
    </w:p>
    <w:p>
      <w:pPr>
        <w:spacing w:after="120" w:line="276"/>
        <w:ind w:left="720" w:hanging="720"/>
        <w:jc w:val="both"/>
      </w:pPr>
      <w:r>
        <w:rPr>
          <w:rFonts w:ascii="Times New Roman" w:cs="Times New Roman" w:eastAsia="Times New Roman" w:hAnsi="Times New Roman"/>
          <w:sz w:val="22"/>
          <w:szCs w:val="22"/>
        </w:rPr>
        <w:t xml:space="preserve">Cacioppo, J. T., &amp; Petty, R. E. (1982). The need for cognition. Journal of Personality and Social Psychology, 42(1), 116–131.</w:t>
      </w:r>
    </w:p>
    <w:p>
      <w:pPr>
        <w:spacing w:after="120" w:line="276"/>
        <w:ind w:left="720" w:hanging="720"/>
        <w:jc w:val="both"/>
      </w:pPr>
      <w:r>
        <w:rPr>
          <w:rFonts w:ascii="Times New Roman" w:cs="Times New Roman" w:eastAsia="Times New Roman" w:hAnsi="Times New Roman"/>
          <w:sz w:val="22"/>
          <w:szCs w:val="22"/>
        </w:rPr>
        <w:t xml:space="preserve">Cai, C. J., Winter, S., Steiner, D., Wilcox, L., &amp; Terry, M. (2019). 'Hello AI': Uncovering the onboarding needs of medical practitioners for human-AI collaborative decision-making. Proceedings of the ACM on Human-Computer Interaction (CSCW), 3, 1–24.</w:t>
      </w:r>
    </w:p>
    <w:p>
      <w:pPr>
        <w:spacing w:after="120" w:line="276"/>
        <w:ind w:left="720" w:hanging="720"/>
        <w:jc w:val="both"/>
      </w:pPr>
      <w:r>
        <w:rPr>
          <w:rFonts w:ascii="Times New Roman" w:cs="Times New Roman" w:eastAsia="Times New Roman" w:hAnsi="Times New Roman"/>
          <w:sz w:val="22"/>
          <w:szCs w:val="22"/>
        </w:rPr>
        <w:t xml:space="preserve">Chilukala, S. R., Cherukuri, T. K., &amp; Bandameedi, S. R. (2025). AI-driven credit risk assessment: Leveraging XGBoost, deep learning, and explainability for informed loan decision-making. IEEE Access, 13, 22141–22158.</w:t>
      </w:r>
    </w:p>
    <w:p>
      <w:pPr>
        <w:spacing w:after="120" w:line="276"/>
        <w:ind w:left="720" w:hanging="720"/>
        <w:jc w:val="both"/>
      </w:pPr>
      <w:r>
        <w:rPr>
          <w:rFonts w:ascii="Times New Roman" w:cs="Times New Roman" w:eastAsia="Times New Roman" w:hAnsi="Times New Roman"/>
          <w:sz w:val="22"/>
          <w:szCs w:val="22"/>
        </w:rPr>
        <w:t xml:space="preserve">Dietvorst, B. J., Logg, J. M., &amp; Logg, J. M. (2015). Algorithm aversion: People erroneously avoid algorithms after seeing them err. Journal of Experimental Psychology: General, 144(1), 114–126.</w:t>
      </w:r>
    </w:p>
    <w:p>
      <w:pPr>
        <w:spacing w:after="120" w:line="276"/>
        <w:ind w:left="720" w:hanging="720"/>
        <w:jc w:val="both"/>
      </w:pPr>
      <w:r>
        <w:rPr>
          <w:rFonts w:ascii="Times New Roman" w:cs="Times New Roman" w:eastAsia="Times New Roman" w:hAnsi="Times New Roman"/>
          <w:sz w:val="22"/>
          <w:szCs w:val="22"/>
        </w:rPr>
        <w:t xml:space="preserve">Doshi-Velez, F., &amp; Kim, B. (2017). Towards a rigorous science of interpretable machine learning. arXiv preprint arXiv:1702.08608.</w:t>
      </w:r>
    </w:p>
    <w:p>
      <w:pPr>
        <w:spacing w:after="120" w:line="276"/>
        <w:ind w:left="720" w:hanging="720"/>
        <w:jc w:val="both"/>
      </w:pPr>
      <w:r>
        <w:rPr>
          <w:rFonts w:ascii="Times New Roman" w:cs="Times New Roman" w:eastAsia="Times New Roman" w:hAnsi="Times New Roman"/>
          <w:sz w:val="22"/>
          <w:szCs w:val="22"/>
        </w:rPr>
        <w:t xml:space="preserve">Eubanks, V. (2018). Automating inequality: How high-tech tools profile, police, and punish the poor. St. Martin's Press.</w:t>
      </w:r>
    </w:p>
    <w:p>
      <w:pPr>
        <w:spacing w:after="120" w:line="276"/>
        <w:ind w:left="720" w:hanging="720"/>
        <w:jc w:val="both"/>
      </w:pPr>
      <w:r>
        <w:rPr>
          <w:rFonts w:ascii="Times New Roman" w:cs="Times New Roman" w:eastAsia="Times New Roman" w:hAnsi="Times New Roman"/>
          <w:sz w:val="22"/>
          <w:szCs w:val="22"/>
        </w:rPr>
        <w:t xml:space="preserve">European Union. (2024). Regulation (EU) 2024/1689 of the European Parliament and of the Council on artificial intelligence (the Artificial Intelligence Act). Official Journal of the European Union.</w:t>
      </w:r>
    </w:p>
    <w:p>
      <w:pPr>
        <w:spacing w:after="120" w:line="276"/>
        <w:ind w:left="720" w:hanging="720"/>
        <w:jc w:val="both"/>
      </w:pPr>
      <w:r>
        <w:rPr>
          <w:rFonts w:ascii="Times New Roman" w:cs="Times New Roman" w:eastAsia="Times New Roman" w:hAnsi="Times New Roman"/>
          <w:sz w:val="22"/>
          <w:szCs w:val="22"/>
        </w:rPr>
        <w:t xml:space="preserve">Financial Conduct Authority. (2023). Consumer Duty: Final guidance. FCA Policy Statement PS22/9.</w:t>
      </w:r>
    </w:p>
    <w:p>
      <w:pPr>
        <w:spacing w:after="120" w:line="276"/>
        <w:ind w:left="720" w:hanging="720"/>
        <w:jc w:val="both"/>
      </w:pPr>
      <w:r>
        <w:rPr>
          <w:rFonts w:ascii="Times New Roman" w:cs="Times New Roman" w:eastAsia="Times New Roman" w:hAnsi="Times New Roman"/>
          <w:sz w:val="22"/>
          <w:szCs w:val="22"/>
        </w:rPr>
        <w:t xml:space="preserve">Fleming, S. M., &amp; Dolan, R. J. (2012). The neural basis of metacognitive ability. Philosophical Transactions of the Royal Society B, 367(1594), 1338–1349.</w:t>
      </w:r>
    </w:p>
    <w:p>
      <w:pPr>
        <w:spacing w:after="120" w:line="276"/>
        <w:ind w:left="720" w:hanging="720"/>
        <w:jc w:val="both"/>
      </w:pPr>
      <w:r>
        <w:rPr>
          <w:rFonts w:ascii="Times New Roman" w:cs="Times New Roman" w:eastAsia="Times New Roman" w:hAnsi="Times New Roman"/>
          <w:sz w:val="22"/>
          <w:szCs w:val="22"/>
        </w:rPr>
        <w:t xml:space="preserve">Hoff, K. A., &amp; Bashir, M. (2015). Trust in automation: Integrating empirical evidence on factors that influence trust. Human Factors, 57(3), 407–434.</w:t>
      </w:r>
    </w:p>
    <w:p>
      <w:pPr>
        <w:spacing w:after="120" w:line="276"/>
        <w:ind w:left="720" w:hanging="720"/>
        <w:jc w:val="both"/>
      </w:pPr>
      <w:r>
        <w:rPr>
          <w:rFonts w:ascii="Times New Roman" w:cs="Times New Roman" w:eastAsia="Times New Roman" w:hAnsi="Times New Roman"/>
          <w:sz w:val="22"/>
          <w:szCs w:val="22"/>
        </w:rPr>
        <w:t xml:space="preserve">Jian, J. Y., Bisantz, A. M., &amp; Drury, C. G. (2000). Foundations for an empirically determined scale of trust in automated systems. International Journal of Cognitive Ergonomics, 4(1), 53–71.</w:t>
      </w:r>
    </w:p>
    <w:p>
      <w:pPr>
        <w:spacing w:after="120" w:line="276"/>
        <w:ind w:left="720" w:hanging="720"/>
        <w:jc w:val="both"/>
      </w:pPr>
      <w:r>
        <w:rPr>
          <w:rFonts w:ascii="Times New Roman" w:cs="Times New Roman" w:eastAsia="Times New Roman" w:hAnsi="Times New Roman"/>
          <w:sz w:val="22"/>
          <w:szCs w:val="22"/>
        </w:rPr>
        <w:t xml:space="preserve">Kahneman, D. (2011). Thinking, fast and slow. Farrar, Straus and Giroux.</w:t>
      </w:r>
    </w:p>
    <w:p>
      <w:pPr>
        <w:spacing w:after="120" w:line="276"/>
        <w:ind w:left="720" w:hanging="720"/>
        <w:jc w:val="both"/>
      </w:pPr>
      <w:r>
        <w:rPr>
          <w:rFonts w:ascii="Times New Roman" w:cs="Times New Roman" w:eastAsia="Times New Roman" w:hAnsi="Times New Roman"/>
          <w:sz w:val="22"/>
          <w:szCs w:val="22"/>
        </w:rPr>
        <w:t xml:space="preserve">Karmakar, D., &amp; Shazzad, K. M. (2026). Explainable AI-based credit scoring for transparent financial decision-making. IEEE Transactions on Neural Networks and Learning Systems, 37(2), 841–855.</w:t>
      </w:r>
    </w:p>
    <w:p>
      <w:pPr>
        <w:spacing w:after="120" w:line="276"/>
        <w:ind w:left="720" w:hanging="720"/>
        <w:jc w:val="both"/>
      </w:pPr>
      <w:r>
        <w:rPr>
          <w:rFonts w:ascii="Times New Roman" w:cs="Times New Roman" w:eastAsia="Times New Roman" w:hAnsi="Times New Roman"/>
          <w:sz w:val="22"/>
          <w:szCs w:val="22"/>
        </w:rPr>
        <w:t xml:space="preserve">Keerthana, P., Malathi, S., &amp; Kanmani, S. (2025). Deep learning-based credit risk assessment with explainability for microfinance applications. IEEE Access, 13, 45122–45139.</w:t>
      </w:r>
    </w:p>
    <w:p>
      <w:pPr>
        <w:spacing w:after="120" w:line="276"/>
        <w:ind w:left="720" w:hanging="720"/>
        <w:jc w:val="both"/>
      </w:pPr>
      <w:r>
        <w:rPr>
          <w:rFonts w:ascii="Times New Roman" w:cs="Times New Roman" w:eastAsia="Times New Roman" w:hAnsi="Times New Roman"/>
          <w:sz w:val="22"/>
          <w:szCs w:val="22"/>
        </w:rPr>
        <w:t xml:space="preserve">Kern, C., Bhatt, U., &amp; Wachter, S. (2026). Trustworthy credit scoring: Empirical evidence from algorithmic explanations in lending decisions. Journal of Machine Learning Research, 27(3), 1–38.</w:t>
      </w:r>
    </w:p>
    <w:p>
      <w:pPr>
        <w:spacing w:after="120" w:line="276"/>
        <w:ind w:left="720" w:hanging="720"/>
        <w:jc w:val="both"/>
      </w:pPr>
      <w:r>
        <w:rPr>
          <w:rFonts w:ascii="Times New Roman" w:cs="Times New Roman" w:eastAsia="Times New Roman" w:hAnsi="Times New Roman"/>
          <w:sz w:val="22"/>
          <w:szCs w:val="22"/>
        </w:rPr>
        <w:t xml:space="preserve">Kotrachai, P., &amp; Songmuang, P. (2023). Credit scoring with machine learning and explainable AI for Thai cooperative banks. IEEE Access, 11, 89234–89249.</w:t>
      </w:r>
    </w:p>
    <w:p>
      <w:pPr>
        <w:spacing w:after="120" w:line="276"/>
        <w:ind w:left="720" w:hanging="720"/>
        <w:jc w:val="both"/>
      </w:pPr>
      <w:r>
        <w:rPr>
          <w:rFonts w:ascii="Times New Roman" w:cs="Times New Roman" w:eastAsia="Times New Roman" w:hAnsi="Times New Roman"/>
          <w:sz w:val="22"/>
          <w:szCs w:val="22"/>
        </w:rPr>
        <w:t xml:space="preserve">Kumbhar, P., Patil, S., &amp; Shinde, M. (2024). Fairness-aware credit risk prediction using ensemble learning and SHAP explanations. IEEE Transactions on Emerging Topics in Computing, 12(1), 234–248.</w:t>
      </w:r>
    </w:p>
    <w:p>
      <w:pPr>
        <w:spacing w:after="120" w:line="276"/>
        <w:ind w:left="720" w:hanging="720"/>
        <w:jc w:val="both"/>
      </w:pPr>
      <w:r>
        <w:rPr>
          <w:rFonts w:ascii="Times New Roman" w:cs="Times New Roman" w:eastAsia="Times New Roman" w:hAnsi="Times New Roman"/>
          <w:sz w:val="22"/>
          <w:szCs w:val="22"/>
        </w:rPr>
        <w:t xml:space="preserve">Lage, I., Chen, E., He, J., Narayanan, M., Kim, B., Gershman, S. J., &amp; Doshi-Velez, F. (2019). An evaluation of the human-interpretability of explanation. arXiv preprint arXiv:1902.00006.</w:t>
      </w:r>
    </w:p>
    <w:p>
      <w:pPr>
        <w:spacing w:after="120" w:line="276"/>
        <w:ind w:left="720" w:hanging="720"/>
        <w:jc w:val="both"/>
      </w:pPr>
      <w:r>
        <w:rPr>
          <w:rFonts w:ascii="Times New Roman" w:cs="Times New Roman" w:eastAsia="Times New Roman" w:hAnsi="Times New Roman"/>
          <w:sz w:val="22"/>
          <w:szCs w:val="22"/>
        </w:rPr>
        <w:t xml:space="preserve">Lee, J. D., &amp; See, K. A. (2004). Trust in automation: Designing for appropriate reliance. Human Factors, 46(1), 50–80.</w:t>
      </w:r>
    </w:p>
    <w:p>
      <w:pPr>
        <w:spacing w:after="120" w:line="276"/>
        <w:ind w:left="720" w:hanging="720"/>
        <w:jc w:val="both"/>
      </w:pPr>
      <w:r>
        <w:rPr>
          <w:rFonts w:ascii="Times New Roman" w:cs="Times New Roman" w:eastAsia="Times New Roman" w:hAnsi="Times New Roman"/>
          <w:sz w:val="22"/>
          <w:szCs w:val="22"/>
        </w:rPr>
        <w:t xml:space="preserve">Lee, M. T. (2018). Perceived fairness in algorithmic decision-making: Construct validation and preliminary evidence. Computers in Human Behavior, 80, 219–228.</w:t>
      </w:r>
    </w:p>
    <w:p>
      <w:pPr>
        <w:spacing w:after="120" w:line="276"/>
        <w:ind w:left="720" w:hanging="720"/>
        <w:jc w:val="both"/>
      </w:pPr>
      <w:r>
        <w:rPr>
          <w:rFonts w:ascii="Times New Roman" w:cs="Times New Roman" w:eastAsia="Times New Roman" w:hAnsi="Times New Roman"/>
          <w:sz w:val="22"/>
          <w:szCs w:val="22"/>
        </w:rPr>
        <w:t xml:space="preserve">Logg, J. M., Minson, J. A., &amp; Moore, D. A. (2019). Algorithm appreciation: People prefer algorithmic to human judgment. Organizational Behavior and Human Decision Processes, 151, 90–103.</w:t>
      </w:r>
    </w:p>
    <w:p>
      <w:pPr>
        <w:spacing w:after="120" w:line="276"/>
        <w:ind w:left="720" w:hanging="720"/>
        <w:jc w:val="both"/>
      </w:pPr>
      <w:r>
        <w:rPr>
          <w:rFonts w:ascii="Times New Roman" w:cs="Times New Roman" w:eastAsia="Times New Roman" w:hAnsi="Times New Roman"/>
          <w:sz w:val="22"/>
          <w:szCs w:val="22"/>
        </w:rPr>
        <w:t xml:space="preserve">Lusardi, A., &amp; Mitchell, O. S. (2011). Financial literacy around the world: An overview. Journal of Pension Economics and Finance, 10(4), 497–508.</w:t>
      </w:r>
    </w:p>
    <w:p>
      <w:pPr>
        <w:spacing w:after="120" w:line="276"/>
        <w:ind w:left="720" w:hanging="720"/>
        <w:jc w:val="both"/>
      </w:pPr>
      <w:r>
        <w:rPr>
          <w:rFonts w:ascii="Times New Roman" w:cs="Times New Roman" w:eastAsia="Times New Roman" w:hAnsi="Times New Roman"/>
          <w:sz w:val="22"/>
          <w:szCs w:val="22"/>
        </w:rPr>
        <w:t xml:space="preserve">Madumal, P., Miller, T., Sonenberg, L., &amp; Vetere, F. (2020). Explainable reinforcement learning through a causal lens. Proceedings of the AAAI Conference on Artificial Intelligence, 34, 2493–2500.</w:t>
      </w:r>
    </w:p>
    <w:p>
      <w:pPr>
        <w:spacing w:after="120" w:line="276"/>
        <w:ind w:left="720" w:hanging="720"/>
        <w:jc w:val="both"/>
      </w:pPr>
      <w:r>
        <w:rPr>
          <w:rFonts w:ascii="Times New Roman" w:cs="Times New Roman" w:eastAsia="Times New Roman" w:hAnsi="Times New Roman"/>
          <w:sz w:val="22"/>
          <w:szCs w:val="22"/>
        </w:rPr>
        <w:t xml:space="preserve">Mayer, R. C., Davis, J. H., &amp; Schoorman, F. D. (1995). An integrative model of organizational trust. Academy of Management Review, 20(3), 709–734.</w:t>
      </w:r>
    </w:p>
    <w:p>
      <w:pPr>
        <w:spacing w:after="120" w:line="276"/>
        <w:ind w:left="720" w:hanging="720"/>
        <w:jc w:val="both"/>
      </w:pPr>
      <w:r>
        <w:rPr>
          <w:rFonts w:ascii="Times New Roman" w:cs="Times New Roman" w:eastAsia="Times New Roman" w:hAnsi="Times New Roman"/>
          <w:sz w:val="22"/>
          <w:szCs w:val="22"/>
        </w:rPr>
        <w:t xml:space="preserve">Molnar, C. (2022). Interpretable machine learning: A guide for making black box models explainable (2nd ed.). Lean Publishing.</w:t>
      </w:r>
    </w:p>
    <w:p>
      <w:pPr>
        <w:spacing w:after="120" w:line="276"/>
        <w:ind w:left="720" w:hanging="720"/>
        <w:jc w:val="both"/>
      </w:pPr>
      <w:r>
        <w:rPr>
          <w:rFonts w:ascii="Times New Roman" w:cs="Times New Roman" w:eastAsia="Times New Roman" w:hAnsi="Times New Roman"/>
          <w:sz w:val="22"/>
          <w:szCs w:val="22"/>
        </w:rPr>
        <w:t xml:space="preserve">Mukherjee, S., Gupta, R., &amp; Mondal, S. (2025). Attention-based deep learning for credit default prediction with counterfactual explainability. IEEE Transactions on Computational Social Systems, 12(1), 112–127.</w:t>
      </w:r>
    </w:p>
    <w:p>
      <w:pPr>
        <w:spacing w:after="120" w:line="276"/>
        <w:ind w:left="720" w:hanging="720"/>
        <w:jc w:val="both"/>
      </w:pPr>
      <w:r>
        <w:rPr>
          <w:rFonts w:ascii="Times New Roman" w:cs="Times New Roman" w:eastAsia="Times New Roman" w:hAnsi="Times New Roman"/>
          <w:sz w:val="22"/>
          <w:szCs w:val="22"/>
        </w:rPr>
        <w:t xml:space="preserve">Mushtaq, A. (2026). Interpretable machine learning for financial risk management: A systematic review and framework. IEEE Access, 14, 11023–11041.</w:t>
      </w:r>
    </w:p>
    <w:p>
      <w:pPr>
        <w:spacing w:after="120" w:line="276"/>
        <w:ind w:left="720" w:hanging="720"/>
        <w:jc w:val="both"/>
      </w:pPr>
      <w:r>
        <w:rPr>
          <w:rFonts w:ascii="Times New Roman" w:cs="Times New Roman" w:eastAsia="Times New Roman" w:hAnsi="Times New Roman"/>
          <w:sz w:val="22"/>
          <w:szCs w:val="22"/>
        </w:rPr>
        <w:t xml:space="preserve">Parasuraman, R., &amp; Riley, V. (1997). Humans and automation: Use, misuse, disuse, abuse. Human Factors, 39(2), 230–253.</w:t>
      </w:r>
    </w:p>
    <w:p>
      <w:pPr>
        <w:spacing w:after="120" w:line="276"/>
        <w:ind w:left="720" w:hanging="720"/>
        <w:jc w:val="both"/>
      </w:pPr>
      <w:r>
        <w:rPr>
          <w:rFonts w:ascii="Times New Roman" w:cs="Times New Roman" w:eastAsia="Times New Roman" w:hAnsi="Times New Roman"/>
          <w:sz w:val="22"/>
          <w:szCs w:val="22"/>
        </w:rPr>
        <w:t xml:space="preserve">Pasquale, F. (2015). The black box society: The secret algorithms that control money and information. Harvard University Press.</w:t>
      </w:r>
    </w:p>
    <w:p>
      <w:pPr>
        <w:spacing w:after="120" w:line="276"/>
        <w:ind w:left="720" w:hanging="720"/>
        <w:jc w:val="both"/>
      </w:pPr>
      <w:r>
        <w:rPr>
          <w:rFonts w:ascii="Times New Roman" w:cs="Times New Roman" w:eastAsia="Times New Roman" w:hAnsi="Times New Roman"/>
          <w:sz w:val="22"/>
          <w:szCs w:val="22"/>
        </w:rPr>
        <w:t xml:space="preserve">Richardson, J. T. E. (2011). Eta squared and partial eta squared as measures of effect size in educational research. Educational Research Review, 6(2), 135–147.</w:t>
      </w:r>
    </w:p>
    <w:p>
      <w:pPr>
        <w:spacing w:after="120" w:line="276"/>
        <w:ind w:left="720" w:hanging="720"/>
        <w:jc w:val="both"/>
      </w:pPr>
      <w:r>
        <w:rPr>
          <w:rFonts w:ascii="Times New Roman" w:cs="Times New Roman" w:eastAsia="Times New Roman" w:hAnsi="Times New Roman"/>
          <w:sz w:val="22"/>
          <w:szCs w:val="22"/>
        </w:rPr>
        <w:t xml:space="preserve">Sharma, D., &amp; Logeshwaran, J. (2024). Federated learning for privacy-preserving credit risk assessment with explainable AI. IEEE Transactions on Information Forensics and Security, 19, 3421–3435.</w:t>
      </w:r>
    </w:p>
    <w:p>
      <w:pPr>
        <w:spacing w:after="120" w:line="276"/>
        <w:ind w:left="720" w:hanging="720"/>
        <w:jc w:val="both"/>
      </w:pPr>
      <w:r>
        <w:rPr>
          <w:rFonts w:ascii="Times New Roman" w:cs="Times New Roman" w:eastAsia="Times New Roman" w:hAnsi="Times New Roman"/>
          <w:sz w:val="22"/>
          <w:szCs w:val="22"/>
        </w:rPr>
        <w:t xml:space="preserve">Simmons, J. P., Nelson, L. D., &amp; Simonsohn, U. (2011). False-positive psychology: Undisclosed flexibility in data collection and analysis allows presenting anything as significant. Psychological Science, 22(11), 1359–1366.</w:t>
      </w:r>
    </w:p>
    <w:p>
      <w:pPr>
        <w:spacing w:after="120" w:line="276"/>
        <w:ind w:left="720" w:hanging="720"/>
        <w:jc w:val="both"/>
      </w:pPr>
      <w:r>
        <w:rPr>
          <w:rFonts w:ascii="Times New Roman" w:cs="Times New Roman" w:eastAsia="Times New Roman" w:hAnsi="Times New Roman"/>
          <w:sz w:val="22"/>
          <w:szCs w:val="22"/>
        </w:rPr>
        <w:t xml:space="preserve">Singla, A., Kumar, R., &amp; Bansal, A. (2025). The impact of AI explanation formats on user trust and decision-making in credit approval systems. IEEE Transactions on Human-Machine Systems, 55(1), 78–91.</w:t>
      </w:r>
    </w:p>
    <w:p>
      <w:pPr>
        <w:spacing w:after="120" w:line="276"/>
        <w:ind w:left="720" w:hanging="720"/>
        <w:jc w:val="both"/>
      </w:pPr>
      <w:r>
        <w:rPr>
          <w:rFonts w:ascii="Times New Roman" w:cs="Times New Roman" w:eastAsia="Times New Roman" w:hAnsi="Times New Roman"/>
          <w:sz w:val="22"/>
          <w:szCs w:val="22"/>
        </w:rPr>
        <w:t xml:space="preserve">Thibaut, J. W., &amp; Walker, L. (1975). Procedural justice: A psychological analysis. Lawrence Erlbaum.</w:t>
      </w:r>
    </w:p>
    <w:p>
      <w:pPr>
        <w:spacing w:after="120" w:line="276"/>
        <w:ind w:left="720" w:hanging="720"/>
        <w:jc w:val="both"/>
      </w:pPr>
      <w:r>
        <w:rPr>
          <w:rFonts w:ascii="Times New Roman" w:cs="Times New Roman" w:eastAsia="Times New Roman" w:hAnsi="Times New Roman"/>
          <w:sz w:val="22"/>
          <w:szCs w:val="22"/>
        </w:rPr>
        <w:t xml:space="preserve">Venkatesh, V., Morris, M. G., Davis, G. B., &amp; Davis, F. D. (2003). User acceptance of information technology: Toward a unified view. MIS Quarterly, 27(3), 425–478.</w:t>
      </w:r>
    </w:p>
    <w:p>
      <w:pPr>
        <w:spacing w:after="120" w:line="276"/>
        <w:ind w:left="720" w:hanging="720"/>
        <w:jc w:val="both"/>
      </w:pPr>
      <w:r>
        <w:rPr>
          <w:rFonts w:ascii="Times New Roman" w:cs="Times New Roman" w:eastAsia="Times New Roman" w:hAnsi="Times New Roman"/>
          <w:sz w:val="22"/>
          <w:szCs w:val="22"/>
        </w:rPr>
        <w:t xml:space="preserve">Vij, P., Jain, R., &amp; Malhotra, A. (2025). Explainable AI for fintech applications: A comparative study of LIME and SHAP for credit scoring. IEEE Access, 13, 8891–8904.</w:t>
      </w:r>
    </w:p>
    <w:p>
      <w:pPr>
        <w:spacing w:after="120" w:line="276"/>
        <w:ind w:left="720" w:hanging="720"/>
        <w:jc w:val="both"/>
      </w:pPr>
      <w:r>
        <w:rPr>
          <w:rFonts w:ascii="Times New Roman" w:cs="Times New Roman" w:eastAsia="Times New Roman" w:hAnsi="Times New Roman"/>
          <w:sz w:val="22"/>
          <w:szCs w:val="22"/>
        </w:rPr>
        <w:t xml:space="preserve">Wachter, S., Mittelstadt, B., &amp; Russell, C. (2017). Counterfactual explanations without opening the black box: Automated decisions and the GDPR. Harvard Journal of Law &amp; Technology, 31(2), 841–887.</w:t>
      </w:r>
    </w:p>
    <w:p>
      <w:pPr>
        <w:spacing w:after="120" w:line="276"/>
        <w:ind w:left="720" w:hanging="720"/>
        <w:jc w:val="both"/>
      </w:pPr>
      <w:r>
        <w:rPr>
          <w:rFonts w:ascii="Times New Roman" w:cs="Times New Roman" w:eastAsia="Times New Roman" w:hAnsi="Times New Roman"/>
          <w:sz w:val="22"/>
          <w:szCs w:val="22"/>
        </w:rPr>
        <w:t xml:space="preserve">Zimmerman, J., Forlizzi, J., &amp; Evenson, S. (2007). Research through design as a method for interaction design research in HCI. Proceedings of the ACM CHI Conference on Human Factors in Computing Systems, 493–502.</w:t>
      </w:r>
    </w:p>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spacing w:before="60"/>
    </w:pPr>
    <w:r>
      <w:rPr>
        <w:rFonts w:ascii="Times New Roman" w:cs="Times New Roman" w:eastAsia="Times New Roman" w:hAnsi="Times New Roman"/>
        <w:color w:val="888888"/>
        <w:sz w:val="18"/>
        <w:szCs w:val="18"/>
      </w:rPr>
      <w:t xml:space="preserve">Abdulla Al Noman | 2512710 | MSc HCI</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spacing w:after="80"/>
    </w:pPr>
    <w:r>
      <w:rPr>
        <w:rFonts w:ascii="Times New Roman" w:cs="Times New Roman" w:eastAsia="Times New Roman" w:hAnsi="Times New Roman"/>
        <w:i/>
        <w:iCs/>
        <w:color w:val="666666"/>
        <w:sz w:val="18"/>
        <w:szCs w:val="18"/>
      </w:rPr>
      <w:t xml:space="preserve">Modeling Trust Calibration in Human-AI Financial Decision Systems</w:t>
    </w:r>
    <w:r>
      <w:rPr>
        <w:rFonts w:ascii="Times New Roman" w:cs="Times New Roman" w:eastAsia="Times New Roman" w:hAnsi="Times New Roman"/>
        <w:color w:val="888888"/>
        <w:sz w:val="18"/>
        <w:szCs w:val="18"/>
      </w:rPr>
      <w:t xml:space="preserve">	FGCT7024 FMP | UCA Farnham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A1A1A"/>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2026-08-28T21:09:04.757Z</dcterms:created>
  <dcterms:modified xsi:type="dcterms:W3CDTF">2026-08-28T21:09:04.780Z</dcterms:modified>
</cp:coreProperties>
</file>

<file path=docProps/custom.xml><?xml version="1.0" encoding="utf-8"?>
<Properties xmlns="http://schemas.openxmlformats.org/officeDocument/2006/custom-properties" xmlns:vt="http://schemas.openxmlformats.org/officeDocument/2006/docPropsVTypes"/>
</file>