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40"/>
        <w:jc w:val="center"/>
      </w:pPr>
      <w:r>
        <w:rPr>
          <w:rFonts w:ascii="Times New Roman" w:cs="Times New Roman" w:eastAsia="Times New Roman" w:hAnsi="Times New Roman"/>
          <w:color w:val="666666"/>
          <w:sz w:val="22"/>
          <w:szCs w:val="22"/>
        </w:rPr>
        <w:t xml:space="preserve">University for the Creative Arts, Farnham</w:t>
      </w:r>
    </w:p>
    <w:p>
      <w:pPr>
        <w:spacing w:after="40"/>
        <w:jc w:val="center"/>
      </w:pPr>
      <w:r>
        <w:rPr>
          <w:rFonts w:ascii="Times New Roman" w:cs="Times New Roman" w:eastAsia="Times New Roman" w:hAnsi="Times New Roman"/>
          <w:color w:val="666666"/>
          <w:sz w:val="22"/>
          <w:szCs w:val="22"/>
        </w:rPr>
        <w:t xml:space="preserve">MSc Human-Computer Interaction  |  FGCT7024 Final Major Project</w:t>
      </w:r>
    </w:p>
    <w:p>
      <w:pPr>
        <w:spacing w:after="360"/>
      </w:pPr>
      <w:r>
        <w:t xml:space="preserve"/>
      </w:r>
    </w:p>
    <w:p>
      <w:pPr>
        <w:spacing w:after="100"/>
        <w:jc w:val="center"/>
      </w:pPr>
      <w:r>
        <w:rPr>
          <w:rFonts w:ascii="Times New Roman" w:cs="Times New Roman" w:eastAsia="Times New Roman" w:hAnsi="Times New Roman"/>
          <w:b/>
          <w:bCs/>
          <w:color w:val="1A1A1A"/>
          <w:sz w:val="34"/>
          <w:szCs w:val="34"/>
        </w:rPr>
        <w:t xml:space="preserve">Modeling Trust Calibration in Human-AI Financial Decision Systems:</w:t>
      </w:r>
    </w:p>
    <w:p>
      <w:pPr>
        <w:spacing w:after="440"/>
        <w:jc w:val="center"/>
      </w:pPr>
      <w:r>
        <w:rPr>
          <w:rFonts w:ascii="Times New Roman" w:cs="Times New Roman" w:eastAsia="Times New Roman" w:hAnsi="Times New Roman"/>
          <w:b/>
          <w:bCs/>
          <w:i/>
          <w:iCs/>
          <w:color w:val="2E74B5"/>
          <w:sz w:val="28"/>
          <w:szCs w:val="28"/>
        </w:rPr>
        <w:t xml:space="preserve">A Behavioral and Interactional Perspective</w:t>
      </w:r>
    </w:p>
    <w:p>
      <w:pPr>
        <w:spacing w:after="80"/>
        <w:jc w:val="center"/>
      </w:pPr>
      <w:r>
        <w:rPr>
          <w:rFonts w:ascii="Times New Roman" w:cs="Times New Roman" w:eastAsia="Times New Roman" w:hAnsi="Times New Roman"/>
          <w:b/>
          <w:bCs/>
          <w:sz w:val="24"/>
          <w:szCs w:val="24"/>
        </w:rPr>
        <w:t xml:space="preserve">Abdulla Al Noman  |  Student ID: 2512710</w:t>
      </w:r>
    </w:p>
    <w:p>
      <w:pPr>
        <w:spacing w:after="40"/>
        <w:jc w:val="center"/>
      </w:pPr>
      <w:r>
        <w:rPr>
          <w:rFonts w:ascii="Times New Roman" w:cs="Times New Roman" w:eastAsia="Times New Roman" w:hAnsi="Times New Roman"/>
          <w:color w:val="666666"/>
          <w:sz w:val="22"/>
          <w:szCs w:val="22"/>
        </w:rPr>
        <w:t xml:space="preserve">Supervisor: Roderick Morgan  |  UCA Farnham</w:t>
      </w:r>
    </w:p>
    <w:p>
      <w:pPr>
        <w:spacing w:after="40"/>
        <w:jc w:val="center"/>
      </w:pPr>
      <w:r>
        <w:rPr>
          <w:rFonts w:ascii="Times New Roman" w:cs="Times New Roman" w:eastAsia="Times New Roman" w:hAnsi="Times New Roman"/>
          <w:color w:val="666666"/>
          <w:sz w:val="22"/>
          <w:szCs w:val="22"/>
        </w:rPr>
        <w:t xml:space="preserve">Module: FGCT7024 Final Major Project  |  Submission: 8 September 2026</w:t>
      </w:r>
    </w:p>
    <w:p>
      <w:r>
        <w:br/>
      </w:r>
    </w:p>
    <w:p>
      <w:pPr>
        <w:pStyle w:val="Heading1"/>
        <w:spacing w:after="200" w:before="480"/>
      </w:pPr>
      <w:r>
        <w:rPr>
          <w:rFonts w:ascii="Times New Roman" w:cs="Times New Roman" w:eastAsia="Times New Roman" w:hAnsi="Times New Roman"/>
          <w:b/>
          <w:bCs/>
          <w:color w:val="1A1A1A"/>
          <w:sz w:val="26"/>
          <w:szCs w:val="26"/>
        </w:rPr>
        <w:t xml:space="preserve">ABSTRACT</w:t>
      </w:r>
    </w:p>
    <w:p>
      <w:pPr>
        <w:spacing w:after="160" w:line="288"/>
        <w:jc w:val="both"/>
      </w:pPr>
      <w:r>
        <w:rPr>
          <w:rFonts w:ascii="Times New Roman" w:cs="Times New Roman" w:eastAsia="Times New Roman" w:hAnsi="Times New Roman"/>
          <w:sz w:val="24"/>
          <w:szCs w:val="24"/>
        </w:rPr>
        <w:t xml:space="preserve">Artificial intelligence is increasingly deployed in consumer credit assessment, yet the conditions under which users appropriately calibrate trust in AI recommendations remain poorly understood. This study investigated the effects of three AI explanation modalities — no explanation (Condition A), surface explanation (Condition B), and counterfactual explanation (Condition C) — on trust calibration in a simulated AI credit decision task (N=630 after exclusions from 678 enrolled, following pre-registered suspicion-probe exclusion criteria). The AI was deliberately incorrect on three of ten scenarios (true accuracy=70%).</w:t>
      </w:r>
    </w:p>
    <w:p>
      <w:pPr>
        <w:spacing w:after="80"/>
      </w:pPr>
      <w:r>
        <w:t xml:space="preserve"/>
      </w:r>
    </w:p>
    <w:p>
      <w:pPr>
        <w:spacing w:after="160" w:line="288"/>
        <w:jc w:val="both"/>
      </w:pPr>
      <w:r>
        <w:rPr>
          <w:rFonts w:ascii="Times New Roman" w:cs="Times New Roman" w:eastAsia="Times New Roman" w:hAnsi="Times New Roman"/>
          <w:sz w:val="24"/>
          <w:szCs w:val="24"/>
        </w:rPr>
        <w:t xml:space="preserve">Three complementary analytical methods were employed: one-way ANOVA with Tukey–Kramer correction, Bradley–Terry pairwise dominance modelling, and logistic regression. ANOVA revealed significant condition effects on seven of nine outcomes (all F&gt;8.90, p&lt;.001). Condition C produced the lowest AI follow rate (M=0.502, η²=0.127), the most AI errors caught (M=1.748, η²=0.107), and the highest perceived fairness (M=5.330, η²=0.239). Bradley–Terry modelling corroborated these findings: aggregate latent strength was 1.847 for C, 0.957 for B, and 0.650 for A; P(C beats A)=0.740. Logistic regression confirmed Condition C participants were 79.5% less likely to be classified as high AI followers (OR=0.205, 95% CI [0.131, 0.322], p&lt;.001), with financial literacy (OR=0.808, p=.015) and need for cognition (OR=0.622, p&lt;.001) as significant moderators. Notably, calibration score — the within-participant correlation of confidence and decision accuracy — was not significantly differentiated across conditions (F=2.31, p=.10), revealing a theoretically important dissociation between behavioural and metacognitive calibration.</w:t>
      </w:r>
    </w:p>
    <w:p>
      <w:pPr>
        <w:spacing w:after="80"/>
      </w:pPr>
      <w:r>
        <w:t xml:space="preserve"/>
      </w:r>
    </w:p>
    <w:p>
      <w:pPr>
        <w:spacing w:after="160" w:line="288"/>
        <w:jc w:val="both"/>
      </w:pPr>
      <w:r>
        <w:rPr>
          <w:rFonts w:ascii="Times New Roman" w:cs="Times New Roman" w:eastAsia="Times New Roman" w:hAnsi="Times New Roman"/>
          <w:sz w:val="24"/>
          <w:szCs w:val="24"/>
        </w:rPr>
        <w:t xml:space="preserve">Post-study, findings were translated into ClearLend AI — a high-fidelity mobile interface prototype implementing counterfactual explanation as its core design pattern, with each design decision annotated with specific empirical findings. Participant testimonials (n=120, sampled from the study) were integrated into the interface's Reviews screen. Five evidence-based design principles are proposed for AI credit explanation systems, with direct implications for the EU AI Act (2024) and UK FCA Consumer Duty (2023).</w:t>
      </w:r>
    </w:p>
    <w:p>
      <w:pPr>
        <w:spacing w:after="80"/>
      </w:pPr>
      <w:r>
        <w:t xml:space="preserve"/>
      </w:r>
    </w:p>
    <w:p>
      <w:pPr>
        <w:spacing w:after="160" w:line="288"/>
        <w:jc w:val="both"/>
      </w:pPr>
      <w:r>
        <w:rPr>
          <w:rFonts w:ascii="Times New Roman" w:cs="Times New Roman" w:eastAsia="Times New Roman" w:hAnsi="Times New Roman"/>
          <w:i/>
          <w:iCs/>
          <w:sz w:val="24"/>
          <w:szCs w:val="24"/>
        </w:rPr>
        <w:t xml:space="preserve">Keywords: trust calibration, explainable AI, counterfactual explanation, automation bias, financial decision-making, Bradley–Terry model, HCI</w:t>
      </w:r>
    </w:p>
    <w:p>
      <w:r>
        <w:br/>
      </w:r>
    </w:p>
    <w:p>
      <w:pPr>
        <w:pStyle w:val="Heading1"/>
        <w:spacing w:after="200" w:before="480"/>
      </w:pPr>
      <w:r>
        <w:rPr>
          <w:rFonts w:ascii="Times New Roman" w:cs="Times New Roman" w:eastAsia="Times New Roman" w:hAnsi="Times New Roman"/>
          <w:b/>
          <w:bCs/>
          <w:color w:val="1A1A1A"/>
          <w:sz w:val="26"/>
          <w:szCs w:val="26"/>
        </w:rPr>
        <w:t xml:space="preserve">1. INTRODUCTION</w:t>
      </w:r>
    </w:p>
    <w:p>
      <w:pPr>
        <w:spacing w:after="160" w:line="288"/>
        <w:jc w:val="both"/>
      </w:pPr>
      <w:r>
        <w:rPr>
          <w:rFonts w:ascii="Times New Roman" w:cs="Times New Roman" w:eastAsia="Times New Roman" w:hAnsi="Times New Roman"/>
          <w:sz w:val="24"/>
          <w:szCs w:val="24"/>
        </w:rPr>
        <w:t xml:space="preserve">Algorithmic systems now underpin consequential decisions across credit scoring, insurance pricing, and medical triage. Automated credit assessment systems in the UK process millions of applications annually, determining access to housing, education, and capital (FCA, 2023). Pasquale (2015) characterised the opacity of such systems as the "black box problem." Wachter et al. (2017) formalised a right to explanation, arguing that AI systems must provide meaningful, actionable information about their decisions.</w:t>
      </w:r>
    </w:p>
    <w:p>
      <w:pPr>
        <w:spacing w:after="80"/>
      </w:pPr>
      <w:r>
        <w:t xml:space="preserve"/>
      </w:r>
    </w:p>
    <w:p>
      <w:pPr>
        <w:spacing w:after="160" w:line="288"/>
        <w:jc w:val="both"/>
      </w:pPr>
      <w:r>
        <w:rPr>
          <w:rFonts w:ascii="Times New Roman" w:cs="Times New Roman" w:eastAsia="Times New Roman" w:hAnsi="Times New Roman"/>
          <w:sz w:val="24"/>
          <w:szCs w:val="24"/>
        </w:rPr>
        <w:t xml:space="preserve">The EU Artificial Intelligence Act (2024) classifies credit scoring as high-risk, requiring meaningful explanations of automated decisions. The UK FCA Consumer Duty (2023) requires that customers genuinely understand AI-generated decisions. These frameworks create a practical imperative: not whether to explain AI decisions, but how. Research on explainable AI (XAI) has proliferated but focuses mostly on technical fidelity rather than behavioural effects on users (Doshi-Velez &amp; Kim, 2017). This study addresses this gap through a behavioural experiment comparing three explanation modalities, complemented by three statistical methods and evidence-based interface design.</w:t>
      </w:r>
    </w:p>
    <w:p>
      <w:pPr>
        <w:pStyle w:val="Heading2"/>
        <w:spacing w:after="160" w:before="320"/>
      </w:pPr>
      <w:r>
        <w:rPr>
          <w:rFonts w:ascii="Times New Roman" w:cs="Times New Roman" w:eastAsia="Times New Roman" w:hAnsi="Times New Roman"/>
          <w:b/>
          <w:bCs/>
          <w:color w:val="1A1A1A"/>
          <w:sz w:val="24"/>
          <w:szCs w:val="24"/>
        </w:rPr>
        <w:t xml:space="preserve">1.1 Research Questions</w:t>
      </w:r>
    </w:p>
    <w:p>
      <w:pPr>
        <w:pStyle w:val="ListParagraph"/>
        <w:numPr>
          <w:ilvl w:val="0"/>
          <w:numId w:val="2"/>
        </w:numPr>
        <w:spacing w:after="100" w:line="276"/>
      </w:pPr>
      <w:r>
        <w:rPr>
          <w:rFonts w:ascii="Times New Roman" w:cs="Times New Roman" w:eastAsia="Times New Roman" w:hAnsi="Times New Roman"/>
          <w:sz w:val="24"/>
          <w:szCs w:val="24"/>
        </w:rPr>
        <w:t xml:space="preserve">RQ1: Does explanation type (none, surface, counterfactual) significantly affect trust calibration in AI-mediated financial decisions?</w:t>
      </w:r>
    </w:p>
    <w:p>
      <w:pPr>
        <w:pStyle w:val="ListParagraph"/>
        <w:numPr>
          <w:ilvl w:val="0"/>
          <w:numId w:val="2"/>
        </w:numPr>
        <w:spacing w:after="100" w:line="276"/>
      </w:pPr>
      <w:r>
        <w:rPr>
          <w:rFonts w:ascii="Times New Roman" w:cs="Times New Roman" w:eastAsia="Times New Roman" w:hAnsi="Times New Roman"/>
          <w:sz w:val="24"/>
          <w:szCs w:val="24"/>
        </w:rPr>
        <w:t xml:space="preserve">RQ2: Do individual differences in financial literacy, need for cognition, and technology disposition moderate the relationship between explanation type and calibration?</w:t>
      </w:r>
    </w:p>
    <w:p>
      <w:pPr>
        <w:pStyle w:val="ListParagraph"/>
        <w:numPr>
          <w:ilvl w:val="0"/>
          <w:numId w:val="2"/>
        </w:numPr>
        <w:spacing w:after="100" w:line="276"/>
      </w:pPr>
      <w:r>
        <w:rPr>
          <w:rFonts w:ascii="Times New Roman" w:cs="Times New Roman" w:eastAsia="Times New Roman" w:hAnsi="Times New Roman"/>
          <w:sz w:val="24"/>
          <w:szCs w:val="24"/>
        </w:rPr>
        <w:t xml:space="preserve">RQ3: Which explanation modality produces the most appropriate trust calibration, behaviourally and attitudinally?</w:t>
      </w:r>
    </w:p>
    <w:p>
      <w:pPr>
        <w:spacing w:after="80"/>
      </w:pPr>
      <w:r>
        <w:t xml:space="preserve"/>
      </w:r>
    </w:p>
    <w:p>
      <w:pPr>
        <w:spacing w:after="160" w:line="288"/>
        <w:jc w:val="both"/>
      </w:pPr>
      <w:r>
        <w:rPr>
          <w:rFonts w:ascii="Times New Roman" w:cs="Times New Roman" w:eastAsia="Times New Roman" w:hAnsi="Times New Roman"/>
          <w:sz w:val="24"/>
          <w:szCs w:val="24"/>
        </w:rPr>
        <w:t xml:space="preserve">Pre-registered hypotheses (OSF): (H1) Condition C will produce lower AI follow rates; (H2) Condition C will produce more errors caught; (H3) Financial literacy will negatively moderate follow rate; (H4) Trust trajectories after AI errors will differ significantly across conditions.</w:t>
      </w:r>
    </w:p>
    <w:p>
      <w:r>
        <w:br/>
      </w:r>
    </w:p>
    <w:p>
      <w:pPr>
        <w:pStyle w:val="Heading1"/>
        <w:spacing w:after="200" w:before="480"/>
      </w:pPr>
      <w:r>
        <w:rPr>
          <w:rFonts w:ascii="Times New Roman" w:cs="Times New Roman" w:eastAsia="Times New Roman" w:hAnsi="Times New Roman"/>
          <w:b/>
          <w:bCs/>
          <w:color w:val="1A1A1A"/>
          <w:sz w:val="26"/>
          <w:szCs w:val="26"/>
        </w:rPr>
        <w:t xml:space="preserve">2. LITERATURE REVIEW</w:t>
      </w:r>
    </w:p>
    <w:p>
      <w:pPr>
        <w:pStyle w:val="Heading2"/>
        <w:spacing w:after="160" w:before="320"/>
      </w:pPr>
      <w:r>
        <w:rPr>
          <w:rFonts w:ascii="Times New Roman" w:cs="Times New Roman" w:eastAsia="Times New Roman" w:hAnsi="Times New Roman"/>
          <w:b/>
          <w:bCs/>
          <w:color w:val="1A1A1A"/>
          <w:sz w:val="24"/>
          <w:szCs w:val="24"/>
        </w:rPr>
        <w:t xml:space="preserve">2.1 Trust Calibration</w:t>
      </w:r>
    </w:p>
    <w:p>
      <w:pPr>
        <w:spacing w:after="160" w:line="288"/>
        <w:jc w:val="both"/>
      </w:pPr>
      <w:r>
        <w:rPr>
          <w:rFonts w:ascii="Times New Roman" w:cs="Times New Roman" w:eastAsia="Times New Roman" w:hAnsi="Times New Roman"/>
          <w:sz w:val="24"/>
          <w:szCs w:val="24"/>
        </w:rPr>
        <w:t xml:space="preserve">Lee and See (2004) define appropriate trust as reliance calibrated to actual system reliability — neither excessive (automation bias) nor insufficient (algorithm aversion). Parasuraman and Riley (1997) demonstrated that automation bias is modifiable through interface design, directly motivating this study's manipulation of explanation type. Logg et al. (2019) introduced algorithmic appreciation — the tendency to weight algorithmic outputs above human advice — while Dietvorst et al. (2015) documented the opposing pattern of algorithm aversion following errors. Both overtrust and undertrust require calibrated management.</w:t>
      </w:r>
    </w:p>
    <w:p>
      <w:pPr>
        <w:pStyle w:val="Heading2"/>
        <w:spacing w:after="160" w:before="320"/>
      </w:pPr>
      <w:r>
        <w:rPr>
          <w:rFonts w:ascii="Times New Roman" w:cs="Times New Roman" w:eastAsia="Times New Roman" w:hAnsi="Times New Roman"/>
          <w:b/>
          <w:bCs/>
          <w:color w:val="1A1A1A"/>
          <w:sz w:val="24"/>
          <w:szCs w:val="24"/>
        </w:rPr>
        <w:t xml:space="preserve">2.2 Counterfactual Explanation</w:t>
      </w:r>
    </w:p>
    <w:p>
      <w:pPr>
        <w:spacing w:after="160" w:line="288"/>
        <w:jc w:val="both"/>
      </w:pPr>
      <w:r>
        <w:rPr>
          <w:rFonts w:ascii="Times New Roman" w:cs="Times New Roman" w:eastAsia="Times New Roman" w:hAnsi="Times New Roman"/>
          <w:sz w:val="24"/>
          <w:szCs w:val="24"/>
        </w:rPr>
        <w:t xml:space="preserve">Wachter et al. (2017) proposed counterfactual explanations — "what would change this decision?" — as the appropriate form of explanation under GDPR. Unlike feature-importance summaries, counterfactuals specify the minimum change required to alter a decision, enabling users to evaluate individual cases against the AI's decision boundary. Byrne (2019) demonstrated that counterfactual thinking facilitates causal reasoning. Cai et al. (2019) found contrastive explanations improved calibration in medical AI. Singla et al. (2025) showed explanation format interacted with user expertise in credit contexts, motivating this study's moderation analysis.</w:t>
      </w:r>
    </w:p>
    <w:p>
      <w:pPr>
        <w:pStyle w:val="Heading2"/>
        <w:spacing w:after="160" w:before="320"/>
      </w:pPr>
      <w:r>
        <w:rPr>
          <w:rFonts w:ascii="Times New Roman" w:cs="Times New Roman" w:eastAsia="Times New Roman" w:hAnsi="Times New Roman"/>
          <w:b/>
          <w:bCs/>
          <w:color w:val="1A1A1A"/>
          <w:sz w:val="24"/>
          <w:szCs w:val="24"/>
        </w:rPr>
        <w:t xml:space="preserve">2.3 Individual Differences</w:t>
      </w:r>
    </w:p>
    <w:p>
      <w:pPr>
        <w:spacing w:after="160" w:line="288"/>
        <w:jc w:val="both"/>
      </w:pPr>
      <w:r>
        <w:rPr>
          <w:rFonts w:ascii="Times New Roman" w:cs="Times New Roman" w:eastAsia="Times New Roman" w:hAnsi="Times New Roman"/>
          <w:sz w:val="24"/>
          <w:szCs w:val="24"/>
        </w:rPr>
        <w:t xml:space="preserve">Mayer, Davis, and Schoorman (1995) proposed that trust is jointly determined by perceived ability, benevolence, and integrity — the last of which explanations may fulfil through transparency. Need for cognition (Cacioppo &amp; Petty, 1982) predicts deliberate over heuristic processing. Financial literacy (Lusardi &amp; Mitchell, 2011) predicts better financial decision-making outcomes and is correlated with deliberate information processing in financial contexts.</w:t>
      </w:r>
    </w:p>
    <w:p>
      <w:pPr>
        <w:pStyle w:val="Heading2"/>
        <w:spacing w:after="160" w:before="320"/>
      </w:pPr>
      <w:r>
        <w:rPr>
          <w:rFonts w:ascii="Times New Roman" w:cs="Times New Roman" w:eastAsia="Times New Roman" w:hAnsi="Times New Roman"/>
          <w:b/>
          <w:bCs/>
          <w:color w:val="1A1A1A"/>
          <w:sz w:val="24"/>
          <w:szCs w:val="24"/>
        </w:rPr>
        <w:t xml:space="preserve">2.4 Regulatory Context</w:t>
      </w:r>
    </w:p>
    <w:p>
      <w:pPr>
        <w:spacing w:after="160" w:line="288"/>
        <w:jc w:val="both"/>
      </w:pPr>
      <w:r>
        <w:rPr>
          <w:rFonts w:ascii="Times New Roman" w:cs="Times New Roman" w:eastAsia="Times New Roman" w:hAnsi="Times New Roman"/>
          <w:sz w:val="24"/>
          <w:szCs w:val="24"/>
        </w:rPr>
        <w:t xml:space="preserve">The EU AI Act (2024) Article 13 requires high-risk AI systems to be sufficiently transparent for operators to interpret output appropriately. The FCA Consumer Duty (2023) requires information that enables effective customer decisions. Eubanks (2018) documented how opacity in automated credit and welfare systems functions as a mechanism of social exclusion — a concern counterfactual explanations may partially address by communicating specific, actionable decision criteria.</w:t>
      </w:r>
    </w:p>
    <w:p>
      <w:r>
        <w:br/>
      </w:r>
    </w:p>
    <w:p>
      <w:pPr>
        <w:pStyle w:val="Heading1"/>
        <w:spacing w:after="200" w:before="480"/>
      </w:pPr>
      <w:r>
        <w:rPr>
          <w:rFonts w:ascii="Times New Roman" w:cs="Times New Roman" w:eastAsia="Times New Roman" w:hAnsi="Times New Roman"/>
          <w:b/>
          <w:bCs/>
          <w:color w:val="1A1A1A"/>
          <w:sz w:val="26"/>
          <w:szCs w:val="26"/>
        </w:rPr>
        <w:t xml:space="preserve">3. METHODOLOGY</w:t>
      </w:r>
    </w:p>
    <w:p>
      <w:pPr>
        <w:pStyle w:val="Heading2"/>
        <w:spacing w:after="160" w:before="320"/>
      </w:pPr>
      <w:r>
        <w:rPr>
          <w:rFonts w:ascii="Times New Roman" w:cs="Times New Roman" w:eastAsia="Times New Roman" w:hAnsi="Times New Roman"/>
          <w:b/>
          <w:bCs/>
          <w:color w:val="1A1A1A"/>
          <w:sz w:val="24"/>
          <w:szCs w:val="24"/>
        </w:rPr>
        <w:t xml:space="preserve">3.1 Research Design</w:t>
      </w:r>
    </w:p>
    <w:p>
      <w:pPr>
        <w:spacing w:after="160" w:line="288"/>
        <w:jc w:val="both"/>
      </w:pPr>
      <w:r>
        <w:rPr>
          <w:rFonts w:ascii="Times New Roman" w:cs="Times New Roman" w:eastAsia="Times New Roman" w:hAnsi="Times New Roman"/>
          <w:sz w:val="24"/>
          <w:szCs w:val="24"/>
        </w:rPr>
        <w:t xml:space="preserve">A single-factor between-subjects experimental design was employed with three levels: Condition A (no explanation), Condition B (surface explanation), Condition C (counterfactual explanation). Between-subjects assignment prevented carry-over effects across explanation types. The study used a convergent mixed-methods design, combining quantitative behavioural data from the experimental task with qualitative data from semi-structured interviews (n=24, eight per condition). The analysis plan, primary outcomes, and exclusion criteria were pre-registered on the Open Science Framework prior to data collection.</w:t>
      </w:r>
    </w:p>
    <w:p>
      <w:pPr>
        <w:pStyle w:val="Heading2"/>
        <w:spacing w:after="160" w:before="320"/>
      </w:pPr>
      <w:r>
        <w:rPr>
          <w:rFonts w:ascii="Times New Roman" w:cs="Times New Roman" w:eastAsia="Times New Roman" w:hAnsi="Times New Roman"/>
          <w:b/>
          <w:bCs/>
          <w:color w:val="1A1A1A"/>
          <w:sz w:val="24"/>
          <w:szCs w:val="24"/>
        </w:rPr>
        <w:t xml:space="preserve">3.2 Participants</w:t>
      </w:r>
    </w:p>
    <w:p>
      <w:pPr>
        <w:spacing w:after="160" w:line="288"/>
        <w:jc w:val="both"/>
      </w:pPr>
      <w:r>
        <w:rPr>
          <w:rFonts w:ascii="Times New Roman" w:cs="Times New Roman" w:eastAsia="Times New Roman" w:hAnsi="Times New Roman"/>
          <w:sz w:val="24"/>
          <w:szCs w:val="24"/>
        </w:rPr>
        <w:t xml:space="preserve">678 participants were recruited via purposive and snowball sampling through university mailing lists and social media. Following pre-registered exclusion criteria, 48 participants who correctly identified the study's focus on trust in AI were excluded, yielding N=630 (Condition A: n=201; Condition B: n=223; Condition C: n=206). This exceeded the pre-registered minimum of 180 participants for 80% power to detect medium effects (f=0.25).</w:t>
      </w:r>
    </w:p>
    <w:p>
      <w:pPr>
        <w:spacing w:after="80"/>
      </w:pPr>
      <w:r>
        <w:t xml:space="preserve"/>
      </w:r>
    </w:p>
    <w:p>
      <w:pPr>
        <w:spacing w:after="160" w:line="288"/>
        <w:jc w:val="both"/>
      </w:pPr>
      <w:r>
        <w:rPr>
          <w:rFonts w:ascii="Times New Roman" w:cs="Times New Roman" w:eastAsia="Times New Roman" w:hAnsi="Times New Roman"/>
          <w:sz w:val="24"/>
          <w:szCs w:val="24"/>
        </w:rPr>
        <w:t xml:space="preserve">The sample was demographically diverse: 56% Bangladeshi, 11% British, 10% Indian, 7% Pakistani, 5% Chinese, 4% Nigerian, 3% Malaysian, 4% other. 84% were university students (undergraduate, MSc, MBA, PhD). Age: 18–22 (29%), 23–27 (37%), 28–32 (17%), 33–40 (10%), 41+ (7%). Gender: 60% male, 37% female, 3% other or prefer not to say. Participants were from 25 UK and Bangladeshi universities.</w:t>
      </w:r>
    </w:p>
    <w:p>
      <w:pPr>
        <w:pStyle w:val="Heading2"/>
        <w:spacing w:after="160" w:before="320"/>
      </w:pPr>
      <w:r>
        <w:rPr>
          <w:rFonts w:ascii="Times New Roman" w:cs="Times New Roman" w:eastAsia="Times New Roman" w:hAnsi="Times New Roman"/>
          <w:b/>
          <w:bCs/>
          <w:color w:val="1A1A1A"/>
          <w:sz w:val="24"/>
          <w:szCs w:val="24"/>
        </w:rPr>
        <w:t xml:space="preserve">3.3 Stimulus</w:t>
      </w:r>
    </w:p>
    <w:p>
      <w:pPr>
        <w:spacing w:after="160" w:line="288"/>
        <w:jc w:val="both"/>
      </w:pPr>
      <w:r>
        <w:rPr>
          <w:rFonts w:ascii="Times New Roman" w:cs="Times New Roman" w:eastAsia="Times New Roman" w:hAnsi="Times New Roman"/>
          <w:sz w:val="24"/>
          <w:szCs w:val="24"/>
        </w:rPr>
        <w:t xml:space="preserve">A custom React web application presented ten fictional loan applications sequentially. Each displayed income, credit utilisation, repayment history, debt-to-income ratio, and loan amount. In Condition A: AI verdict and confidence percentage only. In Condition B: verdict, confidence, and one sentence identifying the primary factor. In Condition C: verdict, confidence, and a counterfactual statement specifying what change would alter the decision. The AI was wrong on scenarios 3, 7, and 10 (true accuracy: 70%). Response time was automatically logged.</w:t>
      </w:r>
    </w:p>
    <w:p>
      <w:pPr>
        <w:pStyle w:val="Heading2"/>
        <w:spacing w:after="160" w:before="320"/>
      </w:pPr>
      <w:r>
        <w:rPr>
          <w:rFonts w:ascii="Times New Roman" w:cs="Times New Roman" w:eastAsia="Times New Roman" w:hAnsi="Times New Roman"/>
          <w:b/>
          <w:bCs/>
          <w:color w:val="1A1A1A"/>
          <w:sz w:val="24"/>
          <w:szCs w:val="24"/>
        </w:rPr>
        <w:t xml:space="preserve">3.4 Measures</w:t>
      </w:r>
    </w:p>
    <w:p>
      <w:pPr>
        <w:spacing w:after="160" w:line="288"/>
        <w:jc w:val="both"/>
      </w:pPr>
      <w:r>
        <w:rPr>
          <w:rFonts w:ascii="Times New Roman" w:cs="Times New Roman" w:eastAsia="Times New Roman" w:hAnsi="Times New Roman"/>
          <w:sz w:val="24"/>
          <w:szCs w:val="24"/>
        </w:rPr>
        <w:t xml:space="preserve">Pre-task: Financial Literacy Scale (Lusardi &amp; Mitchell, 2011; 3 objective items, 0–3); Need for Cognition Scale (Cacioppo &amp; Petty, 1982; 6 items, 1–5); Technology Disposition Scale (Venkatesh et al., 2003; 4 items, 1–5). Post-task: Trust in Automation Scale (Jian et al., 2000; 12 items, 1–7); Perceived Fairness Scale (Lee, 2018; 6 items, 1–7); Appeal Intent and Re-trust Intent (1–5 each). Calibration score = within-participant Pearson r(confidence, decision accuracy) across ten scenarios.</w:t>
      </w:r>
    </w:p>
    <w:p>
      <w:pPr>
        <w:pStyle w:val="Heading2"/>
        <w:spacing w:after="160" w:before="320"/>
      </w:pPr>
      <w:r>
        <w:rPr>
          <w:rFonts w:ascii="Times New Roman" w:cs="Times New Roman" w:eastAsia="Times New Roman" w:hAnsi="Times New Roman"/>
          <w:b/>
          <w:bCs/>
          <w:color w:val="1A1A1A"/>
          <w:sz w:val="24"/>
          <w:szCs w:val="24"/>
        </w:rPr>
        <w:t xml:space="preserve">3.5 Analysis</w:t>
      </w:r>
    </w:p>
    <w:p>
      <w:pPr>
        <w:spacing w:after="160" w:line="288"/>
        <w:jc w:val="both"/>
      </w:pPr>
      <w:r>
        <w:rPr>
          <w:rFonts w:ascii="Times New Roman" w:cs="Times New Roman" w:eastAsia="Times New Roman" w:hAnsi="Times New Roman"/>
          <w:sz w:val="24"/>
          <w:szCs w:val="24"/>
        </w:rPr>
        <w:t xml:space="preserve">Three complementary approaches: (1) One-way ANOVA with Tukey–Kramer post-hoc correction, effect sizes as η² (Richardson, 2011). (2) Bradley–Terry pairwise dominance modelling via Nelder–Mead MLE, yielding latent strength parameters and pairwise win probabilities. (3) Logistic regression predicting high AI follow rate (binary: above/below median) from condition and individual differences. ANCOVA additionally examined moderation. Qualitative analysis used Braun and Clarke's (2019) reflexive thematic approach on 24 interview transcripts.</w:t>
      </w:r>
    </w:p>
    <w:p>
      <w:r>
        <w:br/>
      </w:r>
    </w:p>
    <w:p>
      <w:pPr>
        <w:pStyle w:val="Heading1"/>
        <w:spacing w:after="200" w:before="480"/>
      </w:pPr>
      <w:r>
        <w:rPr>
          <w:rFonts w:ascii="Times New Roman" w:cs="Times New Roman" w:eastAsia="Times New Roman" w:hAnsi="Times New Roman"/>
          <w:b/>
          <w:bCs/>
          <w:color w:val="1A1A1A"/>
          <w:sz w:val="26"/>
          <w:szCs w:val="26"/>
        </w:rPr>
        <w:t xml:space="preserve">4. RESULTS</w:t>
      </w:r>
    </w:p>
    <w:p>
      <w:pPr>
        <w:pStyle w:val="Heading2"/>
        <w:spacing w:after="160" w:before="320"/>
      </w:pPr>
      <w:r>
        <w:rPr>
          <w:rFonts w:ascii="Times New Roman" w:cs="Times New Roman" w:eastAsia="Times New Roman" w:hAnsi="Times New Roman"/>
          <w:b/>
          <w:bCs/>
          <w:color w:val="1A1A1A"/>
          <w:sz w:val="24"/>
          <w:szCs w:val="24"/>
        </w:rPr>
        <w:t xml:space="preserve">4.1 One-Way ANOVA</w:t>
      </w:r>
    </w:p>
    <w:p>
      <w:pPr>
        <w:spacing w:after="160" w:line="288"/>
        <w:jc w:val="both"/>
      </w:pPr>
      <w:r>
        <w:rPr>
          <w:rFonts w:ascii="Times New Roman" w:cs="Times New Roman" w:eastAsia="Times New Roman" w:hAnsi="Times New Roman"/>
          <w:sz w:val="24"/>
          <w:szCs w:val="24"/>
        </w:rPr>
        <w:t xml:space="preserve">Table 1 presents means, standard deviations, and ANOVA results for all outcome measures. Seven of nine outcomes reached significance.</w:t>
      </w:r>
    </w:p>
    <w:p>
      <w:pPr>
        <w:spacing w:after="120"/>
      </w:pPr>
      <w:r>
        <w:t xml:space="preserve"/>
      </w:r>
    </w:p>
    <w:p>
      <w:pPr>
        <w:spacing w:after="80" w:before="100"/>
        <w:jc w:val="center"/>
      </w:pPr>
      <w:r>
        <w:rPr>
          <w:rFonts w:ascii="Times New Roman" w:cs="Times New Roman" w:eastAsia="Times New Roman" w:hAnsi="Times New Roman"/>
          <w:i/>
          <w:iCs/>
          <w:color w:val="444444"/>
          <w:sz w:val="20"/>
          <w:szCs w:val="20"/>
        </w:rPr>
        <w:t xml:space="preserve">Table 1. Means, SDs, and One-Way ANOVA by Explanation Condition (N=630)</w:t>
      </w: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2500"/>
        <w:gridCol w:w="740"/>
        <w:gridCol w:w="740"/>
        <w:gridCol w:w="740"/>
        <w:gridCol w:w="740"/>
        <w:gridCol w:w="740"/>
        <w:gridCol w:w="740"/>
        <w:gridCol w:w="720"/>
        <w:gridCol w:w="560"/>
      </w:tblGrid>
      <w:tr>
        <w:trPr>
          <w:tblHeader/>
        </w:trPr>
        <w:tc>
          <w:tcPr>
            <w:tcW w:type="dxa" w:w="2500"/>
            <w:tcBorders>
              <w:top w:val="single" w:color="999999" w:sz="2"/>
              <w:left w:val="single" w:color="999999" w:sz="1"/>
              <w:bottom w:val="single" w:color="999999" w:sz="2"/>
              <w:right w:val="single" w:color="999999" w:sz="1"/>
            </w:tcBorders>
            <w:shd w:fill="1F4E79" w:val="clear"/>
            <w:tcMar>
              <w:top w:type="dxa" w:w="80"/>
              <w:left w:type="dxa" w:w="100"/>
              <w:bottom w:type="dxa" w:w="80"/>
              <w:right w:type="dxa" w:w="100"/>
            </w:tcMar>
          </w:tcPr>
          <w:p>
            <w:pPr>
              <w:jc w:val="left"/>
            </w:pPr>
            <w:r>
              <w:rPr>
                <w:rFonts w:ascii="Times New Roman" w:cs="Times New Roman" w:eastAsia="Times New Roman" w:hAnsi="Times New Roman"/>
                <w:b/>
                <w:bCs/>
                <w:color w:val="FFFFFF"/>
                <w:sz w:val="20"/>
                <w:szCs w:val="20"/>
              </w:rPr>
              <w:t xml:space="preserve">Measure</w:t>
            </w:r>
          </w:p>
        </w:tc>
        <w:tc>
          <w:tcPr>
            <w:tcW w:type="dxa" w:w="740"/>
            <w:tcBorders>
              <w:top w:val="single" w:color="999999" w:sz="2"/>
              <w:left w:val="single" w:color="999999" w:sz="1"/>
              <w:bottom w:val="single" w:color="999999" w:sz="2"/>
              <w:right w:val="single" w:color="999999"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M_A</w:t>
            </w:r>
          </w:p>
        </w:tc>
        <w:tc>
          <w:tcPr>
            <w:tcW w:type="dxa" w:w="740"/>
            <w:tcBorders>
              <w:top w:val="single" w:color="999999" w:sz="2"/>
              <w:left w:val="single" w:color="999999" w:sz="1"/>
              <w:bottom w:val="single" w:color="999999" w:sz="2"/>
              <w:right w:val="single" w:color="999999"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SD_A</w:t>
            </w:r>
          </w:p>
        </w:tc>
        <w:tc>
          <w:tcPr>
            <w:tcW w:type="dxa" w:w="740"/>
            <w:tcBorders>
              <w:top w:val="single" w:color="999999" w:sz="2"/>
              <w:left w:val="single" w:color="999999" w:sz="1"/>
              <w:bottom w:val="single" w:color="999999" w:sz="2"/>
              <w:right w:val="single" w:color="999999"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M_B</w:t>
            </w:r>
          </w:p>
        </w:tc>
        <w:tc>
          <w:tcPr>
            <w:tcW w:type="dxa" w:w="740"/>
            <w:tcBorders>
              <w:top w:val="single" w:color="999999" w:sz="2"/>
              <w:left w:val="single" w:color="999999" w:sz="1"/>
              <w:bottom w:val="single" w:color="999999" w:sz="2"/>
              <w:right w:val="single" w:color="999999"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SD_B</w:t>
            </w:r>
          </w:p>
        </w:tc>
        <w:tc>
          <w:tcPr>
            <w:tcW w:type="dxa" w:w="740"/>
            <w:tcBorders>
              <w:top w:val="single" w:color="999999" w:sz="2"/>
              <w:left w:val="single" w:color="999999" w:sz="1"/>
              <w:bottom w:val="single" w:color="999999" w:sz="2"/>
              <w:right w:val="single" w:color="999999"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M_C</w:t>
            </w:r>
          </w:p>
        </w:tc>
        <w:tc>
          <w:tcPr>
            <w:tcW w:type="dxa" w:w="740"/>
            <w:tcBorders>
              <w:top w:val="single" w:color="999999" w:sz="2"/>
              <w:left w:val="single" w:color="999999" w:sz="1"/>
              <w:bottom w:val="single" w:color="999999" w:sz="2"/>
              <w:right w:val="single" w:color="999999"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SD_C</w:t>
            </w:r>
          </w:p>
        </w:tc>
        <w:tc>
          <w:tcPr>
            <w:tcW w:type="dxa" w:w="720"/>
            <w:tcBorders>
              <w:top w:val="single" w:color="999999" w:sz="2"/>
              <w:left w:val="single" w:color="999999" w:sz="1"/>
              <w:bottom w:val="single" w:color="999999" w:sz="2"/>
              <w:right w:val="single" w:color="999999"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F(2,627)</w:t>
            </w:r>
          </w:p>
        </w:tc>
        <w:tc>
          <w:tcPr>
            <w:tcW w:type="dxa" w:w="560"/>
            <w:tcBorders>
              <w:top w:val="single" w:color="999999" w:sz="2"/>
              <w:left w:val="single" w:color="999999" w:sz="1"/>
              <w:bottom w:val="single" w:color="999999" w:sz="2"/>
              <w:right w:val="single" w:color="999999"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η²</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AI Follow Rate</w:t>
            </w:r>
          </w:p>
        </w:tc>
        <w:tc>
          <w:tcPr>
            <w:tcW w:type="dxa" w:w="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0.655</w:t>
            </w:r>
          </w:p>
        </w:tc>
        <w:tc>
          <w:tcPr>
            <w:tcW w:type="dxa" w:w="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0.146</w:t>
            </w:r>
          </w:p>
        </w:tc>
        <w:tc>
          <w:tcPr>
            <w:tcW w:type="dxa" w:w="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0.591</w:t>
            </w:r>
          </w:p>
        </w:tc>
        <w:tc>
          <w:tcPr>
            <w:tcW w:type="dxa" w:w="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0.157</w:t>
            </w:r>
          </w:p>
        </w:tc>
        <w:tc>
          <w:tcPr>
            <w:tcW w:type="dxa" w:w="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0.502</w:t>
            </w:r>
          </w:p>
        </w:tc>
        <w:tc>
          <w:tcPr>
            <w:tcW w:type="dxa" w:w="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0.181</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45.69***</w:t>
            </w:r>
          </w:p>
        </w:tc>
        <w:tc>
          <w:tcPr>
            <w:tcW w:type="dxa" w:w="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0.127</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Calibration Score</w:t>
            </w:r>
          </w:p>
        </w:tc>
        <w:tc>
          <w:tcPr>
            <w:tcW w:type="dxa" w:w="7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0.046</w:t>
            </w:r>
          </w:p>
        </w:tc>
        <w:tc>
          <w:tcPr>
            <w:tcW w:type="dxa" w:w="7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0.222</w:t>
            </w:r>
          </w:p>
        </w:tc>
        <w:tc>
          <w:tcPr>
            <w:tcW w:type="dxa" w:w="7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0.020</w:t>
            </w:r>
          </w:p>
        </w:tc>
        <w:tc>
          <w:tcPr>
            <w:tcW w:type="dxa" w:w="7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0.195</w:t>
            </w:r>
          </w:p>
        </w:tc>
        <w:tc>
          <w:tcPr>
            <w:tcW w:type="dxa" w:w="7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0.000</w:t>
            </w:r>
          </w:p>
        </w:tc>
        <w:tc>
          <w:tcPr>
            <w:tcW w:type="dxa" w:w="7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0.230</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2.31 ns</w:t>
            </w:r>
          </w:p>
        </w:tc>
        <w:tc>
          <w:tcPr>
            <w:tcW w:type="dxa" w:w="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0.007</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AI Errors Caught</w:t>
            </w:r>
          </w:p>
        </w:tc>
        <w:tc>
          <w:tcPr>
            <w:tcW w:type="dxa" w:w="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1.050</w:t>
            </w:r>
          </w:p>
        </w:tc>
        <w:tc>
          <w:tcPr>
            <w:tcW w:type="dxa" w:w="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0.760</w:t>
            </w:r>
          </w:p>
        </w:tc>
        <w:tc>
          <w:tcPr>
            <w:tcW w:type="dxa" w:w="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1.354</w:t>
            </w:r>
          </w:p>
        </w:tc>
        <w:tc>
          <w:tcPr>
            <w:tcW w:type="dxa" w:w="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0.857</w:t>
            </w:r>
          </w:p>
        </w:tc>
        <w:tc>
          <w:tcPr>
            <w:tcW w:type="dxa" w:w="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1.748</w:t>
            </w:r>
          </w:p>
        </w:tc>
        <w:tc>
          <w:tcPr>
            <w:tcW w:type="dxa" w:w="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0.823</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37.47***</w:t>
            </w:r>
          </w:p>
        </w:tc>
        <w:tc>
          <w:tcPr>
            <w:tcW w:type="dxa" w:w="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0.107</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Trust in Automation</w:t>
            </w:r>
          </w:p>
        </w:tc>
        <w:tc>
          <w:tcPr>
            <w:tcW w:type="dxa" w:w="7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4.633</w:t>
            </w:r>
          </w:p>
        </w:tc>
        <w:tc>
          <w:tcPr>
            <w:tcW w:type="dxa" w:w="7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0.698</w:t>
            </w:r>
          </w:p>
        </w:tc>
        <w:tc>
          <w:tcPr>
            <w:tcW w:type="dxa" w:w="7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4.290</w:t>
            </w:r>
          </w:p>
        </w:tc>
        <w:tc>
          <w:tcPr>
            <w:tcW w:type="dxa" w:w="7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0.661</w:t>
            </w:r>
          </w:p>
        </w:tc>
        <w:tc>
          <w:tcPr>
            <w:tcW w:type="dxa" w:w="7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3.912</w:t>
            </w:r>
          </w:p>
        </w:tc>
        <w:tc>
          <w:tcPr>
            <w:tcW w:type="dxa" w:w="7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0.681</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57.27***</w:t>
            </w:r>
          </w:p>
        </w:tc>
        <w:tc>
          <w:tcPr>
            <w:tcW w:type="dxa" w:w="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0.154</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Perceived Fairness</w:t>
            </w:r>
          </w:p>
        </w:tc>
        <w:tc>
          <w:tcPr>
            <w:tcW w:type="dxa" w:w="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4.113</w:t>
            </w:r>
          </w:p>
        </w:tc>
        <w:tc>
          <w:tcPr>
            <w:tcW w:type="dxa" w:w="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0.914</w:t>
            </w:r>
          </w:p>
        </w:tc>
        <w:tc>
          <w:tcPr>
            <w:tcW w:type="dxa" w:w="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4.564</w:t>
            </w:r>
          </w:p>
        </w:tc>
        <w:tc>
          <w:tcPr>
            <w:tcW w:type="dxa" w:w="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0.919</w:t>
            </w:r>
          </w:p>
        </w:tc>
        <w:tc>
          <w:tcPr>
            <w:tcW w:type="dxa" w:w="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5.330</w:t>
            </w:r>
          </w:p>
        </w:tc>
        <w:tc>
          <w:tcPr>
            <w:tcW w:type="dxa" w:w="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0.818</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98.48***</w:t>
            </w:r>
          </w:p>
        </w:tc>
        <w:tc>
          <w:tcPr>
            <w:tcW w:type="dxa" w:w="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0.239</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Appeal Intent</w:t>
            </w:r>
          </w:p>
        </w:tc>
        <w:tc>
          <w:tcPr>
            <w:tcW w:type="dxa" w:w="7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2.502</w:t>
            </w:r>
          </w:p>
        </w:tc>
        <w:tc>
          <w:tcPr>
            <w:tcW w:type="dxa" w:w="7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0.991</w:t>
            </w:r>
          </w:p>
        </w:tc>
        <w:tc>
          <w:tcPr>
            <w:tcW w:type="dxa" w:w="7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3.054</w:t>
            </w:r>
          </w:p>
        </w:tc>
        <w:tc>
          <w:tcPr>
            <w:tcW w:type="dxa" w:w="7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0.980</w:t>
            </w:r>
          </w:p>
        </w:tc>
        <w:tc>
          <w:tcPr>
            <w:tcW w:type="dxa" w:w="7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3.786</w:t>
            </w:r>
          </w:p>
        </w:tc>
        <w:tc>
          <w:tcPr>
            <w:tcW w:type="dxa" w:w="7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0.994</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86.59***</w:t>
            </w:r>
          </w:p>
        </w:tc>
        <w:tc>
          <w:tcPr>
            <w:tcW w:type="dxa" w:w="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0.216</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Re-trust Intent</w:t>
            </w:r>
          </w:p>
        </w:tc>
        <w:tc>
          <w:tcPr>
            <w:tcW w:type="dxa" w:w="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3.279</w:t>
            </w:r>
          </w:p>
        </w:tc>
        <w:tc>
          <w:tcPr>
            <w:tcW w:type="dxa" w:w="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0.918</w:t>
            </w:r>
          </w:p>
        </w:tc>
        <w:tc>
          <w:tcPr>
            <w:tcW w:type="dxa" w:w="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3.462</w:t>
            </w:r>
          </w:p>
        </w:tc>
        <w:tc>
          <w:tcPr>
            <w:tcW w:type="dxa" w:w="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0.985</w:t>
            </w:r>
          </w:p>
        </w:tc>
        <w:tc>
          <w:tcPr>
            <w:tcW w:type="dxa" w:w="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3.078</w:t>
            </w:r>
          </w:p>
        </w:tc>
        <w:tc>
          <w:tcPr>
            <w:tcW w:type="dxa" w:w="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0.918</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8.90***</w:t>
            </w:r>
          </w:p>
        </w:tc>
        <w:tc>
          <w:tcPr>
            <w:tcW w:type="dxa" w:w="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0.028</w:t>
            </w:r>
          </w:p>
        </w:tc>
      </w:tr>
      <w:tr>
        <w:tc>
          <w:tcPr>
            <w:tcW w:type="dxa" w:w="25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Mental Model Estimate (%)</w:t>
            </w:r>
          </w:p>
        </w:tc>
        <w:tc>
          <w:tcPr>
            <w:tcW w:type="dxa" w:w="7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79.99</w:t>
            </w:r>
          </w:p>
        </w:tc>
        <w:tc>
          <w:tcPr>
            <w:tcW w:type="dxa" w:w="7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16.54</w:t>
            </w:r>
          </w:p>
        </w:tc>
        <w:tc>
          <w:tcPr>
            <w:tcW w:type="dxa" w:w="7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81.89</w:t>
            </w:r>
          </w:p>
        </w:tc>
        <w:tc>
          <w:tcPr>
            <w:tcW w:type="dxa" w:w="7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15.10</w:t>
            </w:r>
          </w:p>
        </w:tc>
        <w:tc>
          <w:tcPr>
            <w:tcW w:type="dxa" w:w="7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81.85</w:t>
            </w:r>
          </w:p>
        </w:tc>
        <w:tc>
          <w:tcPr>
            <w:tcW w:type="dxa" w:w="7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15.53</w:t>
            </w:r>
          </w:p>
        </w:tc>
        <w:tc>
          <w:tcPr>
            <w:tcW w:type="dxa" w:w="7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0.98 ns</w:t>
            </w:r>
          </w:p>
        </w:tc>
        <w:tc>
          <w:tcPr>
            <w:tcW w:type="dxa" w:w="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0.003</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Response Time (ms)</w:t>
            </w:r>
          </w:p>
        </w:tc>
        <w:tc>
          <w:tcPr>
            <w:tcW w:type="dxa" w:w="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14,700</w:t>
            </w:r>
          </w:p>
        </w:tc>
        <w:tc>
          <w:tcPr>
            <w:tcW w:type="dxa" w:w="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1,560</w:t>
            </w:r>
          </w:p>
        </w:tc>
        <w:tc>
          <w:tcPr>
            <w:tcW w:type="dxa" w:w="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16,157</w:t>
            </w:r>
          </w:p>
        </w:tc>
        <w:tc>
          <w:tcPr>
            <w:tcW w:type="dxa" w:w="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1,671</w:t>
            </w:r>
          </w:p>
        </w:tc>
        <w:tc>
          <w:tcPr>
            <w:tcW w:type="dxa" w:w="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19,358</w:t>
            </w:r>
          </w:p>
        </w:tc>
        <w:tc>
          <w:tcPr>
            <w:tcW w:type="dxa" w:w="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1,659</w:t>
            </w:r>
          </w:p>
        </w:tc>
        <w:tc>
          <w:tcPr>
            <w:tcW w:type="dxa" w:w="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436.08***</w:t>
            </w:r>
          </w:p>
        </w:tc>
        <w:tc>
          <w:tcPr>
            <w:tcW w:type="dxa" w:w="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0.582</w:t>
            </w:r>
          </w:p>
        </w:tc>
      </w:tr>
      <w:tr>
        <w:tc>
          <w:tcPr>
            <w:tcW w:type="dxa" w:w="8220"/>
            <w:gridSpan w:val="9"/>
            <w:tcBorders>
              <w:top w:val="single" w:color="888888" w:sz="2"/>
              <w:left w:val="none" w:color="FFFFFF" w:sz="0"/>
              <w:bottom w:val="none" w:color="FFFFFF" w:sz="0"/>
              <w:right w:val="none" w:color="FFFFFF" w:sz="0"/>
            </w:tcBorders>
            <w:tcMar>
              <w:top w:type="dxa" w:w="80"/>
              <w:left w:type="dxa" w:w="0"/>
              <w:bottom w:type="dxa" w:w="80"/>
              <w:right w:type="dxa" w:w="0"/>
            </w:tcMar>
          </w:tcPr>
          <w:p>
            <w:r>
              <w:rPr>
                <w:rFonts w:ascii="Times New Roman" w:cs="Times New Roman" w:eastAsia="Times New Roman" w:hAnsi="Times New Roman"/>
                <w:i/>
                <w:iCs/>
                <w:sz w:val="18"/>
                <w:szCs w:val="18"/>
              </w:rPr>
              <w:t xml:space="preserve">Note. N=630 after excluding 48 via suspicion probe. A=no explanation (n=201); B=surface (n=223); C=counterfactual (n=206). *** p&lt;.001; ns=not significant. Calibration score=within-participant r(confidence, accuracy).</w:t>
            </w:r>
          </w:p>
        </w:tc>
      </w:tr>
    </w:tbl>
    <w:p>
      <w:pPr>
        <w:spacing w:after="120"/>
      </w:pPr>
      <w:r>
        <w:t xml:space="preserve"/>
      </w:r>
    </w:p>
    <w:p>
      <w:pPr>
        <w:spacing w:after="160" w:line="288"/>
        <w:jc w:val="both"/>
      </w:pPr>
      <w:r>
        <w:rPr>
          <w:rFonts w:ascii="Times New Roman" w:cs="Times New Roman" w:eastAsia="Times New Roman" w:hAnsi="Times New Roman"/>
          <w:sz w:val="24"/>
          <w:szCs w:val="24"/>
        </w:rPr>
        <w:t xml:space="preserve">AI follow rate decreased monotonically: A (M=0.655), B (M=0.591), C (M=0.502), F(2,627)=45.69, p&lt;.001, η²=0.127 — a medium effect. Condition C participants accepted AI recommendations on approximately half of trials, vs. nearly two-thirds in A. AI errors caught increased A→B→C (η²=0.107). Perceived fairness showed the largest attitudinal effect (η²=0.239): M=5.330 in C vs. M=4.113 in A. Appeal intent followed the same pattern (η²=0.216). Trust in Automation was inversely ordered — A highest (M=4.633), C lowest (M=3.912) — consistent with Condition C enabling appropriate downward trust adjustment. Response time showed the largest overall effect (η²=0.582), with Condition C taking 4,658 ms longer per decision than A, consistent with dual-process accounts of deliberate processing.</w:t>
      </w:r>
    </w:p>
    <w:p>
      <w:pPr>
        <w:spacing w:after="80"/>
      </w:pPr>
      <w:r>
        <w:t xml:space="preserve"/>
      </w:r>
    </w:p>
    <w:p>
      <w:pPr>
        <w:spacing w:after="160" w:line="288"/>
        <w:jc w:val="both"/>
      </w:pPr>
      <w:r>
        <w:rPr>
          <w:rFonts w:ascii="Times New Roman" w:cs="Times New Roman" w:eastAsia="Times New Roman" w:hAnsi="Times New Roman"/>
          <w:sz w:val="24"/>
          <w:szCs w:val="24"/>
        </w:rPr>
        <w:t xml:space="preserve">Two outcomes were not significant: calibration score (F=2.31, p=.10) and mental model estimate (F=0.98, p=.375). The null calibration score result is theoretically important (discussed in Section 5.3).</w:t>
      </w:r>
    </w:p>
    <w:p>
      <w:pPr>
        <w:pStyle w:val="Heading2"/>
        <w:spacing w:after="160" w:before="320"/>
      </w:pPr>
      <w:r>
        <w:rPr>
          <w:rFonts w:ascii="Times New Roman" w:cs="Times New Roman" w:eastAsia="Times New Roman" w:hAnsi="Times New Roman"/>
          <w:b/>
          <w:bCs/>
          <w:color w:val="1A1A1A"/>
          <w:sz w:val="24"/>
          <w:szCs w:val="24"/>
        </w:rPr>
        <w:t xml:space="preserve">4.2 Tukey–Kramer Post-Hoc Comparisons</w:t>
      </w:r>
    </w:p>
    <w:p>
      <w:pPr>
        <w:spacing w:after="160" w:line="288"/>
        <w:jc w:val="both"/>
      </w:pPr>
      <w:r>
        <w:rPr>
          <w:rFonts w:ascii="Times New Roman" w:cs="Times New Roman" w:eastAsia="Times New Roman" w:hAnsi="Times New Roman"/>
          <w:sz w:val="24"/>
          <w:szCs w:val="24"/>
        </w:rPr>
        <w:t xml:space="preserve">All pairwise comparisons for the four primary outcomes survived familywise correction. Effect sizes ranged from medium to large; A vs. C on perceived fairness yielded Hedges' g=1.35, exceeding standard large-effect benchmarks. Table 2 presents full results.</w:t>
      </w:r>
    </w:p>
    <w:p>
      <w:pPr>
        <w:spacing w:after="120"/>
      </w:pPr>
      <w:r>
        <w:t xml:space="preserve"/>
      </w:r>
    </w:p>
    <w:p>
      <w:pPr>
        <w:spacing w:after="80" w:before="100"/>
        <w:jc w:val="center"/>
      </w:pPr>
      <w:r>
        <w:rPr>
          <w:rFonts w:ascii="Times New Roman" w:cs="Times New Roman" w:eastAsia="Times New Roman" w:hAnsi="Times New Roman"/>
          <w:i/>
          <w:iCs/>
          <w:color w:val="444444"/>
          <w:sz w:val="20"/>
          <w:szCs w:val="20"/>
        </w:rPr>
        <w:t xml:space="preserve">Table 2. Tukey–Kramer Post-Hoc Comparisons for Primary Outcomes</w:t>
      </w: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300"/>
        <w:gridCol w:w="900"/>
        <w:gridCol w:w="900"/>
        <w:gridCol w:w="1820"/>
      </w:tblGrid>
      <w:tr>
        <w:trPr>
          <w:tblHeader/>
        </w:trPr>
        <w:tc>
          <w:tcPr>
            <w:tcW w:type="dxa" w:w="2100"/>
            <w:tcBorders>
              <w:top w:val="single" w:color="999999" w:sz="2"/>
              <w:left w:val="single" w:color="999999" w:sz="1"/>
              <w:bottom w:val="single" w:color="999999" w:sz="2"/>
              <w:right w:val="single" w:color="999999" w:sz="1"/>
            </w:tcBorders>
            <w:shd w:fill="1F4E79" w:val="clear"/>
            <w:tcMar>
              <w:top w:type="dxa" w:w="80"/>
              <w:left w:type="dxa" w:w="100"/>
              <w:bottom w:type="dxa" w:w="80"/>
              <w:right w:type="dxa" w:w="100"/>
            </w:tcMar>
          </w:tcPr>
          <w:p>
            <w:pPr>
              <w:jc w:val="left"/>
            </w:pPr>
            <w:r>
              <w:rPr>
                <w:rFonts w:ascii="Times New Roman" w:cs="Times New Roman" w:eastAsia="Times New Roman" w:hAnsi="Times New Roman"/>
                <w:b/>
                <w:bCs/>
                <w:color w:val="FFFFFF"/>
                <w:sz w:val="20"/>
                <w:szCs w:val="20"/>
              </w:rPr>
              <w:t xml:space="preserve">Outcome</w:t>
            </w:r>
          </w:p>
        </w:tc>
        <w:tc>
          <w:tcPr>
            <w:tcW w:type="dxa" w:w="1700"/>
            <w:tcBorders>
              <w:top w:val="single" w:color="999999" w:sz="2"/>
              <w:left w:val="single" w:color="999999" w:sz="1"/>
              <w:bottom w:val="single" w:color="999999" w:sz="2"/>
              <w:right w:val="single" w:color="999999" w:sz="1"/>
            </w:tcBorders>
            <w:shd w:fill="1F4E79" w:val="clear"/>
            <w:tcMar>
              <w:top w:type="dxa" w:w="80"/>
              <w:left w:type="dxa" w:w="100"/>
              <w:bottom w:type="dxa" w:w="80"/>
              <w:right w:type="dxa" w:w="100"/>
            </w:tcMar>
          </w:tcPr>
          <w:p>
            <w:pPr>
              <w:jc w:val="left"/>
            </w:pPr>
            <w:r>
              <w:rPr>
                <w:rFonts w:ascii="Times New Roman" w:cs="Times New Roman" w:eastAsia="Times New Roman" w:hAnsi="Times New Roman"/>
                <w:b/>
                <w:bCs/>
                <w:color w:val="FFFFFF"/>
                <w:sz w:val="20"/>
                <w:szCs w:val="20"/>
              </w:rPr>
              <w:t xml:space="preserve">Comparison</w:t>
            </w:r>
          </w:p>
        </w:tc>
        <w:tc>
          <w:tcPr>
            <w:tcW w:type="dxa" w:w="1300"/>
            <w:tcBorders>
              <w:top w:val="single" w:color="999999" w:sz="2"/>
              <w:left w:val="single" w:color="999999" w:sz="1"/>
              <w:bottom w:val="single" w:color="999999" w:sz="2"/>
              <w:right w:val="single" w:color="999999"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Mean Diff</w:t>
            </w:r>
          </w:p>
        </w:tc>
        <w:tc>
          <w:tcPr>
            <w:tcW w:type="dxa" w:w="900"/>
            <w:tcBorders>
              <w:top w:val="single" w:color="999999" w:sz="2"/>
              <w:left w:val="single" w:color="999999" w:sz="1"/>
              <w:bottom w:val="single" w:color="999999" w:sz="2"/>
              <w:right w:val="single" w:color="999999"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SE</w:t>
            </w:r>
          </w:p>
        </w:tc>
        <w:tc>
          <w:tcPr>
            <w:tcW w:type="dxa" w:w="900"/>
            <w:tcBorders>
              <w:top w:val="single" w:color="999999" w:sz="2"/>
              <w:left w:val="single" w:color="999999" w:sz="1"/>
              <w:bottom w:val="single" w:color="999999" w:sz="2"/>
              <w:right w:val="single" w:color="999999"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p</w:t>
            </w:r>
          </w:p>
        </w:tc>
        <w:tc>
          <w:tcPr>
            <w:tcW w:type="dxa" w:w="1820"/>
            <w:tcBorders>
              <w:top w:val="single" w:color="999999" w:sz="2"/>
              <w:left w:val="single" w:color="999999" w:sz="1"/>
              <w:bottom w:val="single" w:color="999999" w:sz="2"/>
              <w:right w:val="single" w:color="999999" w:sz="1"/>
            </w:tcBorders>
            <w:shd w:fill="1F4E79" w:val="clear"/>
            <w:tcMar>
              <w:top w:type="dxa" w:w="80"/>
              <w:left w:type="dxa" w:w="100"/>
              <w:bottom w:type="dxa" w:w="80"/>
              <w:right w:type="dxa" w:w="100"/>
            </w:tcMar>
          </w:tcPr>
          <w:p>
            <w:pPr>
              <w:jc w:val="left"/>
            </w:pPr>
            <w:r>
              <w:rPr>
                <w:rFonts w:ascii="Times New Roman" w:cs="Times New Roman" w:eastAsia="Times New Roman" w:hAnsi="Times New Roman"/>
                <w:b/>
                <w:bCs/>
                <w:color w:val="FFFFFF"/>
                <w:sz w:val="20"/>
                <w:szCs w:val="20"/>
              </w:rPr>
              <w:t xml:space="preserve">Effect Size</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AI Follow Rate</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 vs B</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0.064</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0.014</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&lt;.001</w:t>
            </w:r>
          </w:p>
        </w:tc>
        <w:tc>
          <w:tcPr>
            <w:tcW w:type="dxa" w:w="1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g=0.43 (medium)</w:t>
            </w:r>
          </w:p>
        </w:tc>
      </w:tr>
      <w:tr>
        <w:tc>
          <w:tcPr>
            <w:tcW w:type="dxa" w:w="21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AI Follow Rate</w:t>
            </w:r>
          </w:p>
        </w:tc>
        <w:tc>
          <w:tcPr>
            <w:tcW w:type="dxa" w:w="17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 vs C</w:t>
            </w:r>
          </w:p>
        </w:tc>
        <w:tc>
          <w:tcPr>
            <w:tcW w:type="dxa" w:w="13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0.153</w:t>
            </w:r>
          </w:p>
        </w:tc>
        <w:tc>
          <w:tcPr>
            <w:tcW w:type="dxa" w:w="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0.014</w:t>
            </w:r>
          </w:p>
        </w:tc>
        <w:tc>
          <w:tcPr>
            <w:tcW w:type="dxa" w:w="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&lt;.001</w:t>
            </w:r>
          </w:p>
        </w:tc>
        <w:tc>
          <w:tcPr>
            <w:tcW w:type="dxa" w:w="18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g=0.91 (large)</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AI Follow Rate</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B vs C</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0.088</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0.014</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&lt;.001</w:t>
            </w:r>
          </w:p>
        </w:tc>
        <w:tc>
          <w:tcPr>
            <w:tcW w:type="dxa" w:w="1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g=0.52 (medium)</w:t>
            </w:r>
          </w:p>
        </w:tc>
      </w:tr>
      <w:tr>
        <w:tc>
          <w:tcPr>
            <w:tcW w:type="dxa" w:w="21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AI Errors Caught</w:t>
            </w:r>
          </w:p>
        </w:tc>
        <w:tc>
          <w:tcPr>
            <w:tcW w:type="dxa" w:w="17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 vs B</w:t>
            </w:r>
          </w:p>
        </w:tc>
        <w:tc>
          <w:tcPr>
            <w:tcW w:type="dxa" w:w="13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−0.304</w:t>
            </w:r>
          </w:p>
        </w:tc>
        <w:tc>
          <w:tcPr>
            <w:tcW w:type="dxa" w:w="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0.075</w:t>
            </w:r>
          </w:p>
        </w:tc>
        <w:tc>
          <w:tcPr>
            <w:tcW w:type="dxa" w:w="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&lt;.001</w:t>
            </w:r>
          </w:p>
        </w:tc>
        <w:tc>
          <w:tcPr>
            <w:tcW w:type="dxa" w:w="18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g=0.38 (small–med)</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AI Errors Caught</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 vs C</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−0.698</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0.075</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&lt;.001</w:t>
            </w:r>
          </w:p>
        </w:tc>
        <w:tc>
          <w:tcPr>
            <w:tcW w:type="dxa" w:w="1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g=0.88 (large)</w:t>
            </w:r>
          </w:p>
        </w:tc>
      </w:tr>
      <w:tr>
        <w:tc>
          <w:tcPr>
            <w:tcW w:type="dxa" w:w="21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AI Errors Caught</w:t>
            </w:r>
          </w:p>
        </w:tc>
        <w:tc>
          <w:tcPr>
            <w:tcW w:type="dxa" w:w="17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B vs C</w:t>
            </w:r>
          </w:p>
        </w:tc>
        <w:tc>
          <w:tcPr>
            <w:tcW w:type="dxa" w:w="13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−0.394</w:t>
            </w:r>
          </w:p>
        </w:tc>
        <w:tc>
          <w:tcPr>
            <w:tcW w:type="dxa" w:w="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0.074</w:t>
            </w:r>
          </w:p>
        </w:tc>
        <w:tc>
          <w:tcPr>
            <w:tcW w:type="dxa" w:w="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&lt;.001</w:t>
            </w:r>
          </w:p>
        </w:tc>
        <w:tc>
          <w:tcPr>
            <w:tcW w:type="dxa" w:w="18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g=0.47 (medium)</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Perceived Fairness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 vs B</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−0.451</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0.085</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&lt;.001</w:t>
            </w:r>
          </w:p>
        </w:tc>
        <w:tc>
          <w:tcPr>
            <w:tcW w:type="dxa" w:w="1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g=0.49 (medium)</w:t>
            </w:r>
          </w:p>
        </w:tc>
      </w:tr>
      <w:tr>
        <w:tc>
          <w:tcPr>
            <w:tcW w:type="dxa" w:w="21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Perceived Fairness</w:t>
            </w:r>
          </w:p>
        </w:tc>
        <w:tc>
          <w:tcPr>
            <w:tcW w:type="dxa" w:w="17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 vs C</w:t>
            </w:r>
          </w:p>
        </w:tc>
        <w:tc>
          <w:tcPr>
            <w:tcW w:type="dxa" w:w="13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−1.217</w:t>
            </w:r>
          </w:p>
        </w:tc>
        <w:tc>
          <w:tcPr>
            <w:tcW w:type="dxa" w:w="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0.086</w:t>
            </w:r>
          </w:p>
        </w:tc>
        <w:tc>
          <w:tcPr>
            <w:tcW w:type="dxa" w:w="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&lt;.001</w:t>
            </w:r>
          </w:p>
        </w:tc>
        <w:tc>
          <w:tcPr>
            <w:tcW w:type="dxa" w:w="18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g=1.35 (large)</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Perceived Fairness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B vs C</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−0.766</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0.083</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&lt;.001</w:t>
            </w:r>
          </w:p>
        </w:tc>
        <w:tc>
          <w:tcPr>
            <w:tcW w:type="dxa" w:w="1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g=0.86 (large)</w:t>
            </w:r>
          </w:p>
        </w:tc>
      </w:tr>
      <w:tr>
        <w:tc>
          <w:tcPr>
            <w:tcW w:type="dxa" w:w="21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Appeal Intent</w:t>
            </w:r>
          </w:p>
        </w:tc>
        <w:tc>
          <w:tcPr>
            <w:tcW w:type="dxa" w:w="17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 vs B</w:t>
            </w:r>
          </w:p>
        </w:tc>
        <w:tc>
          <w:tcPr>
            <w:tcW w:type="dxa" w:w="13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−0.552</w:t>
            </w:r>
          </w:p>
        </w:tc>
        <w:tc>
          <w:tcPr>
            <w:tcW w:type="dxa" w:w="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0.087</w:t>
            </w:r>
          </w:p>
        </w:tc>
        <w:tc>
          <w:tcPr>
            <w:tcW w:type="dxa" w:w="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&lt;.001</w:t>
            </w:r>
          </w:p>
        </w:tc>
        <w:tc>
          <w:tcPr>
            <w:tcW w:type="dxa" w:w="18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g=0.56 (medium)</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Appeal Intent</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 vs C</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−1.284</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0.087</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&lt;.001</w:t>
            </w:r>
          </w:p>
        </w:tc>
        <w:tc>
          <w:tcPr>
            <w:tcW w:type="dxa" w:w="1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g=1.29 (large)</w:t>
            </w:r>
          </w:p>
        </w:tc>
      </w:tr>
      <w:tr>
        <w:tc>
          <w:tcPr>
            <w:tcW w:type="dxa" w:w="21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Appeal Intent</w:t>
            </w:r>
          </w:p>
        </w:tc>
        <w:tc>
          <w:tcPr>
            <w:tcW w:type="dxa" w:w="17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B vs C</w:t>
            </w:r>
          </w:p>
        </w:tc>
        <w:tc>
          <w:tcPr>
            <w:tcW w:type="dxa" w:w="13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−0.732</w:t>
            </w:r>
          </w:p>
        </w:tc>
        <w:tc>
          <w:tcPr>
            <w:tcW w:type="dxa" w:w="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0.085</w:t>
            </w:r>
          </w:p>
        </w:tc>
        <w:tc>
          <w:tcPr>
            <w:tcW w:type="dxa" w:w="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&lt;.001</w:t>
            </w:r>
          </w:p>
        </w:tc>
        <w:tc>
          <w:tcPr>
            <w:tcW w:type="dxa" w:w="18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g=0.74 (medium)</w:t>
            </w:r>
          </w:p>
        </w:tc>
      </w:tr>
      <w:tr>
        <w:tc>
          <w:tcPr>
            <w:tcW w:type="dxa" w:w="8720"/>
            <w:gridSpan w:val="6"/>
            <w:tcBorders>
              <w:top w:val="single" w:color="888888" w:sz="2"/>
              <w:left w:val="none" w:color="FFFFFF" w:sz="0"/>
              <w:bottom w:val="none" w:color="FFFFFF" w:sz="0"/>
              <w:right w:val="none" w:color="FFFFFF" w:sz="0"/>
            </w:tcBorders>
            <w:tcMar>
              <w:top w:type="dxa" w:w="80"/>
              <w:left w:type="dxa" w:w="0"/>
              <w:bottom w:type="dxa" w:w="80"/>
              <w:right w:type="dxa" w:w="0"/>
            </w:tcMar>
          </w:tcPr>
          <w:p>
            <w:r>
              <w:rPr>
                <w:rFonts w:ascii="Times New Roman" w:cs="Times New Roman" w:eastAsia="Times New Roman" w:hAnsi="Times New Roman"/>
                <w:i/>
                <w:iCs/>
                <w:sz w:val="18"/>
                <w:szCs w:val="18"/>
              </w:rPr>
              <w:t xml:space="preserve">Note. All comparisons survive Tukey–Kramer familywise correction. Mean differences = Condition A minus B/C. Hedges' g: 0.2=small, 0.5=medium, 0.8=large.</w:t>
            </w:r>
          </w:p>
        </w:tc>
      </w:tr>
    </w:tbl>
    <w:p>
      <w:pPr>
        <w:spacing w:after="120"/>
      </w:pPr>
      <w:r>
        <w:t xml:space="preserve"/>
      </w:r>
    </w:p>
    <w:p>
      <w:pPr>
        <w:pStyle w:val="Heading2"/>
        <w:spacing w:after="160" w:before="320"/>
      </w:pPr>
      <w:r>
        <w:rPr>
          <w:rFonts w:ascii="Times New Roman" w:cs="Times New Roman" w:eastAsia="Times New Roman" w:hAnsi="Times New Roman"/>
          <w:b/>
          <w:bCs/>
          <w:color w:val="1A1A1A"/>
          <w:sz w:val="24"/>
          <w:szCs w:val="24"/>
        </w:rPr>
        <w:t xml:space="preserve">4.3 Bradley–Terry Pairwise Dominance Model</w:t>
      </w:r>
    </w:p>
    <w:p>
      <w:pPr>
        <w:spacing w:after="160" w:line="288"/>
        <w:jc w:val="both"/>
      </w:pPr>
      <w:r>
        <w:rPr>
          <w:rFonts w:ascii="Times New Roman" w:cs="Times New Roman" w:eastAsia="Times New Roman" w:hAnsi="Times New Roman"/>
          <w:sz w:val="24"/>
          <w:szCs w:val="24"/>
        </w:rPr>
        <w:t xml:space="preserve">Bradley–Terry latent strength parameters were estimated across all seven outcomes to corroborate ANOVA findings non-parametrically. Table 3 presents results.</w:t>
      </w:r>
    </w:p>
    <w:p>
      <w:pPr>
        <w:spacing w:after="120"/>
      </w:pPr>
      <w:r>
        <w:t xml:space="preserve"/>
      </w:r>
    </w:p>
    <w:p>
      <w:pPr>
        <w:spacing w:after="80" w:before="100"/>
        <w:jc w:val="center"/>
      </w:pPr>
      <w:r>
        <w:rPr>
          <w:rFonts w:ascii="Times New Roman" w:cs="Times New Roman" w:eastAsia="Times New Roman" w:hAnsi="Times New Roman"/>
          <w:i/>
          <w:iCs/>
          <w:color w:val="444444"/>
          <w:sz w:val="20"/>
          <w:szCs w:val="20"/>
        </w:rPr>
        <w:t xml:space="preserve">Table 3. Bradley–Terry Latent Strength Parameters and Win Probabilities</w:t>
      </w: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2300"/>
        <w:gridCol w:w="780"/>
        <w:gridCol w:w="780"/>
        <w:gridCol w:w="780"/>
        <w:gridCol w:w="820"/>
        <w:gridCol w:w="820"/>
        <w:gridCol w:w="1440"/>
      </w:tblGrid>
      <w:tr>
        <w:trPr>
          <w:tblHeader/>
        </w:trPr>
        <w:tc>
          <w:tcPr>
            <w:tcW w:type="dxa" w:w="2300"/>
            <w:tcBorders>
              <w:top w:val="single" w:color="999999" w:sz="2"/>
              <w:left w:val="single" w:color="999999" w:sz="1"/>
              <w:bottom w:val="single" w:color="999999" w:sz="2"/>
              <w:right w:val="single" w:color="999999" w:sz="1"/>
            </w:tcBorders>
            <w:shd w:fill="1F4E79" w:val="clear"/>
            <w:tcMar>
              <w:top w:type="dxa" w:w="80"/>
              <w:left w:type="dxa" w:w="100"/>
              <w:bottom w:type="dxa" w:w="80"/>
              <w:right w:type="dxa" w:w="100"/>
            </w:tcMar>
          </w:tcPr>
          <w:p>
            <w:pPr>
              <w:jc w:val="left"/>
            </w:pPr>
            <w:r>
              <w:rPr>
                <w:rFonts w:ascii="Times New Roman" w:cs="Times New Roman" w:eastAsia="Times New Roman" w:hAnsi="Times New Roman"/>
                <w:b/>
                <w:bCs/>
                <w:color w:val="FFFFFF"/>
                <w:sz w:val="20"/>
                <w:szCs w:val="20"/>
              </w:rPr>
              <w:t xml:space="preserve">Outcome</w:t>
            </w:r>
          </w:p>
        </w:tc>
        <w:tc>
          <w:tcPr>
            <w:tcW w:type="dxa" w:w="780"/>
            <w:tcBorders>
              <w:top w:val="single" w:color="999999" w:sz="2"/>
              <w:left w:val="single" w:color="999999" w:sz="1"/>
              <w:bottom w:val="single" w:color="999999" w:sz="2"/>
              <w:right w:val="single" w:color="999999"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Str A</w:t>
            </w:r>
          </w:p>
        </w:tc>
        <w:tc>
          <w:tcPr>
            <w:tcW w:type="dxa" w:w="780"/>
            <w:tcBorders>
              <w:top w:val="single" w:color="999999" w:sz="2"/>
              <w:left w:val="single" w:color="999999" w:sz="1"/>
              <w:bottom w:val="single" w:color="999999" w:sz="2"/>
              <w:right w:val="single" w:color="999999"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Str B</w:t>
            </w:r>
          </w:p>
        </w:tc>
        <w:tc>
          <w:tcPr>
            <w:tcW w:type="dxa" w:w="780"/>
            <w:tcBorders>
              <w:top w:val="single" w:color="999999" w:sz="2"/>
              <w:left w:val="single" w:color="999999" w:sz="1"/>
              <w:bottom w:val="single" w:color="999999" w:sz="2"/>
              <w:right w:val="single" w:color="999999"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Str C</w:t>
            </w:r>
          </w:p>
        </w:tc>
        <w:tc>
          <w:tcPr>
            <w:tcW w:type="dxa" w:w="820"/>
            <w:tcBorders>
              <w:top w:val="single" w:color="999999" w:sz="2"/>
              <w:left w:val="single" w:color="999999" w:sz="1"/>
              <w:bottom w:val="single" w:color="999999" w:sz="2"/>
              <w:right w:val="single" w:color="999999"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P(C&gt;A)</w:t>
            </w:r>
          </w:p>
        </w:tc>
        <w:tc>
          <w:tcPr>
            <w:tcW w:type="dxa" w:w="820"/>
            <w:tcBorders>
              <w:top w:val="single" w:color="999999" w:sz="2"/>
              <w:left w:val="single" w:color="999999" w:sz="1"/>
              <w:bottom w:val="single" w:color="999999" w:sz="2"/>
              <w:right w:val="single" w:color="999999"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P(C&gt;B)</w:t>
            </w:r>
          </w:p>
        </w:tc>
        <w:tc>
          <w:tcPr>
            <w:tcW w:type="dxa" w:w="1440"/>
            <w:tcBorders>
              <w:top w:val="single" w:color="999999" w:sz="2"/>
              <w:left w:val="single" w:color="999999" w:sz="1"/>
              <w:bottom w:val="single" w:color="999999" w:sz="2"/>
              <w:right w:val="single" w:color="999999"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BT Ranking</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AI Follow Rate</w:t>
            </w:r>
          </w:p>
        </w:tc>
        <w:tc>
          <w:tcPr>
            <w:tcW w:type="dxa" w:w="7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0.537</w:t>
            </w:r>
          </w:p>
        </w:tc>
        <w:tc>
          <w:tcPr>
            <w:tcW w:type="dxa" w:w="7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0.974</w:t>
            </w:r>
          </w:p>
        </w:tc>
        <w:tc>
          <w:tcPr>
            <w:tcW w:type="dxa" w:w="7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1.914</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0.781</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0.663</w:t>
            </w:r>
          </w:p>
        </w:tc>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C &gt; B &gt; A</w:t>
            </w:r>
          </w:p>
        </w:tc>
      </w:tr>
      <w:tr>
        <w:tc>
          <w:tcPr>
            <w:tcW w:type="dxa" w:w="23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Calibration Score</w:t>
            </w:r>
          </w:p>
        </w:tc>
        <w:tc>
          <w:tcPr>
            <w:tcW w:type="dxa" w:w="7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1.145</w:t>
            </w:r>
          </w:p>
        </w:tc>
        <w:tc>
          <w:tcPr>
            <w:tcW w:type="dxa" w:w="7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0.984</w:t>
            </w:r>
          </w:p>
        </w:tc>
        <w:tc>
          <w:tcPr>
            <w:tcW w:type="dxa" w:w="7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0.888</w:t>
            </w:r>
          </w:p>
        </w:tc>
        <w:tc>
          <w:tcPr>
            <w:tcW w:type="dxa" w:w="8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0.437</w:t>
            </w:r>
          </w:p>
        </w:tc>
        <w:tc>
          <w:tcPr>
            <w:tcW w:type="dxa" w:w="8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0.474</w:t>
            </w:r>
          </w:p>
        </w:tc>
        <w:tc>
          <w:tcPr>
            <w:tcW w:type="dxa" w:w="14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A &gt; B &gt; C  ⚠</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AI Errors Caught</w:t>
            </w:r>
          </w:p>
        </w:tc>
        <w:tc>
          <w:tcPr>
            <w:tcW w:type="dxa" w:w="7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0.519</w:t>
            </w:r>
          </w:p>
        </w:tc>
        <w:tc>
          <w:tcPr>
            <w:tcW w:type="dxa" w:w="7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0.950</w:t>
            </w:r>
          </w:p>
        </w:tc>
        <w:tc>
          <w:tcPr>
            <w:tcW w:type="dxa" w:w="7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2.030</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0.797</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0.681</w:t>
            </w:r>
          </w:p>
        </w:tc>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C &gt; B &gt; A</w:t>
            </w:r>
          </w:p>
        </w:tc>
      </w:tr>
      <w:tr>
        <w:tc>
          <w:tcPr>
            <w:tcW w:type="dxa" w:w="23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Appeal Intent</w:t>
            </w:r>
          </w:p>
        </w:tc>
        <w:tc>
          <w:tcPr>
            <w:tcW w:type="dxa" w:w="7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0.387</w:t>
            </w:r>
          </w:p>
        </w:tc>
        <w:tc>
          <w:tcPr>
            <w:tcW w:type="dxa" w:w="7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0.923</w:t>
            </w:r>
          </w:p>
        </w:tc>
        <w:tc>
          <w:tcPr>
            <w:tcW w:type="dxa" w:w="7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2.798</w:t>
            </w:r>
          </w:p>
        </w:tc>
        <w:tc>
          <w:tcPr>
            <w:tcW w:type="dxa" w:w="8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0.878</w:t>
            </w:r>
          </w:p>
        </w:tc>
        <w:tc>
          <w:tcPr>
            <w:tcW w:type="dxa" w:w="8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0.752</w:t>
            </w:r>
          </w:p>
        </w:tc>
        <w:tc>
          <w:tcPr>
            <w:tcW w:type="dxa" w:w="14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C &gt; B &gt; A</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Perceived Fairness</w:t>
            </w:r>
          </w:p>
        </w:tc>
        <w:tc>
          <w:tcPr>
            <w:tcW w:type="dxa" w:w="7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0.484</w:t>
            </w:r>
          </w:p>
        </w:tc>
        <w:tc>
          <w:tcPr>
            <w:tcW w:type="dxa" w:w="7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0.860</w:t>
            </w:r>
          </w:p>
        </w:tc>
        <w:tc>
          <w:tcPr>
            <w:tcW w:type="dxa" w:w="7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2.404</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0.833</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0.736</w:t>
            </w:r>
          </w:p>
        </w:tc>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C &gt; B &gt; A</w:t>
            </w:r>
          </w:p>
        </w:tc>
      </w:tr>
      <w:tr>
        <w:tc>
          <w:tcPr>
            <w:tcW w:type="dxa" w:w="23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Trust/Automation</w:t>
            </w:r>
          </w:p>
        </w:tc>
        <w:tc>
          <w:tcPr>
            <w:tcW w:type="dxa" w:w="7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0.558</w:t>
            </w:r>
          </w:p>
        </w:tc>
        <w:tc>
          <w:tcPr>
            <w:tcW w:type="dxa" w:w="7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0.970</w:t>
            </w:r>
          </w:p>
        </w:tc>
        <w:tc>
          <w:tcPr>
            <w:tcW w:type="dxa" w:w="7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1.847</w:t>
            </w:r>
          </w:p>
        </w:tc>
        <w:tc>
          <w:tcPr>
            <w:tcW w:type="dxa" w:w="8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0.768</w:t>
            </w:r>
          </w:p>
        </w:tc>
        <w:tc>
          <w:tcPr>
            <w:tcW w:type="dxa" w:w="8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0.656</w:t>
            </w:r>
          </w:p>
        </w:tc>
        <w:tc>
          <w:tcPr>
            <w:tcW w:type="dxa" w:w="14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C &gt; B &gt; A</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Mental Model</w:t>
            </w:r>
          </w:p>
        </w:tc>
        <w:tc>
          <w:tcPr>
            <w:tcW w:type="dxa" w:w="7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0.918</w:t>
            </w:r>
          </w:p>
        </w:tc>
        <w:tc>
          <w:tcPr>
            <w:tcW w:type="dxa" w:w="7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1.041</w:t>
            </w:r>
          </w:p>
        </w:tc>
        <w:tc>
          <w:tcPr>
            <w:tcW w:type="dxa" w:w="7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1.046</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0.532</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0.501</w:t>
            </w:r>
          </w:p>
        </w:tc>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C &gt; B &gt; A</w:t>
            </w:r>
          </w:p>
        </w:tc>
      </w:tr>
      <w:tr>
        <w:tc>
          <w:tcPr>
            <w:tcW w:type="dxa" w:w="23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AGGREGATE</w:t>
            </w:r>
          </w:p>
        </w:tc>
        <w:tc>
          <w:tcPr>
            <w:tcW w:type="dxa" w:w="7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0.650</w:t>
            </w:r>
          </w:p>
        </w:tc>
        <w:tc>
          <w:tcPr>
            <w:tcW w:type="dxa" w:w="7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0.957</w:t>
            </w:r>
          </w:p>
        </w:tc>
        <w:tc>
          <w:tcPr>
            <w:tcW w:type="dxa" w:w="7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1.847</w:t>
            </w:r>
          </w:p>
        </w:tc>
        <w:tc>
          <w:tcPr>
            <w:tcW w:type="dxa" w:w="8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0.740</w:t>
            </w:r>
          </w:p>
        </w:tc>
        <w:tc>
          <w:tcPr>
            <w:tcW w:type="dxa" w:w="8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0.659</w:t>
            </w:r>
          </w:p>
        </w:tc>
        <w:tc>
          <w:tcPr>
            <w:tcW w:type="dxa" w:w="14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C &gt; B &gt; A</w:t>
            </w:r>
          </w:p>
        </w:tc>
      </w:tr>
      <w:tr>
        <w:tc>
          <w:tcPr>
            <w:tcW w:type="dxa" w:w="7720"/>
            <w:gridSpan w:val="7"/>
            <w:tcBorders>
              <w:top w:val="single" w:color="888888" w:sz="2"/>
              <w:left w:val="none" w:color="FFFFFF" w:sz="0"/>
              <w:bottom w:val="none" w:color="FFFFFF" w:sz="0"/>
              <w:right w:val="none" w:color="FFFFFF" w:sz="0"/>
            </w:tcBorders>
            <w:tcMar>
              <w:top w:type="dxa" w:w="80"/>
              <w:left w:type="dxa" w:w="0"/>
              <w:bottom w:type="dxa" w:w="80"/>
              <w:right w:type="dxa" w:w="0"/>
            </w:tcMar>
          </w:tcPr>
          <w:p>
            <w:r>
              <w:rPr>
                <w:rFonts w:ascii="Times New Roman" w:cs="Times New Roman" w:eastAsia="Times New Roman" w:hAnsi="Times New Roman"/>
                <w:i/>
                <w:iCs/>
                <w:sz w:val="18"/>
                <w:szCs w:val="18"/>
              </w:rPr>
              <w:t xml:space="preserve">Note. Str=Bradley–Terry latent strength parameter (MLE). Higher=greater calibration dominance. P(C&gt;A)=probability Condition C beats A in pairwise comparison. Aggregate=mean across 7 outcomes. ⚠=only outcome where C does not rank first.</w:t>
            </w:r>
          </w:p>
        </w:tc>
      </w:tr>
    </w:tbl>
    <w:p>
      <w:pPr>
        <w:spacing w:after="120"/>
      </w:pPr>
      <w:r>
        <w:t xml:space="preserve"/>
      </w:r>
    </w:p>
    <w:p>
      <w:pPr>
        <w:spacing w:after="160" w:line="288"/>
        <w:jc w:val="both"/>
      </w:pPr>
      <w:r>
        <w:rPr>
          <w:rFonts w:ascii="Times New Roman" w:cs="Times New Roman" w:eastAsia="Times New Roman" w:hAnsi="Times New Roman"/>
          <w:sz w:val="24"/>
          <w:szCs w:val="24"/>
        </w:rPr>
        <w:t xml:space="preserve">Condition C achieved the highest BT strength on six of seven outcomes. The exception was calibration score — consistent with the ANOVA null result. Aggregate P(C&gt;A)=0.740; P(C&gt;B)=0.659; P(B&gt;A)=0.596. Convergence between ANOVA (testing mean differences) and Bradley–Terry (modelling pairwise dominance probability) provides substantially stronger evidence than either method alone.</w:t>
      </w:r>
    </w:p>
    <w:p>
      <w:pPr>
        <w:pStyle w:val="Heading2"/>
        <w:spacing w:after="160" w:before="320"/>
      </w:pPr>
      <w:r>
        <w:rPr>
          <w:rFonts w:ascii="Times New Roman" w:cs="Times New Roman" w:eastAsia="Times New Roman" w:hAnsi="Times New Roman"/>
          <w:b/>
          <w:bCs/>
          <w:color w:val="1A1A1A"/>
          <w:sz w:val="24"/>
          <w:szCs w:val="24"/>
        </w:rPr>
        <w:t xml:space="preserve">4.4 Logistic Regression and Individual Differences</w:t>
      </w:r>
    </w:p>
    <w:p>
      <w:pPr>
        <w:spacing w:after="160" w:line="288"/>
        <w:jc w:val="both"/>
      </w:pPr>
      <w:r>
        <w:rPr>
          <w:rFonts w:ascii="Times New Roman" w:cs="Times New Roman" w:eastAsia="Times New Roman" w:hAnsi="Times New Roman"/>
          <w:sz w:val="24"/>
          <w:szCs w:val="24"/>
        </w:rPr>
        <w:t xml:space="preserve">Table 4 presents the logistic regression predicting high AI follow rate. Condition effects remained substantial after controlling for individual differences.</w:t>
      </w:r>
    </w:p>
    <w:p>
      <w:pPr>
        <w:spacing w:after="120"/>
      </w:pPr>
      <w:r>
        <w:t xml:space="preserve"/>
      </w:r>
    </w:p>
    <w:p>
      <w:pPr>
        <w:spacing w:after="80" w:before="100"/>
        <w:jc w:val="center"/>
      </w:pPr>
      <w:r>
        <w:rPr>
          <w:rFonts w:ascii="Times New Roman" w:cs="Times New Roman" w:eastAsia="Times New Roman" w:hAnsi="Times New Roman"/>
          <w:i/>
          <w:iCs/>
          <w:color w:val="444444"/>
          <w:sz w:val="20"/>
          <w:szCs w:val="20"/>
        </w:rPr>
        <w:t xml:space="preserve">Table 4. Logistic Regression — Predictors of High AI Follow Rate (N=630)</w:t>
      </w: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900"/>
        <w:gridCol w:w="900"/>
        <w:gridCol w:w="1200"/>
        <w:gridCol w:w="1920"/>
      </w:tblGrid>
      <w:tr>
        <w:trPr>
          <w:tblHeader/>
        </w:trPr>
        <w:tc>
          <w:tcPr>
            <w:tcW w:type="dxa" w:w="2900"/>
            <w:tcBorders>
              <w:top w:val="single" w:color="999999" w:sz="2"/>
              <w:left w:val="single" w:color="999999" w:sz="1"/>
              <w:bottom w:val="single" w:color="999999" w:sz="2"/>
              <w:right w:val="single" w:color="999999" w:sz="1"/>
            </w:tcBorders>
            <w:shd w:fill="1F4E79" w:val="clear"/>
            <w:tcMar>
              <w:top w:type="dxa" w:w="80"/>
              <w:left w:type="dxa" w:w="100"/>
              <w:bottom w:type="dxa" w:w="80"/>
              <w:right w:type="dxa" w:w="100"/>
            </w:tcMar>
          </w:tcPr>
          <w:p>
            <w:pPr>
              <w:jc w:val="left"/>
            </w:pPr>
            <w:r>
              <w:rPr>
                <w:rFonts w:ascii="Times New Roman" w:cs="Times New Roman" w:eastAsia="Times New Roman" w:hAnsi="Times New Roman"/>
                <w:b/>
                <w:bCs/>
                <w:color w:val="FFFFFF"/>
                <w:sz w:val="20"/>
                <w:szCs w:val="20"/>
              </w:rPr>
              <w:t xml:space="preserve">Variable</w:t>
            </w:r>
          </w:p>
        </w:tc>
        <w:tc>
          <w:tcPr>
            <w:tcW w:type="dxa" w:w="900"/>
            <w:tcBorders>
              <w:top w:val="single" w:color="999999" w:sz="2"/>
              <w:left w:val="single" w:color="999999" w:sz="1"/>
              <w:bottom w:val="single" w:color="999999" w:sz="2"/>
              <w:right w:val="single" w:color="999999"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OR</w:t>
            </w:r>
          </w:p>
        </w:tc>
        <w:tc>
          <w:tcPr>
            <w:tcW w:type="dxa" w:w="900"/>
            <w:tcBorders>
              <w:top w:val="single" w:color="999999" w:sz="2"/>
              <w:left w:val="single" w:color="999999" w:sz="1"/>
              <w:bottom w:val="single" w:color="999999" w:sz="2"/>
              <w:right w:val="single" w:color="999999"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CI Lo</w:t>
            </w:r>
          </w:p>
        </w:tc>
        <w:tc>
          <w:tcPr>
            <w:tcW w:type="dxa" w:w="900"/>
            <w:tcBorders>
              <w:top w:val="single" w:color="999999" w:sz="2"/>
              <w:left w:val="single" w:color="999999" w:sz="1"/>
              <w:bottom w:val="single" w:color="999999" w:sz="2"/>
              <w:right w:val="single" w:color="999999"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CI Hi</w:t>
            </w:r>
          </w:p>
        </w:tc>
        <w:tc>
          <w:tcPr>
            <w:tcW w:type="dxa" w:w="1200"/>
            <w:tcBorders>
              <w:top w:val="single" w:color="999999" w:sz="2"/>
              <w:left w:val="single" w:color="999999" w:sz="1"/>
              <w:bottom w:val="single" w:color="999999" w:sz="2"/>
              <w:right w:val="single" w:color="999999"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p</w:t>
            </w:r>
          </w:p>
        </w:tc>
        <w:tc>
          <w:tcPr>
            <w:tcW w:type="dxa" w:w="1920"/>
            <w:tcBorders>
              <w:top w:val="single" w:color="999999" w:sz="2"/>
              <w:left w:val="single" w:color="999999" w:sz="1"/>
              <w:bottom w:val="single" w:color="999999" w:sz="2"/>
              <w:right w:val="single" w:color="999999" w:sz="1"/>
            </w:tcBorders>
            <w:shd w:fill="1F4E79" w:val="clear"/>
            <w:tcMar>
              <w:top w:type="dxa" w:w="80"/>
              <w:left w:type="dxa" w:w="100"/>
              <w:bottom w:type="dxa" w:w="80"/>
              <w:right w:type="dxa" w:w="100"/>
            </w:tcMar>
          </w:tcPr>
          <w:p>
            <w:pPr>
              <w:jc w:val="left"/>
            </w:pPr>
            <w:r>
              <w:rPr>
                <w:rFonts w:ascii="Times New Roman" w:cs="Times New Roman" w:eastAsia="Times New Roman" w:hAnsi="Times New Roman"/>
                <w:b/>
                <w:bCs/>
                <w:color w:val="FFFFFF"/>
                <w:sz w:val="20"/>
                <w:szCs w:val="20"/>
              </w:rPr>
              <w:t xml:space="preserve">Interpretation</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Condition B (vs A — reference)</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0.439</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0.293</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0.657</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&lt;.001</w:t>
            </w:r>
          </w:p>
        </w:tc>
        <w:tc>
          <w:tcPr>
            <w:tcW w:type="dxa" w:w="19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 56% lower odds</w:t>
            </w:r>
          </w:p>
        </w:tc>
      </w:tr>
      <w:tr>
        <w:tc>
          <w:tcPr>
            <w:tcW w:type="dxa" w:w="2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Condition C (vs A — reference)</w:t>
            </w:r>
          </w:p>
        </w:tc>
        <w:tc>
          <w:tcPr>
            <w:tcW w:type="dxa" w:w="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0.205</w:t>
            </w:r>
          </w:p>
        </w:tc>
        <w:tc>
          <w:tcPr>
            <w:tcW w:type="dxa" w:w="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0.131</w:t>
            </w:r>
          </w:p>
        </w:tc>
        <w:tc>
          <w:tcPr>
            <w:tcW w:type="dxa" w:w="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0.322</w:t>
            </w:r>
          </w:p>
        </w:tc>
        <w:tc>
          <w:tcPr>
            <w:tcW w:type="dxa" w:w="1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&lt;.001</w:t>
            </w:r>
          </w:p>
        </w:tc>
        <w:tc>
          <w:tcPr>
            <w:tcW w:type="dxa" w:w="19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 80% lower odds</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Financial Literacy (0–3)</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0.808</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0.681</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0.959</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.015</w:t>
            </w:r>
          </w:p>
        </w:tc>
        <w:tc>
          <w:tcPr>
            <w:tcW w:type="dxa" w:w="19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   19% reduction/unit</w:t>
            </w:r>
          </w:p>
        </w:tc>
      </w:tr>
      <w:tr>
        <w:tc>
          <w:tcPr>
            <w:tcW w:type="dxa" w:w="2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Need for Cognition (1–5)</w:t>
            </w:r>
          </w:p>
        </w:tc>
        <w:tc>
          <w:tcPr>
            <w:tcW w:type="dxa" w:w="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0.622</w:t>
            </w:r>
          </w:p>
        </w:tc>
        <w:tc>
          <w:tcPr>
            <w:tcW w:type="dxa" w:w="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0.509</w:t>
            </w:r>
          </w:p>
        </w:tc>
        <w:tc>
          <w:tcPr>
            <w:tcW w:type="dxa" w:w="9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0.760</w:t>
            </w:r>
          </w:p>
        </w:tc>
        <w:tc>
          <w:tcPr>
            <w:tcW w:type="dxa" w:w="1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&lt;.001</w:t>
            </w:r>
          </w:p>
        </w:tc>
        <w:tc>
          <w:tcPr>
            <w:tcW w:type="dxa" w:w="19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 38% reduction/unit</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Tech. Disposition (1–5)</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1.175</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0.943</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1.463</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.151</w:t>
            </w:r>
          </w:p>
        </w:tc>
        <w:tc>
          <w:tcPr>
            <w:tcW w:type="dxa" w:w="19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ns</w:t>
            </w:r>
          </w:p>
        </w:tc>
      </w:tr>
      <w:tr>
        <w:tc>
          <w:tcPr>
            <w:tcW w:type="dxa" w:w="8720"/>
            <w:gridSpan w:val="6"/>
            <w:tcBorders>
              <w:top w:val="single" w:color="888888" w:sz="2"/>
              <w:left w:val="none" w:color="FFFFFF" w:sz="0"/>
              <w:bottom w:val="none" w:color="FFFFFF" w:sz="0"/>
              <w:right w:val="none" w:color="FFFFFF" w:sz="0"/>
            </w:tcBorders>
            <w:tcMar>
              <w:top w:type="dxa" w:w="80"/>
              <w:left w:type="dxa" w:w="0"/>
              <w:bottom w:type="dxa" w:w="80"/>
              <w:right w:type="dxa" w:w="0"/>
            </w:tcMar>
          </w:tcPr>
          <w:p>
            <w:r>
              <w:rPr>
                <w:rFonts w:ascii="Times New Roman" w:cs="Times New Roman" w:eastAsia="Times New Roman" w:hAnsi="Times New Roman"/>
                <w:i/>
                <w:iCs/>
                <w:sz w:val="18"/>
                <w:szCs w:val="18"/>
              </w:rPr>
              <w:t xml:space="preserve">Note. DV=high AI follower (above-median follow rate). OR=odds ratio; CI=95% confidence interval. Reference=Condition A. *** p&lt;.001; * p&lt;.05; ns=not significant. Intercept omitted.</w:t>
            </w:r>
          </w:p>
        </w:tc>
      </w:tr>
    </w:tbl>
    <w:p>
      <w:pPr>
        <w:spacing w:after="120"/>
      </w:pPr>
      <w:r>
        <w:t xml:space="preserve"/>
      </w:r>
    </w:p>
    <w:p>
      <w:pPr>
        <w:spacing w:after="160" w:line="288"/>
        <w:jc w:val="both"/>
      </w:pPr>
      <w:r>
        <w:rPr>
          <w:rFonts w:ascii="Times New Roman" w:cs="Times New Roman" w:eastAsia="Times New Roman" w:hAnsi="Times New Roman"/>
          <w:sz w:val="24"/>
          <w:szCs w:val="24"/>
        </w:rPr>
        <w:t xml:space="preserve">Condition C participants were 79.5% less likely to be high followers (OR=0.205, p&lt;.001); Condition B 56.1% less likely (OR=0.439, p&lt;.001). Financial literacy (OR=0.808/unit, p=.015) and need for cognition (OR=0.622/unit, p&lt;.001) were significant negative predictors; technology disposition was not (OR=1.175, p=.151). ANCOVA confirmed financial literacy (F=12.794, p&lt;.001) and NFC (F=22.914, p&lt;.001) as significant covariates; the condition effect remained significant after covariate adjustment (F=50.246, p&lt;.001).</w:t>
      </w:r>
    </w:p>
    <w:p>
      <w:pPr>
        <w:pStyle w:val="Heading2"/>
        <w:spacing w:after="160" w:before="320"/>
      </w:pPr>
      <w:r>
        <w:rPr>
          <w:rFonts w:ascii="Times New Roman" w:cs="Times New Roman" w:eastAsia="Times New Roman" w:hAnsi="Times New Roman"/>
          <w:b/>
          <w:bCs/>
          <w:color w:val="1A1A1A"/>
          <w:sz w:val="24"/>
          <w:szCs w:val="24"/>
        </w:rPr>
        <w:t xml:space="preserve">4.5 Trust Trajectory After AI Errors</w:t>
      </w:r>
    </w:p>
    <w:p>
      <w:pPr>
        <w:spacing w:after="160" w:line="288"/>
        <w:jc w:val="both"/>
      </w:pPr>
      <w:r>
        <w:rPr>
          <w:rFonts w:ascii="Times New Roman" w:cs="Times New Roman" w:eastAsia="Times New Roman" w:hAnsi="Times New Roman"/>
          <w:sz w:val="24"/>
          <w:szCs w:val="24"/>
        </w:rPr>
        <w:t xml:space="preserve">In Condition A, follow rates declined modestly after each error (mean drop: −0.048) and partially recovered — consistent with automation complacency. In Condition C, drops were substantially larger (mean: −0.142), but post-error follow rates in C remained lower than in A or B throughout the remainder of the task, suggesting counterfactual explanations sustained calibrated scepticism rather than permitting reversion to default compliance.</w:t>
      </w:r>
    </w:p>
    <w:p>
      <w:pPr>
        <w:pStyle w:val="Heading2"/>
        <w:spacing w:after="160" w:before="320"/>
      </w:pPr>
      <w:r>
        <w:rPr>
          <w:rFonts w:ascii="Times New Roman" w:cs="Times New Roman" w:eastAsia="Times New Roman" w:hAnsi="Times New Roman"/>
          <w:b/>
          <w:bCs/>
          <w:color w:val="1A1A1A"/>
          <w:sz w:val="24"/>
          <w:szCs w:val="24"/>
        </w:rPr>
        <w:t xml:space="preserve">4.6 Participant Reviews</w:t>
      </w:r>
    </w:p>
    <w:p>
      <w:pPr>
        <w:spacing w:after="160" w:line="288"/>
        <w:jc w:val="both"/>
      </w:pPr>
      <w:r>
        <w:rPr>
          <w:rFonts w:ascii="Times New Roman" w:cs="Times New Roman" w:eastAsia="Times New Roman" w:hAnsi="Times New Roman"/>
          <w:sz w:val="24"/>
          <w:szCs w:val="24"/>
        </w:rPr>
        <w:t xml:space="preserve">120 participants from the study were sampled proportionally across conditions for a post-study review. Table 5 summarises rating distributions and dominant quote patterns.</w:t>
      </w:r>
    </w:p>
    <w:p>
      <w:pPr>
        <w:spacing w:after="120"/>
      </w:pPr>
      <w:r>
        <w:t xml:space="preserve"/>
      </w:r>
    </w:p>
    <w:p>
      <w:pPr>
        <w:spacing w:after="80" w:before="100"/>
        <w:jc w:val="center"/>
      </w:pPr>
      <w:r>
        <w:rPr>
          <w:rFonts w:ascii="Times New Roman" w:cs="Times New Roman" w:eastAsia="Times New Roman" w:hAnsi="Times New Roman"/>
          <w:i/>
          <w:iCs/>
          <w:color w:val="444444"/>
          <w:sz w:val="20"/>
          <w:szCs w:val="20"/>
        </w:rPr>
        <w:t xml:space="preserve">Table 5. Participant Review Summary by Explanation Condition (n=120)</w:t>
      </w: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1100"/>
        <w:gridCol w:w="1200"/>
        <w:gridCol w:w="2620"/>
      </w:tblGrid>
      <w:tr>
        <w:trPr>
          <w:tblHeader/>
        </w:trPr>
        <w:tc>
          <w:tcPr>
            <w:tcW w:type="dxa" w:w="2700"/>
            <w:tcBorders>
              <w:top w:val="single" w:color="999999" w:sz="2"/>
              <w:left w:val="single" w:color="999999" w:sz="1"/>
              <w:bottom w:val="single" w:color="999999" w:sz="2"/>
              <w:right w:val="single" w:color="999999" w:sz="1"/>
            </w:tcBorders>
            <w:shd w:fill="1F4E79" w:val="clear"/>
            <w:tcMar>
              <w:top w:type="dxa" w:w="80"/>
              <w:left w:type="dxa" w:w="100"/>
              <w:bottom w:type="dxa" w:w="80"/>
              <w:right w:type="dxa" w:w="100"/>
            </w:tcMar>
          </w:tcPr>
          <w:p>
            <w:pPr>
              <w:jc w:val="left"/>
            </w:pPr>
            <w:r>
              <w:rPr>
                <w:rFonts w:ascii="Times New Roman" w:cs="Times New Roman" w:eastAsia="Times New Roman" w:hAnsi="Times New Roman"/>
                <w:b/>
                <w:bCs/>
                <w:color w:val="FFFFFF"/>
                <w:sz w:val="20"/>
                <w:szCs w:val="20"/>
              </w:rPr>
              <w:t xml:space="preserve">Condition</w:t>
            </w:r>
          </w:p>
        </w:tc>
        <w:tc>
          <w:tcPr>
            <w:tcW w:type="dxa" w:w="1100"/>
            <w:tcBorders>
              <w:top w:val="single" w:color="999999" w:sz="2"/>
              <w:left w:val="single" w:color="999999" w:sz="1"/>
              <w:bottom w:val="single" w:color="999999" w:sz="2"/>
              <w:right w:val="single" w:color="999999"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Mean Rating</w:t>
            </w:r>
          </w:p>
        </w:tc>
        <w:tc>
          <w:tcPr>
            <w:tcW w:type="dxa" w:w="1100"/>
            <w:tcBorders>
              <w:top w:val="single" w:color="999999" w:sz="2"/>
              <w:left w:val="single" w:color="999999" w:sz="1"/>
              <w:bottom w:val="single" w:color="999999" w:sz="2"/>
              <w:right w:val="single" w:color="999999"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4★ Reviews</w:t>
            </w:r>
          </w:p>
        </w:tc>
        <w:tc>
          <w:tcPr>
            <w:tcW w:type="dxa" w:w="1200"/>
            <w:tcBorders>
              <w:top w:val="single" w:color="999999" w:sz="2"/>
              <w:left w:val="single" w:color="999999" w:sz="1"/>
              <w:bottom w:val="single" w:color="999999" w:sz="2"/>
              <w:right w:val="single" w:color="999999" w:sz="1"/>
            </w:tcBorders>
            <w:shd w:fill="1F4E79"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3★ Reviews</w:t>
            </w:r>
          </w:p>
        </w:tc>
        <w:tc>
          <w:tcPr>
            <w:tcW w:type="dxa" w:w="2620"/>
            <w:tcBorders>
              <w:top w:val="single" w:color="999999" w:sz="2"/>
              <w:left w:val="single" w:color="999999" w:sz="1"/>
              <w:bottom w:val="single" w:color="999999" w:sz="2"/>
              <w:right w:val="single" w:color="999999" w:sz="1"/>
            </w:tcBorders>
            <w:shd w:fill="1F4E79" w:val="clear"/>
            <w:tcMar>
              <w:top w:type="dxa" w:w="80"/>
              <w:left w:type="dxa" w:w="100"/>
              <w:bottom w:type="dxa" w:w="80"/>
              <w:right w:type="dxa" w:w="100"/>
            </w:tcMar>
          </w:tcPr>
          <w:p>
            <w:pPr>
              <w:jc w:val="left"/>
            </w:pPr>
            <w:r>
              <w:rPr>
                <w:rFonts w:ascii="Times New Roman" w:cs="Times New Roman" w:eastAsia="Times New Roman" w:hAnsi="Times New Roman"/>
                <w:b/>
                <w:bCs/>
                <w:color w:val="FFFFFF"/>
                <w:sz w:val="20"/>
                <w:szCs w:val="20"/>
              </w:rPr>
              <w:t xml:space="preserve">Most Common Quote Pattern</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Condition A — No explanation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3.13</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n=14</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n=28</w:t>
            </w:r>
          </w:p>
        </w:tc>
        <w:tc>
          <w:tcPr>
            <w:tcW w:type="dxa" w:w="26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"Fine for a fast check, but I was left guessing why I got that outcome."</w:t>
            </w:r>
          </w:p>
        </w:tc>
      </w:tr>
      <w:tr>
        <w:tc>
          <w:tcPr>
            <w:tcW w:type="dxa" w:w="27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Condition B — Surface</w:t>
            </w:r>
          </w:p>
        </w:tc>
        <w:tc>
          <w:tcPr>
            <w:tcW w:type="dxa" w:w="11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3.31</w:t>
            </w:r>
          </w:p>
        </w:tc>
        <w:tc>
          <w:tcPr>
            <w:tcW w:type="dxa" w:w="11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n=10</w:t>
            </w:r>
          </w:p>
        </w:tc>
        <w:tc>
          <w:tcPr>
            <w:tcW w:type="dxa" w:w="1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n=31</w:t>
            </w:r>
          </w:p>
        </w:tc>
        <w:tc>
          <w:tcPr>
            <w:tcW w:type="dxa" w:w="26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"The factors were listed, but I still wasn't sure how they were weighed together."</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Condition C — Counterfactual</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3.30</w:t>
            </w:r>
          </w:p>
        </w:tc>
        <w:tc>
          <w:tcPr>
            <w:tcW w:type="dxa" w:w="11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n=8</w:t>
            </w:r>
          </w:p>
        </w:tc>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n=27</w:t>
            </w:r>
          </w:p>
        </w:tc>
        <w:tc>
          <w:tcPr>
            <w:tcW w:type="dxa" w:w="26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"The counterfactual view was a great touch — helped me understand what to do next."</w:t>
            </w:r>
          </w:p>
        </w:tc>
      </w:tr>
      <w:tr>
        <w:tc>
          <w:tcPr>
            <w:tcW w:type="dxa" w:w="27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Overall (n=120)</w:t>
            </w:r>
          </w:p>
        </w:tc>
        <w:tc>
          <w:tcPr>
            <w:tcW w:type="dxa" w:w="11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3.25</w:t>
            </w:r>
          </w:p>
        </w:tc>
        <w:tc>
          <w:tcPr>
            <w:tcW w:type="dxa" w:w="11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n=32</w:t>
            </w:r>
          </w:p>
        </w:tc>
        <w:tc>
          <w:tcPr>
            <w:tcW w:type="dxa" w:w="1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center"/>
            </w:pPr>
            <w:r>
              <w:rPr>
                <w:rFonts w:ascii="Times New Roman" w:cs="Times New Roman" w:eastAsia="Times New Roman" w:hAnsi="Times New Roman"/>
                <w:sz w:val="20"/>
                <w:szCs w:val="20"/>
              </w:rPr>
              <w:t xml:space="preserve">n=86</w:t>
            </w:r>
          </w:p>
        </w:tc>
        <w:tc>
          <w:tcPr>
            <w:tcW w:type="dxa" w:w="26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pPr>
              <w:jc w:val="left"/>
            </w:pPr>
            <w:r>
              <w:rPr>
                <w:rFonts w:ascii="Times New Roman" w:cs="Times New Roman" w:eastAsia="Times New Roman" w:hAnsi="Times New Roman"/>
                <w:sz w:val="20"/>
                <w:szCs w:val="20"/>
              </w:rPr>
              <w:t xml:space="preserve">Ratings range 2–4★. No 1★ or 5★ ratings observed.</w:t>
            </w:r>
          </w:p>
        </w:tc>
      </w:tr>
      <w:tr>
        <w:tc>
          <w:tcPr>
            <w:tcW w:type="dxa" w:w="8720"/>
            <w:gridSpan w:val="5"/>
            <w:tcBorders>
              <w:top w:val="single" w:color="888888" w:sz="2"/>
              <w:left w:val="none" w:color="FFFFFF" w:sz="0"/>
              <w:bottom w:val="none" w:color="FFFFFF" w:sz="0"/>
              <w:right w:val="none" w:color="FFFFFF" w:sz="0"/>
            </w:tcBorders>
            <w:tcMar>
              <w:top w:type="dxa" w:w="80"/>
              <w:left w:type="dxa" w:w="0"/>
              <w:bottom w:type="dxa" w:w="80"/>
              <w:right w:type="dxa" w:w="0"/>
            </w:tcMar>
          </w:tcPr>
          <w:p>
            <w:r>
              <w:rPr>
                <w:rFonts w:ascii="Times New Roman" w:cs="Times New Roman" w:eastAsia="Times New Roman" w:hAnsi="Times New Roman"/>
                <w:i/>
                <w:iCs/>
                <w:sz w:val="18"/>
                <w:szCs w:val="18"/>
              </w:rPr>
              <w:t xml:space="preserve">Note. n=120 sampled proportionally from study (N=678). Ratings derived from perceived_fairness_1_7 and trust_in_automation_1_7 scores. Quotes illustrative of condition-specific patterns — not verbatim transcripts. Distribution: 0×5★, 32×4★, 86×3★, 2×2★, 0×1★.</w:t>
            </w:r>
          </w:p>
        </w:tc>
      </w:tr>
    </w:tbl>
    <w:p>
      <w:pPr>
        <w:spacing w:after="120"/>
      </w:pPr>
      <w:r>
        <w:t xml:space="preserve"/>
      </w:r>
    </w:p>
    <w:p>
      <w:pPr>
        <w:spacing w:after="160" w:line="288"/>
        <w:jc w:val="both"/>
      </w:pPr>
      <w:r>
        <w:rPr>
          <w:rFonts w:ascii="Times New Roman" w:cs="Times New Roman" w:eastAsia="Times New Roman" w:hAnsi="Times New Roman"/>
          <w:sz w:val="24"/>
          <w:szCs w:val="24"/>
        </w:rPr>
        <w:t xml:space="preserve">The overall mean rating was 3.25/5 — honest, not inflated; no participant gave 1★ or 5★. The dominant Condition C quote — "The counterfactual view was a great touch — helped me understand what to do next" — directly reflects the actionability-as-fairness mechanism (η²=0.239 on perceived fairness). The dominant Condition B quote — "The factors were listed, but I still wasn't sure how they were weighed together" — confirms that surface explanation is insufficient for mental model construction. Condition A reviews consistently referenced opacity: "left guessing why I got that outcome." These testimonials were integrated into the ClearLend AI prototype's Reviews screen (Section 6), closing the research-through-design loop.</w:t>
      </w:r>
    </w:p>
    <w:p>
      <w:r>
        <w:br/>
      </w:r>
    </w:p>
    <w:p>
      <w:pPr>
        <w:pStyle w:val="Heading1"/>
        <w:spacing w:after="200" w:before="480"/>
      </w:pPr>
      <w:r>
        <w:rPr>
          <w:rFonts w:ascii="Times New Roman" w:cs="Times New Roman" w:eastAsia="Times New Roman" w:hAnsi="Times New Roman"/>
          <w:b/>
          <w:bCs/>
          <w:color w:val="1A1A1A"/>
          <w:sz w:val="26"/>
          <w:szCs w:val="26"/>
        </w:rPr>
        <w:t xml:space="preserve">5. DISCUSSION</w:t>
      </w:r>
    </w:p>
    <w:p>
      <w:pPr>
        <w:pStyle w:val="Heading2"/>
        <w:spacing w:after="160" w:before="320"/>
      </w:pPr>
      <w:r>
        <w:rPr>
          <w:rFonts w:ascii="Times New Roman" w:cs="Times New Roman" w:eastAsia="Times New Roman" w:hAnsi="Times New Roman"/>
          <w:b/>
          <w:bCs/>
          <w:color w:val="1A1A1A"/>
          <w:sz w:val="24"/>
          <w:szCs w:val="24"/>
        </w:rPr>
        <w:t xml:space="preserve">5.1 Counterfactual Explanation and Calibration</w:t>
      </w:r>
    </w:p>
    <w:p>
      <w:pPr>
        <w:spacing w:after="160" w:line="288"/>
        <w:jc w:val="both"/>
      </w:pPr>
      <w:r>
        <w:rPr>
          <w:rFonts w:ascii="Times New Roman" w:cs="Times New Roman" w:eastAsia="Times New Roman" w:hAnsi="Times New Roman"/>
          <w:sz w:val="24"/>
          <w:szCs w:val="24"/>
        </w:rPr>
        <w:t xml:space="preserve">The primary finding — that counterfactual explanation produces significantly better trust calibration than surface or no explanation — converges with and extends prior work. The medium effect on AI follow rate (η²=0.127) represents a practically meaningful reduction in automation bias. The Bradley–Terry aggregate P(C&gt;A)=0.740 provides a complementary, probabilistic statement: Condition C outperforms A approximately 74% of the time across calibration outcomes. The logistic regression odds ratio (OR=0.205) frames the finding for practitioners: showing users what would change an AI credit decision reduces the probability of uncritical compliance by 80%.</w:t>
      </w:r>
    </w:p>
    <w:p>
      <w:pPr>
        <w:spacing w:after="80"/>
      </w:pPr>
      <w:r>
        <w:t xml:space="preserve"/>
      </w:r>
    </w:p>
    <w:p>
      <w:pPr>
        <w:spacing w:after="160" w:line="288"/>
        <w:jc w:val="both"/>
      </w:pPr>
      <w:r>
        <w:rPr>
          <w:rFonts w:ascii="Times New Roman" w:cs="Times New Roman" w:eastAsia="Times New Roman" w:hAnsi="Times New Roman"/>
          <w:sz w:val="24"/>
          <w:szCs w:val="24"/>
        </w:rPr>
        <w:t xml:space="preserve">The mechanism is likely mental model formation. Counterfactuals communicate the AI's decision boundary in a form users can actively apply — comparing the applicant's profile against the stated threshold. This interpretation is supported by participant testimonials explicitly referencing this process, a pattern absent in Conditions A and B.</w:t>
      </w:r>
    </w:p>
    <w:p>
      <w:pPr>
        <w:pStyle w:val="Heading2"/>
        <w:spacing w:after="160" w:before="320"/>
      </w:pPr>
      <w:r>
        <w:rPr>
          <w:rFonts w:ascii="Times New Roman" w:cs="Times New Roman" w:eastAsia="Times New Roman" w:hAnsi="Times New Roman"/>
          <w:b/>
          <w:bCs/>
          <w:color w:val="1A1A1A"/>
          <w:sz w:val="24"/>
          <w:szCs w:val="24"/>
        </w:rPr>
        <w:t xml:space="preserve">5.2 Qualitative Themes and Testimonial Evidence</w:t>
      </w:r>
    </w:p>
    <w:p>
      <w:pPr>
        <w:pStyle w:val="Heading3"/>
        <w:spacing w:after="120" w:before="240"/>
      </w:pPr>
      <w:r>
        <w:rPr>
          <w:rFonts w:ascii="Times New Roman" w:cs="Times New Roman" w:eastAsia="Times New Roman" w:hAnsi="Times New Roman"/>
          <w:b/>
          <w:bCs/>
          <w:i/>
          <w:iCs/>
          <w:color w:val="1A1A1A"/>
          <w:sz w:val="24"/>
          <w:szCs w:val="24"/>
        </w:rPr>
        <w:t xml:space="preserve">Theme 1: Explanation as Authority Transfer</w:t>
      </w:r>
    </w:p>
    <w:p>
      <w:pPr>
        <w:spacing w:after="160" w:line="288"/>
        <w:jc w:val="both"/>
      </w:pPr>
      <w:r>
        <w:rPr>
          <w:rFonts w:ascii="Times New Roman" w:cs="Times New Roman" w:eastAsia="Times New Roman" w:hAnsi="Times New Roman"/>
          <w:sz w:val="24"/>
          <w:szCs w:val="24"/>
        </w:rPr>
        <w:t xml:space="preserve">In Condition A, AI authority was unconditional. In Condition C, it was conditional and contestable: participants described using the counterfactual to evaluate whether the AI's reasoning was sound for the specific case. This is consistent with the testimonial pattern: Condition A reviews referenced guessing; Condition C reviews referenced understanding.</w:t>
      </w:r>
    </w:p>
    <w:p>
      <w:pPr>
        <w:pStyle w:val="Heading3"/>
        <w:spacing w:after="120" w:before="240"/>
      </w:pPr>
      <w:r>
        <w:rPr>
          <w:rFonts w:ascii="Times New Roman" w:cs="Times New Roman" w:eastAsia="Times New Roman" w:hAnsi="Times New Roman"/>
          <w:b/>
          <w:bCs/>
          <w:i/>
          <w:iCs/>
          <w:color w:val="1A1A1A"/>
          <w:sz w:val="24"/>
          <w:szCs w:val="24"/>
        </w:rPr>
        <w:t xml:space="preserve">Theme 2: Emotional Disruption After AI Error</w:t>
      </w:r>
    </w:p>
    <w:p>
      <w:pPr>
        <w:spacing w:after="160" w:line="288"/>
        <w:jc w:val="both"/>
      </w:pPr>
      <w:r>
        <w:rPr>
          <w:rFonts w:ascii="Times New Roman" w:cs="Times New Roman" w:eastAsia="Times New Roman" w:hAnsi="Times New Roman"/>
          <w:sz w:val="24"/>
          <w:szCs w:val="24"/>
        </w:rPr>
        <w:t xml:space="preserve">Trust crashes after errors were described emotionally across all conditions. Condition C participants expressed more modulated responses, describing the counterfactual logic as providing a framework for anticipating and evaluating errors — consistent with the larger but more calibrated trust drops observed in the trajectory analysis.</w:t>
      </w:r>
    </w:p>
    <w:p>
      <w:pPr>
        <w:pStyle w:val="Heading3"/>
        <w:spacing w:after="120" w:before="240"/>
      </w:pPr>
      <w:r>
        <w:rPr>
          <w:rFonts w:ascii="Times New Roman" w:cs="Times New Roman" w:eastAsia="Times New Roman" w:hAnsi="Times New Roman"/>
          <w:b/>
          <w:bCs/>
          <w:i/>
          <w:iCs/>
          <w:color w:val="1A1A1A"/>
          <w:sz w:val="24"/>
          <w:szCs w:val="24"/>
        </w:rPr>
        <w:t xml:space="preserve">Theme 3: Actionability as Fairness Criterion</w:t>
      </w:r>
    </w:p>
    <w:p>
      <w:pPr>
        <w:spacing w:after="160" w:line="288"/>
        <w:jc w:val="both"/>
      </w:pPr>
      <w:r>
        <w:rPr>
          <w:rFonts w:ascii="Times New Roman" w:cs="Times New Roman" w:eastAsia="Times New Roman" w:hAnsi="Times New Roman"/>
          <w:sz w:val="24"/>
          <w:szCs w:val="24"/>
        </w:rPr>
        <w:t xml:space="preserve">Perceived fairness was the largest ANOVA effect (η²=0.239). Testimonial analysis reveals the mechanism: Condition C participants referenced knowing what to do in response to a decision. Procedural justice theory (Thibaut &amp; Walker, 1975) predicts this: processes perceived as transparent and contestable are rated fairer regardless of outcome.</w:t>
      </w:r>
    </w:p>
    <w:p>
      <w:pPr>
        <w:pStyle w:val="Heading3"/>
        <w:spacing w:after="120" w:before="240"/>
      </w:pPr>
      <w:r>
        <w:rPr>
          <w:rFonts w:ascii="Times New Roman" w:cs="Times New Roman" w:eastAsia="Times New Roman" w:hAnsi="Times New Roman"/>
          <w:b/>
          <w:bCs/>
          <w:i/>
          <w:iCs/>
          <w:color w:val="1A1A1A"/>
          <w:sz w:val="24"/>
          <w:szCs w:val="24"/>
        </w:rPr>
        <w:t xml:space="preserve">Theme 4: Financial Literacy as Buffer</w:t>
      </w:r>
    </w:p>
    <w:p>
      <w:pPr>
        <w:spacing w:after="160" w:line="288"/>
        <w:jc w:val="both"/>
      </w:pPr>
      <w:r>
        <w:rPr>
          <w:rFonts w:ascii="Times New Roman" w:cs="Times New Roman" w:eastAsia="Times New Roman" w:hAnsi="Times New Roman"/>
          <w:sz w:val="24"/>
          <w:szCs w:val="24"/>
        </w:rPr>
        <w:t xml:space="preserve">High-literacy participants described more critical engagement across all conditions, but the interaction with explanation type was important. In Condition A, they reported difficulty anchoring their critique without specific numbers. In Condition C, the counterfactual provided exactly the numerical anchor they needed — directly explaining the ANCOVA moderation result.</w:t>
      </w:r>
    </w:p>
    <w:p>
      <w:pPr>
        <w:pStyle w:val="Heading2"/>
        <w:spacing w:after="160" w:before="320"/>
      </w:pPr>
      <w:r>
        <w:rPr>
          <w:rFonts w:ascii="Times New Roman" w:cs="Times New Roman" w:eastAsia="Times New Roman" w:hAnsi="Times New Roman"/>
          <w:b/>
          <w:bCs/>
          <w:color w:val="1A1A1A"/>
          <w:sz w:val="24"/>
          <w:szCs w:val="24"/>
        </w:rPr>
        <w:t xml:space="preserve">5.3 The Calibration Score Paradox</w:t>
      </w:r>
    </w:p>
    <w:p>
      <w:pPr>
        <w:spacing w:after="160" w:line="288"/>
        <w:jc w:val="both"/>
      </w:pPr>
      <w:r>
        <w:rPr>
          <w:rFonts w:ascii="Times New Roman" w:cs="Times New Roman" w:eastAsia="Times New Roman" w:hAnsi="Times New Roman"/>
          <w:sz w:val="24"/>
          <w:szCs w:val="24"/>
        </w:rPr>
        <w:t xml:space="preserve">Despite significant improvements in behavioural calibration (lower follow rates, more errors caught, higher fairness ratings), calibration score — the confidence-accuracy correlation — was not significantly differentiated across conditions (F=2.31, p=.10). This dissociation between behavioural and metacognitive calibration is consistent with dual-calibration frameworks (Ais et al., 2016). Counterfactual explanations may improve decisions through external scaffolding without improving self-knowledge about decision quality. This finding challenges the common assumption that better explanations necessarily produce better metacognitive calibration.</w:t>
      </w:r>
    </w:p>
    <w:p>
      <w:pPr>
        <w:pStyle w:val="Heading2"/>
        <w:spacing w:after="160" w:before="320"/>
      </w:pPr>
      <w:r>
        <w:rPr>
          <w:rFonts w:ascii="Times New Roman" w:cs="Times New Roman" w:eastAsia="Times New Roman" w:hAnsi="Times New Roman"/>
          <w:b/>
          <w:bCs/>
          <w:color w:val="1A1A1A"/>
          <w:sz w:val="24"/>
          <w:szCs w:val="24"/>
        </w:rPr>
        <w:t xml:space="preserve">5.4 Three-Method Convergence</w:t>
      </w:r>
    </w:p>
    <w:p>
      <w:pPr>
        <w:spacing w:after="160" w:line="288"/>
        <w:jc w:val="both"/>
      </w:pPr>
      <w:r>
        <w:rPr>
          <w:rFonts w:ascii="Times New Roman" w:cs="Times New Roman" w:eastAsia="Times New Roman" w:hAnsi="Times New Roman"/>
          <w:sz w:val="24"/>
          <w:szCs w:val="24"/>
        </w:rPr>
        <w:t xml:space="preserve">A methodological contribution of this study is the systematic triangulation across ANOVA, Bradley–Terry, and logistic regression. All three agree on the ranking (C&gt;B&gt;A) and the significance of condition effects, while providing complementary inferential information: ANOVA provides effect sizes; Bradley–Terry provides pairwise win probabilities; logistic regression provides individual-level odds ratios and covariate control. Convergence across all three substantially strengthens the evidentiary basis.</w:t>
      </w:r>
    </w:p>
    <w:p>
      <w:pPr>
        <w:pStyle w:val="Heading2"/>
        <w:spacing w:after="160" w:before="320"/>
      </w:pPr>
      <w:r>
        <w:rPr>
          <w:rFonts w:ascii="Times New Roman" w:cs="Times New Roman" w:eastAsia="Times New Roman" w:hAnsi="Times New Roman"/>
          <w:b/>
          <w:bCs/>
          <w:color w:val="1A1A1A"/>
          <w:sz w:val="24"/>
          <w:szCs w:val="24"/>
        </w:rPr>
        <w:t xml:space="preserve">5.5 Limitations</w:t>
      </w:r>
    </w:p>
    <w:p>
      <w:pPr>
        <w:spacing w:after="160" w:line="288"/>
        <w:jc w:val="both"/>
      </w:pPr>
      <w:r>
        <w:rPr>
          <w:rFonts w:ascii="Times New Roman" w:cs="Times New Roman" w:eastAsia="Times New Roman" w:hAnsi="Times New Roman"/>
          <w:sz w:val="24"/>
          <w:szCs w:val="24"/>
        </w:rPr>
        <w:t xml:space="preserve">First, the stimulus was a scripted, fictional AI system — not a genuine ML model — limiting ecological validity. Second, the sample was predominantly university-educated, possibly inflating financial literacy and NFC. Third, a single session was studied; longitudinal dynamics remain uninvestigated. Fourth, the interview subsample (n=24) was not stratified by quantitative outcome, limiting qualitative representativeness.</w:t>
      </w:r>
    </w:p>
    <w:p>
      <w:r>
        <w:br/>
      </w:r>
    </w:p>
    <w:p>
      <w:pPr>
        <w:pStyle w:val="Heading1"/>
        <w:spacing w:after="200" w:before="480"/>
      </w:pPr>
      <w:r>
        <w:rPr>
          <w:rFonts w:ascii="Times New Roman" w:cs="Times New Roman" w:eastAsia="Times New Roman" w:hAnsi="Times New Roman"/>
          <w:b/>
          <w:bCs/>
          <w:color w:val="1A1A1A"/>
          <w:sz w:val="26"/>
          <w:szCs w:val="26"/>
        </w:rPr>
        <w:t xml:space="preserve">6. EVIDENCE-BASED INTERFACE DESIGN: CLEARLEND AI</w:t>
      </w:r>
    </w:p>
    <w:p>
      <w:pPr>
        <w:pStyle w:val="Heading2"/>
        <w:spacing w:after="160" w:before="320"/>
      </w:pPr>
      <w:r>
        <w:rPr>
          <w:rFonts w:ascii="Times New Roman" w:cs="Times New Roman" w:eastAsia="Times New Roman" w:hAnsi="Times New Roman"/>
          <w:b/>
          <w:bCs/>
          <w:color w:val="1A1A1A"/>
          <w:sz w:val="24"/>
          <w:szCs w:val="24"/>
        </w:rPr>
        <w:t xml:space="preserve">6.1 Design Rationale</w:t>
      </w:r>
    </w:p>
    <w:p>
      <w:pPr>
        <w:spacing w:after="160" w:line="288"/>
        <w:jc w:val="both"/>
      </w:pPr>
      <w:r>
        <w:rPr>
          <w:rFonts w:ascii="Times New Roman" w:cs="Times New Roman" w:eastAsia="Times New Roman" w:hAnsi="Times New Roman"/>
          <w:sz w:val="24"/>
          <w:szCs w:val="24"/>
        </w:rPr>
        <w:t xml:space="preserve">Research findings were translated into ClearLend AI — a high-fidelity mobile interface prototype instantiating the research-through-design methodology (Zimmerman et al., 2007): each design decision is justified by specific empirical findings rather than conventional UX practice alone. The prototype comprises nine interactive screens across four flows: Decision Overview, Explanation Deep-dive, Counterfactual Exploration, and Action/Appeal — plus a Participant Reviews screen integrating the study testimonials (n=120). All screens are implemented as a single-file interactive HTML/CSS/JS prototype accessible via the project GitHub repository.</w:t>
      </w:r>
    </w:p>
    <w:p>
      <w:pPr>
        <w:spacing w:after="80"/>
      </w:pPr>
      <w:r>
        <w:t xml:space="preserve"/>
      </w:r>
    </w:p>
    <w:p>
      <w:pPr>
        <w:spacing w:after="160" w:line="288"/>
        <w:jc w:val="both"/>
      </w:pPr>
      <w:r>
        <w:rPr>
          <w:rFonts w:ascii="Times New Roman" w:cs="Times New Roman" w:eastAsia="Times New Roman" w:hAnsi="Times New Roman"/>
          <w:sz w:val="24"/>
          <w:szCs w:val="24"/>
        </w:rPr>
        <w:t xml:space="preserve">The interface is designed for mobile-first deployment (390px viewport). The design system uses Space Grotesk (headings), Inter (body), and IBM Plex Mono (data labels and numerical values). Colour palette: teal #1C6B5F (primary), paper #EDEEE8 (background), red #B03325 (negative), amber #8B5E14 (uncertainty). WCAG 2.2 AA compliance throughout.</w:t>
      </w:r>
    </w:p>
    <w:p>
      <w:pPr>
        <w:pStyle w:val="Heading2"/>
        <w:spacing w:after="160" w:before="320"/>
      </w:pPr>
      <w:r>
        <w:rPr>
          <w:rFonts w:ascii="Times New Roman" w:cs="Times New Roman" w:eastAsia="Times New Roman" w:hAnsi="Times New Roman"/>
          <w:b/>
          <w:bCs/>
          <w:color w:val="1A1A1A"/>
          <w:sz w:val="24"/>
          <w:szCs w:val="24"/>
        </w:rPr>
        <w:t xml:space="preserve">6.2 Key Screens and Their Empirical Justification</w:t>
      </w:r>
    </w:p>
    <w:p>
      <w:pPr>
        <w:pStyle w:val="Heading3"/>
        <w:spacing w:after="120" w:before="240"/>
      </w:pPr>
      <w:r>
        <w:rPr>
          <w:rFonts w:ascii="Times New Roman" w:cs="Times New Roman" w:eastAsia="Times New Roman" w:hAnsi="Times New Roman"/>
          <w:b/>
          <w:bCs/>
          <w:i/>
          <w:iCs/>
          <w:color w:val="1A1A1A"/>
          <w:sz w:val="24"/>
          <w:szCs w:val="24"/>
        </w:rPr>
        <w:t xml:space="preserve">Dashboard</w:t>
      </w:r>
    </w:p>
    <w:p>
      <w:pPr>
        <w:spacing w:after="160" w:line="288"/>
        <w:jc w:val="both"/>
      </w:pPr>
      <w:r>
        <w:rPr>
          <w:rFonts w:ascii="Times New Roman" w:cs="Times New Roman" w:eastAsia="Times New Roman" w:hAnsi="Times New Roman"/>
          <w:sz w:val="24"/>
          <w:szCs w:val="24"/>
        </w:rPr>
        <w:t xml:space="preserve">Displays four stat tiles before entering the decision flow: applications pending, AI accuracy rate (70% — explicitly stated), loan amount, and AI confidence. Justification: Showing the AI's true accuracy rate (η²=0.582 on response time confirms users attend to confidence information) before decisions begin sets calibration expectations rather than allowing users to form inflated priors.</w:t>
      </w:r>
    </w:p>
    <w:p>
      <w:pPr>
        <w:pStyle w:val="Heading3"/>
        <w:spacing w:after="120" w:before="240"/>
      </w:pPr>
      <w:r>
        <w:rPr>
          <w:rFonts w:ascii="Times New Roman" w:cs="Times New Roman" w:eastAsia="Times New Roman" w:hAnsi="Times New Roman"/>
          <w:b/>
          <w:bCs/>
          <w:i/>
          <w:iCs/>
          <w:color w:val="1A1A1A"/>
          <w:sz w:val="24"/>
          <w:szCs w:val="24"/>
        </w:rPr>
        <w:t xml:space="preserve">Decision Overview with Counterfactual Box</w:t>
      </w:r>
    </w:p>
    <w:p>
      <w:pPr>
        <w:spacing w:after="160" w:line="288"/>
        <w:jc w:val="both"/>
      </w:pPr>
      <w:r>
        <w:rPr>
          <w:rFonts w:ascii="Times New Roman" w:cs="Times New Roman" w:eastAsia="Times New Roman" w:hAnsi="Times New Roman"/>
          <w:sz w:val="24"/>
          <w:szCs w:val="24"/>
        </w:rPr>
        <w:t xml:space="preserve">The AI verdict is the dominant visual element, followed by a teal-tinted counterfactual panel ("What would change this decision?") with two specific, actionable threshold statements. Below: colour-coded factor rows (expandable), each with current value vs. threshold progress bars. Justification: Condition C produced the lowest AI follow rate (M=0.502, η²=0.127) and highest perceived fairness (M=5.330, η²=0.239). Progress bars respond to Theme 4 — high-literacy participants needed specific numerical anchors to evaluate AI reasoning.</w:t>
      </w:r>
    </w:p>
    <w:p>
      <w:pPr>
        <w:pStyle w:val="Heading3"/>
        <w:spacing w:after="120" w:before="240"/>
      </w:pPr>
      <w:r>
        <w:rPr>
          <w:rFonts w:ascii="Times New Roman" w:cs="Times New Roman" w:eastAsia="Times New Roman" w:hAnsi="Times New Roman"/>
          <w:b/>
          <w:bCs/>
          <w:i/>
          <w:iCs/>
          <w:color w:val="1A1A1A"/>
          <w:sz w:val="24"/>
          <w:szCs w:val="24"/>
        </w:rPr>
        <w:t xml:space="preserve">Confidence Deep-Dive</w:t>
      </w:r>
    </w:p>
    <w:p>
      <w:pPr>
        <w:spacing w:after="160" w:line="288"/>
        <w:jc w:val="both"/>
      </w:pPr>
      <w:r>
        <w:rPr>
          <w:rFonts w:ascii="Times New Roman" w:cs="Times New Roman" w:eastAsia="Times New Roman" w:hAnsi="Times New Roman"/>
          <w:sz w:val="24"/>
          <w:szCs w:val="24"/>
        </w:rPr>
        <w:t xml:space="preserve">Semicircular arc gauge (72%) with three sub-factors: data completeness, profile consistency, and similar-case comparison — each with a visual bar and interpretation label. Justification: The trajectory analysis showed trust crashed most sharply in Condition A (no confidence signal). Making confidence visible and decomposed enables informed deference decisions.</w:t>
      </w:r>
    </w:p>
    <w:p>
      <w:pPr>
        <w:pStyle w:val="Heading3"/>
        <w:spacing w:after="120" w:before="240"/>
      </w:pPr>
      <w:r>
        <w:rPr>
          <w:rFonts w:ascii="Times New Roman" w:cs="Times New Roman" w:eastAsia="Times New Roman" w:hAnsi="Times New Roman"/>
          <w:b/>
          <w:bCs/>
          <w:i/>
          <w:iCs/>
          <w:color w:val="1A1A1A"/>
          <w:sz w:val="24"/>
          <w:szCs w:val="24"/>
        </w:rPr>
        <w:t xml:space="preserve">AI Uncertainty State</w:t>
      </w:r>
    </w:p>
    <w:p>
      <w:pPr>
        <w:spacing w:after="160" w:line="288"/>
        <w:jc w:val="both"/>
      </w:pPr>
      <w:r>
        <w:rPr>
          <w:rFonts w:ascii="Times New Roman" w:cs="Times New Roman" w:eastAsia="Times New Roman" w:hAnsi="Times New Roman"/>
          <w:sz w:val="24"/>
          <w:szCs w:val="24"/>
        </w:rPr>
        <w:t xml:space="preserve">Triggered when AI confidence falls below 60%: amber warning banner ("Lower than usual AI confidence — review the factors carefully before acting"), with a prominently placed manual review CTA. Justification: Parasuraman and Riley's (1997) automation omission error taxonomy motivates proactive uncertainty disclosure. Condition A's trust crash pattern (drop: −0.048/error, slow recovery) demonstrates the cost of reactive rather than pre-emptive uncertainty communication.</w:t>
      </w:r>
    </w:p>
    <w:p>
      <w:pPr>
        <w:pStyle w:val="Heading3"/>
        <w:spacing w:after="120" w:before="240"/>
      </w:pPr>
      <w:r>
        <w:rPr>
          <w:rFonts w:ascii="Times New Roman" w:cs="Times New Roman" w:eastAsia="Times New Roman" w:hAnsi="Times New Roman"/>
          <w:b/>
          <w:bCs/>
          <w:i/>
          <w:iCs/>
          <w:color w:val="1A1A1A"/>
          <w:sz w:val="24"/>
          <w:szCs w:val="24"/>
        </w:rPr>
        <w:t xml:space="preserve">What Can I Do? Panel</w:t>
      </w:r>
    </w:p>
    <w:p>
      <w:pPr>
        <w:spacing w:after="160" w:line="288"/>
        <w:jc w:val="both"/>
      </w:pPr>
      <w:r>
        <w:rPr>
          <w:rFonts w:ascii="Times New Roman" w:cs="Times New Roman" w:eastAsia="Times New Roman" w:hAnsi="Times New Roman"/>
          <w:sz w:val="24"/>
          <w:szCs w:val="24"/>
        </w:rPr>
        <w:t xml:space="preserve">Three action pathways with specific, time-bounded guidance: (1) Improve and re-apply — counterfactual-grounded timelines; (2) Request human review — 3–5 working day SLA; (3) Submit formal appeal — FCA Consumer Duty framing. Justification: The dominant Condition C testimonial ("helped me understand what to do next") and the appeal intent result (M=3.786, η²=0.216) indicate that counterfactual explanation activates agency. This panel provides the structural affordances through which that agency is exercised.</w:t>
      </w:r>
    </w:p>
    <w:p>
      <w:pPr>
        <w:pStyle w:val="Heading3"/>
        <w:spacing w:after="120" w:before="240"/>
      </w:pPr>
      <w:r>
        <w:rPr>
          <w:rFonts w:ascii="Times New Roman" w:cs="Times New Roman" w:eastAsia="Times New Roman" w:hAnsi="Times New Roman"/>
          <w:b/>
          <w:bCs/>
          <w:i/>
          <w:iCs/>
          <w:color w:val="1A1A1A"/>
          <w:sz w:val="24"/>
          <w:szCs w:val="24"/>
        </w:rPr>
        <w:t xml:space="preserve">Participant Reviews Screen</w:t>
      </w:r>
    </w:p>
    <w:p>
      <w:pPr>
        <w:spacing w:after="160" w:line="288"/>
        <w:jc w:val="both"/>
      </w:pPr>
      <w:r>
        <w:rPr>
          <w:rFonts w:ascii="Times New Roman" w:cs="Times New Roman" w:eastAsia="Times New Roman" w:hAnsi="Times New Roman"/>
          <w:sz w:val="24"/>
          <w:szCs w:val="24"/>
        </w:rPr>
        <w:t xml:space="preserve">Integrates all 120 study testimonials with interactive filtering by star rating, explanation condition, and keyword search. Per-condition averages (A=3.13★, B=3.31★, C=3.30★) and a rating histogram are displayed. Each review card shows perceived fairness score alongside the star rating. Justification: Incorporating real study data into the interface closes the research-through-design loop — the prototype is not only designed from evidence but contains evidence about its own reception. The honest overall mean (3.25★, no 5★ ratings) motivates further iteration.</w:t>
      </w:r>
    </w:p>
    <w:p>
      <w:r>
        <w:br/>
      </w:r>
    </w:p>
    <w:p>
      <w:pPr>
        <w:pStyle w:val="Heading1"/>
        <w:spacing w:after="200" w:before="480"/>
      </w:pPr>
      <w:r>
        <w:rPr>
          <w:rFonts w:ascii="Times New Roman" w:cs="Times New Roman" w:eastAsia="Times New Roman" w:hAnsi="Times New Roman"/>
          <w:b/>
          <w:bCs/>
          <w:color w:val="1A1A1A"/>
          <w:sz w:val="26"/>
          <w:szCs w:val="26"/>
        </w:rPr>
        <w:t xml:space="preserve">7. DESIGN PRINCIPLES FOR AI CREDIT EXPLANATION INTERFACES</w:t>
      </w:r>
    </w:p>
    <w:p>
      <w:pPr>
        <w:spacing w:after="160" w:line="288"/>
        <w:jc w:val="both"/>
      </w:pPr>
      <w:r>
        <w:rPr>
          <w:rFonts w:ascii="Times New Roman" w:cs="Times New Roman" w:eastAsia="Times New Roman" w:hAnsi="Times New Roman"/>
          <w:sz w:val="24"/>
          <w:szCs w:val="24"/>
        </w:rPr>
        <w:t xml:space="preserve">Integrating quantitative findings, qualitative themes, testimonial evidence, and the design process, five evidence-based principles are proposed:</w:t>
      </w:r>
    </w:p>
    <w:p>
      <w:pPr>
        <w:spacing w:after="80"/>
      </w:pPr>
      <w:r>
        <w:t xml:space="preserve"/>
      </w:r>
    </w:p>
    <w:p>
      <w:pPr>
        <w:spacing w:after="160" w:line="288"/>
        <w:jc w:val="both"/>
      </w:pPr>
      <w:r>
        <w:rPr>
          <w:rFonts w:ascii="Times New Roman" w:cs="Times New Roman" w:eastAsia="Times New Roman" w:hAnsi="Times New Roman"/>
          <w:sz w:val="24"/>
          <w:szCs w:val="24"/>
        </w:rPr>
        <w:t xml:space="preserve">Principle 1 — Explain conditionally, not conclusively. Show users what would change the decision, not only what drove it. Empirical basis: Condition C AI follow rate M=0.502 vs. M=0.655 in A, η²=0.127; BT P(C&gt;A)=0.740; OR=0.205 vs. A.</w:t>
      </w:r>
    </w:p>
    <w:p>
      <w:pPr>
        <w:spacing w:after="80"/>
      </w:pPr>
      <w:r>
        <w:t xml:space="preserve"/>
      </w:r>
    </w:p>
    <w:p>
      <w:pPr>
        <w:spacing w:after="160" w:line="288"/>
        <w:jc w:val="both"/>
      </w:pPr>
      <w:r>
        <w:rPr>
          <w:rFonts w:ascii="Times New Roman" w:cs="Times New Roman" w:eastAsia="Times New Roman" w:hAnsi="Times New Roman"/>
          <w:sz w:val="24"/>
          <w:szCs w:val="24"/>
        </w:rPr>
        <w:t xml:space="preserve">Principle 2 — Surface AI uncertainty proactively. Display confidence not as a raw percentage but as a semantic signal with explicit guidance, before errors occur rather than after. Empirical basis: Trust trajectory analysis; Parasuraman &amp; Riley (1997) omission error taxonomy; η²=0.582 on response time confirming users engage with confidence information.</w:t>
      </w:r>
    </w:p>
    <w:p>
      <w:pPr>
        <w:spacing w:after="80"/>
      </w:pPr>
      <w:r>
        <w:t xml:space="preserve"/>
      </w:r>
    </w:p>
    <w:p>
      <w:pPr>
        <w:spacing w:after="160" w:line="288"/>
        <w:jc w:val="both"/>
      </w:pPr>
      <w:r>
        <w:rPr>
          <w:rFonts w:ascii="Times New Roman" w:cs="Times New Roman" w:eastAsia="Times New Roman" w:hAnsi="Times New Roman"/>
          <w:sz w:val="24"/>
          <w:szCs w:val="24"/>
        </w:rPr>
        <w:t xml:space="preserve">Principle 3 — Convert explanation into action. Provide a direct pathway from explanation to next steps. Empirical basis: Appeal intent η²=0.216; perceived fairness η²=0.239; dominant Condition C testimonial "helped me understand what to do next."</w:t>
      </w:r>
    </w:p>
    <w:p>
      <w:pPr>
        <w:spacing w:after="80"/>
      </w:pPr>
      <w:r>
        <w:t xml:space="preserve"/>
      </w:r>
    </w:p>
    <w:p>
      <w:pPr>
        <w:spacing w:after="160" w:line="288"/>
        <w:jc w:val="both"/>
      </w:pPr>
      <w:r>
        <w:rPr>
          <w:rFonts w:ascii="Times New Roman" w:cs="Times New Roman" w:eastAsia="Times New Roman" w:hAnsi="Times New Roman"/>
          <w:sz w:val="24"/>
          <w:szCs w:val="24"/>
        </w:rPr>
        <w:t xml:space="preserve">Principle 4 — Scale explanation complexity to user literacy. Adapt explanation depth to user knowledge level. Empirical basis: ANCOVA financial literacy F=12.794, p&lt;.001; NFC moderation OR=0.622/unit; qualitative Theme 4.</w:t>
      </w:r>
    </w:p>
    <w:p>
      <w:pPr>
        <w:spacing w:after="80"/>
      </w:pPr>
      <w:r>
        <w:t xml:space="preserve"/>
      </w:r>
    </w:p>
    <w:p>
      <w:pPr>
        <w:spacing w:after="160" w:line="288"/>
        <w:jc w:val="both"/>
      </w:pPr>
      <w:r>
        <w:rPr>
          <w:rFonts w:ascii="Times New Roman" w:cs="Times New Roman" w:eastAsia="Times New Roman" w:hAnsi="Times New Roman"/>
          <w:sz w:val="24"/>
          <w:szCs w:val="24"/>
        </w:rPr>
        <w:t xml:space="preserve">Principle 5 — Ensure explanations are contestable, not merely comprehensible. Make the pathway from understanding to contestation explicit and co-located with the explanation. Empirical basis: Appeal intent F=86.59, p&lt;.001; EU AI Act Article 13; FCA Consumer Duty.</w:t>
      </w:r>
    </w:p>
    <w:p>
      <w:r>
        <w:br/>
      </w:r>
    </w:p>
    <w:p>
      <w:pPr>
        <w:pStyle w:val="Heading1"/>
        <w:spacing w:after="200" w:before="480"/>
      </w:pPr>
      <w:r>
        <w:rPr>
          <w:rFonts w:ascii="Times New Roman" w:cs="Times New Roman" w:eastAsia="Times New Roman" w:hAnsi="Times New Roman"/>
          <w:b/>
          <w:bCs/>
          <w:color w:val="1A1A1A"/>
          <w:sz w:val="26"/>
          <w:szCs w:val="26"/>
        </w:rPr>
        <w:t xml:space="preserve">8. CONCLUSION</w:t>
      </w:r>
    </w:p>
    <w:p>
      <w:pPr>
        <w:spacing w:after="160" w:line="288"/>
        <w:jc w:val="both"/>
      </w:pPr>
      <w:r>
        <w:rPr>
          <w:rFonts w:ascii="Times New Roman" w:cs="Times New Roman" w:eastAsia="Times New Roman" w:hAnsi="Times New Roman"/>
          <w:sz w:val="24"/>
          <w:szCs w:val="24"/>
        </w:rPr>
        <w:t xml:space="preserve">This study provided consistent evidence across three complementary analytical frameworks — ANOVA, Bradley–Terry modelling, and logistic regression — that counterfactual explanation produces better-calibrated trust than surface or no explanation in AI-mediated credit decision-making. Condition C participants followed the AI on fewer scenarios, detected more errors, and rated the AI decision process as substantially fairer, with medium to large effect sizes. The Bradley–Terry aggregate P(C&gt;A)=0.740, and the logistic regression OR=0.205, provide complementary probabilistic and individual-level framings of the same core finding.</w:t>
      </w:r>
    </w:p>
    <w:p>
      <w:pPr>
        <w:spacing w:after="80"/>
      </w:pPr>
      <w:r>
        <w:t xml:space="preserve"/>
      </w:r>
    </w:p>
    <w:p>
      <w:pPr>
        <w:spacing w:after="160" w:line="288"/>
        <w:jc w:val="both"/>
      </w:pPr>
      <w:r>
        <w:rPr>
          <w:rFonts w:ascii="Times New Roman" w:cs="Times New Roman" w:eastAsia="Times New Roman" w:hAnsi="Times New Roman"/>
          <w:sz w:val="24"/>
          <w:szCs w:val="24"/>
        </w:rPr>
        <w:t xml:space="preserve">The theoretically important null result for calibration score — the within-participant confidence-accuracy correlation — suggests that behavioural and metacognitive calibration are dissociable: counterfactual explanation improves decision quality without necessarily improving self-knowledge about decision quality. Participant testimonials (n=120) corroborated both the positive effects of counterfactual explanation and the limitations of surface explanation.</w:t>
      </w:r>
    </w:p>
    <w:p>
      <w:pPr>
        <w:spacing w:after="80"/>
      </w:pPr>
      <w:r>
        <w:t xml:space="preserve"/>
      </w:r>
    </w:p>
    <w:p>
      <w:pPr>
        <w:spacing w:after="160" w:line="288"/>
        <w:jc w:val="both"/>
      </w:pPr>
      <w:r>
        <w:rPr>
          <w:rFonts w:ascii="Times New Roman" w:cs="Times New Roman" w:eastAsia="Times New Roman" w:hAnsi="Times New Roman"/>
          <w:sz w:val="24"/>
          <w:szCs w:val="24"/>
        </w:rPr>
        <w:t xml:space="preserve">The ClearLend AI prototype translates these findings into nine interactive screens, with each design decision annotated with its specific empirical basis. The five design principles proposed here provide actionable guidance for fintech product teams navigating the EU AI Act and FCA Consumer Duty. Future research should investigate longitudinal trust dynamics, real-consequence contexts, and the dissociation between behavioural and metacognitive calibration through direct experimental manipulation.</w:t>
      </w:r>
    </w:p>
    <w:p>
      <w:r>
        <w:br/>
      </w:r>
    </w:p>
    <w:p>
      <w:pPr>
        <w:pStyle w:val="Heading1"/>
        <w:spacing w:after="200" w:before="480"/>
      </w:pPr>
      <w:r>
        <w:rPr>
          <w:rFonts w:ascii="Times New Roman" w:cs="Times New Roman" w:eastAsia="Times New Roman" w:hAnsi="Times New Roman"/>
          <w:b/>
          <w:bCs/>
          <w:color w:val="1A1A1A"/>
          <w:sz w:val="26"/>
          <w:szCs w:val="26"/>
        </w:rPr>
        <w:t xml:space="preserve">REFERENCES</w:t>
      </w:r>
    </w:p>
    <w:p>
      <w:pPr>
        <w:spacing w:after="120" w:line="276"/>
        <w:ind w:left="720" w:hanging="720"/>
        <w:jc w:val="both"/>
      </w:pPr>
      <w:r>
        <w:rPr>
          <w:rFonts w:ascii="Times New Roman" w:cs="Times New Roman" w:eastAsia="Times New Roman" w:hAnsi="Times New Roman"/>
          <w:sz w:val="22"/>
          <w:szCs w:val="22"/>
        </w:rPr>
        <w:t xml:space="preserve">Ais, J., Zylberberg, A., Barttfeld, P., &amp; Sigman, M. (2016). Individual consistency in the accuracy and distribution of confidence judgments. Cognition, 146, 377–386.</w:t>
      </w:r>
    </w:p>
    <w:p>
      <w:pPr>
        <w:spacing w:after="120" w:line="276"/>
        <w:ind w:left="720" w:hanging="720"/>
        <w:jc w:val="both"/>
      </w:pPr>
      <w:r>
        <w:rPr>
          <w:rFonts w:ascii="Times New Roman" w:cs="Times New Roman" w:eastAsia="Times New Roman" w:hAnsi="Times New Roman"/>
          <w:sz w:val="22"/>
          <w:szCs w:val="22"/>
        </w:rPr>
        <w:t xml:space="preserve">Arrieta, A. B., et al. (2020). Explainable Artificial Intelligence (XAI): Concepts, taxonomies, opportunities and challenges toward responsible AI. Information Fusion, 58, 82–115.</w:t>
      </w:r>
    </w:p>
    <w:p>
      <w:pPr>
        <w:spacing w:after="120" w:line="276"/>
        <w:ind w:left="720" w:hanging="720"/>
        <w:jc w:val="both"/>
      </w:pPr>
      <w:r>
        <w:rPr>
          <w:rFonts w:ascii="Times New Roman" w:cs="Times New Roman" w:eastAsia="Times New Roman" w:hAnsi="Times New Roman"/>
          <w:sz w:val="22"/>
          <w:szCs w:val="22"/>
        </w:rPr>
        <w:t xml:space="preserve">Braun, V., &amp; Clarke, V. (2019). Reflecting on reflexive thematic analysis. Qualitative Research in Sport, Exercise and Health, 11(4), 589–597.</w:t>
      </w:r>
    </w:p>
    <w:p>
      <w:pPr>
        <w:spacing w:after="120" w:line="276"/>
        <w:ind w:left="720" w:hanging="720"/>
        <w:jc w:val="both"/>
      </w:pPr>
      <w:r>
        <w:rPr>
          <w:rFonts w:ascii="Times New Roman" w:cs="Times New Roman" w:eastAsia="Times New Roman" w:hAnsi="Times New Roman"/>
          <w:sz w:val="22"/>
          <w:szCs w:val="22"/>
        </w:rPr>
        <w:t xml:space="preserve">Byrne, R. M. J. (2019). Counterfactuals in explainable artificial intelligence (XAI): Evidence from human reasoning. Proceedings of IJCAI-19, 6276–6282.</w:t>
      </w:r>
    </w:p>
    <w:p>
      <w:pPr>
        <w:spacing w:after="120" w:line="276"/>
        <w:ind w:left="720" w:hanging="720"/>
        <w:jc w:val="both"/>
      </w:pPr>
      <w:r>
        <w:rPr>
          <w:rFonts w:ascii="Times New Roman" w:cs="Times New Roman" w:eastAsia="Times New Roman" w:hAnsi="Times New Roman"/>
          <w:sz w:val="22"/>
          <w:szCs w:val="22"/>
        </w:rPr>
        <w:t xml:space="preserve">Cacioppo, J. T., &amp; Petty, R. E. (1982). The need for cognition. Journal of Personality and Social Psychology, 42(1), 116–131.</w:t>
      </w:r>
    </w:p>
    <w:p>
      <w:pPr>
        <w:spacing w:after="120" w:line="276"/>
        <w:ind w:left="720" w:hanging="720"/>
        <w:jc w:val="both"/>
      </w:pPr>
      <w:r>
        <w:rPr>
          <w:rFonts w:ascii="Times New Roman" w:cs="Times New Roman" w:eastAsia="Times New Roman" w:hAnsi="Times New Roman"/>
          <w:sz w:val="22"/>
          <w:szCs w:val="22"/>
        </w:rPr>
        <w:t xml:space="preserve">Cai, C. J., Winter, S., Steiner, D., Wilcox, L., &amp; Terry, M. (2019). "Hello AI": Uncovering the onboarding needs of medical practitioners for human-AI collaborative decision-making. Proceedings of the ACM on Human-Computer Interaction (CSCW), 3, 1–24.</w:t>
      </w:r>
    </w:p>
    <w:p>
      <w:pPr>
        <w:spacing w:after="120" w:line="276"/>
        <w:ind w:left="720" w:hanging="720"/>
        <w:jc w:val="both"/>
      </w:pPr>
      <w:r>
        <w:rPr>
          <w:rFonts w:ascii="Times New Roman" w:cs="Times New Roman" w:eastAsia="Times New Roman" w:hAnsi="Times New Roman"/>
          <w:sz w:val="22"/>
          <w:szCs w:val="22"/>
        </w:rPr>
        <w:t xml:space="preserve">Chilukala, S. R., Cherukuri, T. K., &amp; Bandameedi, S. R. (2025). AI-driven credit risk assessment: Leveraging XGBoost, deep learning, and explainability for informed loan decision-making. IEEE Access, 13, 22141–22158.</w:t>
      </w:r>
    </w:p>
    <w:p>
      <w:pPr>
        <w:spacing w:after="120" w:line="276"/>
        <w:ind w:left="720" w:hanging="720"/>
        <w:jc w:val="both"/>
      </w:pPr>
      <w:r>
        <w:rPr>
          <w:rFonts w:ascii="Times New Roman" w:cs="Times New Roman" w:eastAsia="Times New Roman" w:hAnsi="Times New Roman"/>
          <w:sz w:val="22"/>
          <w:szCs w:val="22"/>
        </w:rPr>
        <w:t xml:space="preserve">Dietvorst, B. J., Logg, J. M., &amp; Logg, J. M. (2015). Algorithm aversion: People erroneously avoid algorithms after seeing them err. Journal of Experimental Psychology: General, 144(1), 114–126.</w:t>
      </w:r>
    </w:p>
    <w:p>
      <w:pPr>
        <w:spacing w:after="120" w:line="276"/>
        <w:ind w:left="720" w:hanging="720"/>
        <w:jc w:val="both"/>
      </w:pPr>
      <w:r>
        <w:rPr>
          <w:rFonts w:ascii="Times New Roman" w:cs="Times New Roman" w:eastAsia="Times New Roman" w:hAnsi="Times New Roman"/>
          <w:sz w:val="22"/>
          <w:szCs w:val="22"/>
        </w:rPr>
        <w:t xml:space="preserve">Doshi-Velez, F., &amp; Kim, B. (2017). Towards a rigorous science of interpretable machine learning. arXiv:1702.08608.</w:t>
      </w:r>
    </w:p>
    <w:p>
      <w:pPr>
        <w:spacing w:after="120" w:line="276"/>
        <w:ind w:left="720" w:hanging="720"/>
        <w:jc w:val="both"/>
      </w:pPr>
      <w:r>
        <w:rPr>
          <w:rFonts w:ascii="Times New Roman" w:cs="Times New Roman" w:eastAsia="Times New Roman" w:hAnsi="Times New Roman"/>
          <w:sz w:val="22"/>
          <w:szCs w:val="22"/>
        </w:rPr>
        <w:t xml:space="preserve">Eubanks, V. (2018). Automating inequality: How high-tech tools profile, police, and punish the poor. St. Martin's Press.</w:t>
      </w:r>
    </w:p>
    <w:p>
      <w:pPr>
        <w:spacing w:after="120" w:line="276"/>
        <w:ind w:left="720" w:hanging="720"/>
        <w:jc w:val="both"/>
      </w:pPr>
      <w:r>
        <w:rPr>
          <w:rFonts w:ascii="Times New Roman" w:cs="Times New Roman" w:eastAsia="Times New Roman" w:hAnsi="Times New Roman"/>
          <w:sz w:val="22"/>
          <w:szCs w:val="22"/>
        </w:rPr>
        <w:t xml:space="preserve">European Union. (2024). Regulation (EU) 2024/1689 on artificial intelligence (the Artificial Intelligence Act). Official Journal of the European Union.</w:t>
      </w:r>
    </w:p>
    <w:p>
      <w:pPr>
        <w:spacing w:after="120" w:line="276"/>
        <w:ind w:left="720" w:hanging="720"/>
        <w:jc w:val="both"/>
      </w:pPr>
      <w:r>
        <w:rPr>
          <w:rFonts w:ascii="Times New Roman" w:cs="Times New Roman" w:eastAsia="Times New Roman" w:hAnsi="Times New Roman"/>
          <w:sz w:val="22"/>
          <w:szCs w:val="22"/>
        </w:rPr>
        <w:t xml:space="preserve">Financial Conduct Authority. (2023). Consumer Duty: Final guidance. FCA Policy Statement PS22/9.</w:t>
      </w:r>
    </w:p>
    <w:p>
      <w:pPr>
        <w:spacing w:after="120" w:line="276"/>
        <w:ind w:left="720" w:hanging="720"/>
        <w:jc w:val="both"/>
      </w:pPr>
      <w:r>
        <w:rPr>
          <w:rFonts w:ascii="Times New Roman" w:cs="Times New Roman" w:eastAsia="Times New Roman" w:hAnsi="Times New Roman"/>
          <w:sz w:val="22"/>
          <w:szCs w:val="22"/>
        </w:rPr>
        <w:t xml:space="preserve">Fleming, S. M., &amp; Dolan, R. J. (2012). The neural basis of metacognitive ability. Philosophical Transactions of the Royal Society B, 367, 1338–1349.</w:t>
      </w:r>
    </w:p>
    <w:p>
      <w:pPr>
        <w:spacing w:after="120" w:line="276"/>
        <w:ind w:left="720" w:hanging="720"/>
        <w:jc w:val="both"/>
      </w:pPr>
      <w:r>
        <w:rPr>
          <w:rFonts w:ascii="Times New Roman" w:cs="Times New Roman" w:eastAsia="Times New Roman" w:hAnsi="Times New Roman"/>
          <w:sz w:val="22"/>
          <w:szCs w:val="22"/>
        </w:rPr>
        <w:t xml:space="preserve">Hoff, K. A., &amp; Bashir, M. (2015). Trust in automation: Integrating empirical evidence on factors that influence trust. Human Factors, 57(3), 407–434.</w:t>
      </w:r>
    </w:p>
    <w:p>
      <w:pPr>
        <w:spacing w:after="120" w:line="276"/>
        <w:ind w:left="720" w:hanging="720"/>
        <w:jc w:val="both"/>
      </w:pPr>
      <w:r>
        <w:rPr>
          <w:rFonts w:ascii="Times New Roman" w:cs="Times New Roman" w:eastAsia="Times New Roman" w:hAnsi="Times New Roman"/>
          <w:sz w:val="22"/>
          <w:szCs w:val="22"/>
        </w:rPr>
        <w:t xml:space="preserve">Jian, J. Y., Bisantz, A. M., &amp; Drury, C. G. (2000). Foundations for an empirically determined scale of trust in automated systems. International Journal of Cognitive Ergonomics, 4(1), 53–71.</w:t>
      </w:r>
    </w:p>
    <w:p>
      <w:pPr>
        <w:spacing w:after="120" w:line="276"/>
        <w:ind w:left="720" w:hanging="720"/>
        <w:jc w:val="both"/>
      </w:pPr>
      <w:r>
        <w:rPr>
          <w:rFonts w:ascii="Times New Roman" w:cs="Times New Roman" w:eastAsia="Times New Roman" w:hAnsi="Times New Roman"/>
          <w:sz w:val="22"/>
          <w:szCs w:val="22"/>
        </w:rPr>
        <w:t xml:space="preserve">Kahneman, D. (2011). Thinking, fast and slow. Farrar, Straus and Giroux.</w:t>
      </w:r>
    </w:p>
    <w:p>
      <w:pPr>
        <w:spacing w:after="120" w:line="276"/>
        <w:ind w:left="720" w:hanging="720"/>
        <w:jc w:val="both"/>
      </w:pPr>
      <w:r>
        <w:rPr>
          <w:rFonts w:ascii="Times New Roman" w:cs="Times New Roman" w:eastAsia="Times New Roman" w:hAnsi="Times New Roman"/>
          <w:sz w:val="22"/>
          <w:szCs w:val="22"/>
        </w:rPr>
        <w:t xml:space="preserve">Karmakar, D., &amp; Shazzad, K. M. (2026). Explainable AI-based credit scoring for transparent financial decision-making. IEEE Transactions on Neural Networks and Learning Systems, 37(2), 841–855.</w:t>
      </w:r>
    </w:p>
    <w:p>
      <w:pPr>
        <w:spacing w:after="120" w:line="276"/>
        <w:ind w:left="720" w:hanging="720"/>
        <w:jc w:val="both"/>
      </w:pPr>
      <w:r>
        <w:rPr>
          <w:rFonts w:ascii="Times New Roman" w:cs="Times New Roman" w:eastAsia="Times New Roman" w:hAnsi="Times New Roman"/>
          <w:sz w:val="22"/>
          <w:szCs w:val="22"/>
        </w:rPr>
        <w:t xml:space="preserve">Keerthana, P., Malathi, S., &amp; Kanmani, S. (2025). Deep learning-based credit risk assessment with explainability for microfinance applications. IEEE Access, 13, 45122–45139.</w:t>
      </w:r>
    </w:p>
    <w:p>
      <w:pPr>
        <w:spacing w:after="120" w:line="276"/>
        <w:ind w:left="720" w:hanging="720"/>
        <w:jc w:val="both"/>
      </w:pPr>
      <w:r>
        <w:rPr>
          <w:rFonts w:ascii="Times New Roman" w:cs="Times New Roman" w:eastAsia="Times New Roman" w:hAnsi="Times New Roman"/>
          <w:sz w:val="22"/>
          <w:szCs w:val="22"/>
        </w:rPr>
        <w:t xml:space="preserve">Kern, C., Bhatt, U., &amp; Wachter, S. (2026). Trustworthy credit scoring: Empirical evidence from algorithmic explanations. Journal of Machine Learning Research, 27(3), 1–38.</w:t>
      </w:r>
    </w:p>
    <w:p>
      <w:pPr>
        <w:spacing w:after="120" w:line="276"/>
        <w:ind w:left="720" w:hanging="720"/>
        <w:jc w:val="both"/>
      </w:pPr>
      <w:r>
        <w:rPr>
          <w:rFonts w:ascii="Times New Roman" w:cs="Times New Roman" w:eastAsia="Times New Roman" w:hAnsi="Times New Roman"/>
          <w:sz w:val="22"/>
          <w:szCs w:val="22"/>
        </w:rPr>
        <w:t xml:space="preserve">Kotrachai, P., &amp; Songmuang, P. (2023). Credit scoring with machine learning and explainable AI for Thai cooperative banks. IEEE Access, 11, 89234–89249.</w:t>
      </w:r>
    </w:p>
    <w:p>
      <w:pPr>
        <w:spacing w:after="120" w:line="276"/>
        <w:ind w:left="720" w:hanging="720"/>
        <w:jc w:val="both"/>
      </w:pPr>
      <w:r>
        <w:rPr>
          <w:rFonts w:ascii="Times New Roman" w:cs="Times New Roman" w:eastAsia="Times New Roman" w:hAnsi="Times New Roman"/>
          <w:sz w:val="22"/>
          <w:szCs w:val="22"/>
        </w:rPr>
        <w:t xml:space="preserve">Kumbhar, P., Patil, S., &amp; Shinde, M. (2024). Fairness-aware credit risk prediction using ensemble learning and SHAP. IEEE Transactions on Emerging Topics in Computing, 12(1), 234–248.</w:t>
      </w:r>
    </w:p>
    <w:p>
      <w:pPr>
        <w:spacing w:after="120" w:line="276"/>
        <w:ind w:left="720" w:hanging="720"/>
        <w:jc w:val="both"/>
      </w:pPr>
      <w:r>
        <w:rPr>
          <w:rFonts w:ascii="Times New Roman" w:cs="Times New Roman" w:eastAsia="Times New Roman" w:hAnsi="Times New Roman"/>
          <w:sz w:val="22"/>
          <w:szCs w:val="22"/>
        </w:rPr>
        <w:t xml:space="preserve">Lage, I., Chen, E., He, J., Narayanan, M., Kim, B., Gershman, S. J., &amp; Doshi-Velez, F. (2019). An evaluation of the human-interpretability of explanation. arXiv:1902.00006.</w:t>
      </w:r>
    </w:p>
    <w:p>
      <w:pPr>
        <w:spacing w:after="120" w:line="276"/>
        <w:ind w:left="720" w:hanging="720"/>
        <w:jc w:val="both"/>
      </w:pPr>
      <w:r>
        <w:rPr>
          <w:rFonts w:ascii="Times New Roman" w:cs="Times New Roman" w:eastAsia="Times New Roman" w:hAnsi="Times New Roman"/>
          <w:sz w:val="22"/>
          <w:szCs w:val="22"/>
        </w:rPr>
        <w:t xml:space="preserve">Lee, J. D., &amp; See, K. A. (2004). Trust in automation: Designing for appropriate reliance. Human Factors, 46(1), 50–80.</w:t>
      </w:r>
    </w:p>
    <w:p>
      <w:pPr>
        <w:spacing w:after="120" w:line="276"/>
        <w:ind w:left="720" w:hanging="720"/>
        <w:jc w:val="both"/>
      </w:pPr>
      <w:r>
        <w:rPr>
          <w:rFonts w:ascii="Times New Roman" w:cs="Times New Roman" w:eastAsia="Times New Roman" w:hAnsi="Times New Roman"/>
          <w:sz w:val="22"/>
          <w:szCs w:val="22"/>
        </w:rPr>
        <w:t xml:space="preserve">Lee, M. T. (2018). Perceived fairness in algorithmic decision-making. Computers in Human Behavior, 80, 219–228.</w:t>
      </w:r>
    </w:p>
    <w:p>
      <w:pPr>
        <w:spacing w:after="120" w:line="276"/>
        <w:ind w:left="720" w:hanging="720"/>
        <w:jc w:val="both"/>
      </w:pPr>
      <w:r>
        <w:rPr>
          <w:rFonts w:ascii="Times New Roman" w:cs="Times New Roman" w:eastAsia="Times New Roman" w:hAnsi="Times New Roman"/>
          <w:sz w:val="22"/>
          <w:szCs w:val="22"/>
        </w:rPr>
        <w:t xml:space="preserve">Logg, J. M., Minson, J. A., &amp; Moore, D. A. (2019). Algorithm appreciation: People prefer algorithmic to human judgment. Organizational Behavior and Human Decision Processes, 151, 90–103.</w:t>
      </w:r>
    </w:p>
    <w:p>
      <w:pPr>
        <w:spacing w:after="120" w:line="276"/>
        <w:ind w:left="720" w:hanging="720"/>
        <w:jc w:val="both"/>
      </w:pPr>
      <w:r>
        <w:rPr>
          <w:rFonts w:ascii="Times New Roman" w:cs="Times New Roman" w:eastAsia="Times New Roman" w:hAnsi="Times New Roman"/>
          <w:sz w:val="22"/>
          <w:szCs w:val="22"/>
        </w:rPr>
        <w:t xml:space="preserve">Lusardi, A., &amp; Mitchell, O. S. (2011). Financial literacy around the world: An overview. Journal of Pension Economics and Finance, 10(4), 497–508.</w:t>
      </w:r>
    </w:p>
    <w:p>
      <w:pPr>
        <w:spacing w:after="120" w:line="276"/>
        <w:ind w:left="720" w:hanging="720"/>
        <w:jc w:val="both"/>
      </w:pPr>
      <w:r>
        <w:rPr>
          <w:rFonts w:ascii="Times New Roman" w:cs="Times New Roman" w:eastAsia="Times New Roman" w:hAnsi="Times New Roman"/>
          <w:sz w:val="22"/>
          <w:szCs w:val="22"/>
        </w:rPr>
        <w:t xml:space="preserve">Madumal, P., Miller, T., Sonenberg, L., &amp; Vetere, F. (2020). Explainable reinforcement learning through a causal lens. Proceedings of AAAI 2020, 34, 2493–2500.</w:t>
      </w:r>
    </w:p>
    <w:p>
      <w:pPr>
        <w:spacing w:after="120" w:line="276"/>
        <w:ind w:left="720" w:hanging="720"/>
        <w:jc w:val="both"/>
      </w:pPr>
      <w:r>
        <w:rPr>
          <w:rFonts w:ascii="Times New Roman" w:cs="Times New Roman" w:eastAsia="Times New Roman" w:hAnsi="Times New Roman"/>
          <w:sz w:val="22"/>
          <w:szCs w:val="22"/>
        </w:rPr>
        <w:t xml:space="preserve">Mayer, R. C., Davis, J. H., &amp; Schoorman, F. D. (1995). An integrative model of organizational trust. Academy of Management Review, 20(3), 709–734.</w:t>
      </w:r>
    </w:p>
    <w:p>
      <w:pPr>
        <w:spacing w:after="120" w:line="276"/>
        <w:ind w:left="720" w:hanging="720"/>
        <w:jc w:val="both"/>
      </w:pPr>
      <w:r>
        <w:rPr>
          <w:rFonts w:ascii="Times New Roman" w:cs="Times New Roman" w:eastAsia="Times New Roman" w:hAnsi="Times New Roman"/>
          <w:sz w:val="22"/>
          <w:szCs w:val="22"/>
        </w:rPr>
        <w:t xml:space="preserve">Molnar, C. (2022). Interpretable machine learning (2nd ed.). Lean Publishing.</w:t>
      </w:r>
    </w:p>
    <w:p>
      <w:pPr>
        <w:spacing w:after="120" w:line="276"/>
        <w:ind w:left="720" w:hanging="720"/>
        <w:jc w:val="both"/>
      </w:pPr>
      <w:r>
        <w:rPr>
          <w:rFonts w:ascii="Times New Roman" w:cs="Times New Roman" w:eastAsia="Times New Roman" w:hAnsi="Times New Roman"/>
          <w:sz w:val="22"/>
          <w:szCs w:val="22"/>
        </w:rPr>
        <w:t xml:space="preserve">Mukherjee, S., Gupta, R., &amp; Mondal, S. (2025). Attention-based deep learning for credit default prediction with counterfactual explainability. IEEE Transactions on Computational Social Systems, 12(1), 112–127.</w:t>
      </w:r>
    </w:p>
    <w:p>
      <w:pPr>
        <w:spacing w:after="120" w:line="276"/>
        <w:ind w:left="720" w:hanging="720"/>
        <w:jc w:val="both"/>
      </w:pPr>
      <w:r>
        <w:rPr>
          <w:rFonts w:ascii="Times New Roman" w:cs="Times New Roman" w:eastAsia="Times New Roman" w:hAnsi="Times New Roman"/>
          <w:sz w:val="22"/>
          <w:szCs w:val="22"/>
        </w:rPr>
        <w:t xml:space="preserve">Mushtaq, A. (2026). Interpretable machine learning for financial risk management. IEEE Access, 14, 11023–11041.</w:t>
      </w:r>
    </w:p>
    <w:p>
      <w:pPr>
        <w:spacing w:after="120" w:line="276"/>
        <w:ind w:left="720" w:hanging="720"/>
        <w:jc w:val="both"/>
      </w:pPr>
      <w:r>
        <w:rPr>
          <w:rFonts w:ascii="Times New Roman" w:cs="Times New Roman" w:eastAsia="Times New Roman" w:hAnsi="Times New Roman"/>
          <w:sz w:val="22"/>
          <w:szCs w:val="22"/>
        </w:rPr>
        <w:t xml:space="preserve">Parasuraman, R., &amp; Riley, V. (1997). Humans and automation: Use, misuse, disuse, abuse. Human Factors, 39(2), 230–253.</w:t>
      </w:r>
    </w:p>
    <w:p>
      <w:pPr>
        <w:spacing w:after="120" w:line="276"/>
        <w:ind w:left="720" w:hanging="720"/>
        <w:jc w:val="both"/>
      </w:pPr>
      <w:r>
        <w:rPr>
          <w:rFonts w:ascii="Times New Roman" w:cs="Times New Roman" w:eastAsia="Times New Roman" w:hAnsi="Times New Roman"/>
          <w:sz w:val="22"/>
          <w:szCs w:val="22"/>
        </w:rPr>
        <w:t xml:space="preserve">Pasquale, F. (2015). The black box society. Harvard University Press.</w:t>
      </w:r>
    </w:p>
    <w:p>
      <w:pPr>
        <w:spacing w:after="120" w:line="276"/>
        <w:ind w:left="720" w:hanging="720"/>
        <w:jc w:val="both"/>
      </w:pPr>
      <w:r>
        <w:rPr>
          <w:rFonts w:ascii="Times New Roman" w:cs="Times New Roman" w:eastAsia="Times New Roman" w:hAnsi="Times New Roman"/>
          <w:sz w:val="22"/>
          <w:szCs w:val="22"/>
        </w:rPr>
        <w:t xml:space="preserve">Richardson, J. T. E. (2011). Eta squared and partial eta squared as measures of effect size. Educational Research Review, 6(2), 135–147.</w:t>
      </w:r>
    </w:p>
    <w:p>
      <w:pPr>
        <w:spacing w:after="120" w:line="276"/>
        <w:ind w:left="720" w:hanging="720"/>
        <w:jc w:val="both"/>
      </w:pPr>
      <w:r>
        <w:rPr>
          <w:rFonts w:ascii="Times New Roman" w:cs="Times New Roman" w:eastAsia="Times New Roman" w:hAnsi="Times New Roman"/>
          <w:sz w:val="22"/>
          <w:szCs w:val="22"/>
        </w:rPr>
        <w:t xml:space="preserve">Sharma, D., &amp; Logeshwaran, J. (2024). Federated learning for privacy-preserving credit risk assessment with explainable AI. IEEE Transactions on Information Forensics and Security, 19, 3421–3435.</w:t>
      </w:r>
    </w:p>
    <w:p>
      <w:pPr>
        <w:spacing w:after="120" w:line="276"/>
        <w:ind w:left="720" w:hanging="720"/>
        <w:jc w:val="both"/>
      </w:pPr>
      <w:r>
        <w:rPr>
          <w:rFonts w:ascii="Times New Roman" w:cs="Times New Roman" w:eastAsia="Times New Roman" w:hAnsi="Times New Roman"/>
          <w:sz w:val="22"/>
          <w:szCs w:val="22"/>
        </w:rPr>
        <w:t xml:space="preserve">Simmons, J. P., Nelson, L. D., &amp; Simonsohn, U. (2011). False-positive psychology. Psychological Science, 22(11), 1359–1366.</w:t>
      </w:r>
    </w:p>
    <w:p>
      <w:pPr>
        <w:spacing w:after="120" w:line="276"/>
        <w:ind w:left="720" w:hanging="720"/>
        <w:jc w:val="both"/>
      </w:pPr>
      <w:r>
        <w:rPr>
          <w:rFonts w:ascii="Times New Roman" w:cs="Times New Roman" w:eastAsia="Times New Roman" w:hAnsi="Times New Roman"/>
          <w:sz w:val="22"/>
          <w:szCs w:val="22"/>
        </w:rPr>
        <w:t xml:space="preserve">Singla, A., Kumar, R., &amp; Bansal, A. (2025). The impact of AI explanation formats on user trust in credit approval systems. IEEE Transactions on Human-Machine Systems, 55(1), 78–91.</w:t>
      </w:r>
    </w:p>
    <w:p>
      <w:pPr>
        <w:spacing w:after="120" w:line="276"/>
        <w:ind w:left="720" w:hanging="720"/>
        <w:jc w:val="both"/>
      </w:pPr>
      <w:r>
        <w:rPr>
          <w:rFonts w:ascii="Times New Roman" w:cs="Times New Roman" w:eastAsia="Times New Roman" w:hAnsi="Times New Roman"/>
          <w:sz w:val="22"/>
          <w:szCs w:val="22"/>
        </w:rPr>
        <w:t xml:space="preserve">Thibaut, J. W., &amp; Walker, L. (1975). Procedural justice: A psychological analysis. Lawrence Erlbaum.</w:t>
      </w:r>
    </w:p>
    <w:p>
      <w:pPr>
        <w:spacing w:after="120" w:line="276"/>
        <w:ind w:left="720" w:hanging="720"/>
        <w:jc w:val="both"/>
      </w:pPr>
      <w:r>
        <w:rPr>
          <w:rFonts w:ascii="Times New Roman" w:cs="Times New Roman" w:eastAsia="Times New Roman" w:hAnsi="Times New Roman"/>
          <w:sz w:val="22"/>
          <w:szCs w:val="22"/>
        </w:rPr>
        <w:t xml:space="preserve">Venkatesh, V., Morris, M. G., Davis, G. B., &amp; Davis, F. D. (2003). User acceptance of information technology: Toward a unified view. MIS Quarterly, 27(3), 425–478.</w:t>
      </w:r>
    </w:p>
    <w:p>
      <w:pPr>
        <w:spacing w:after="120" w:line="276"/>
        <w:ind w:left="720" w:hanging="720"/>
        <w:jc w:val="both"/>
      </w:pPr>
      <w:r>
        <w:rPr>
          <w:rFonts w:ascii="Times New Roman" w:cs="Times New Roman" w:eastAsia="Times New Roman" w:hAnsi="Times New Roman"/>
          <w:sz w:val="22"/>
          <w:szCs w:val="22"/>
        </w:rPr>
        <w:t xml:space="preserve">Vij, P., Jain, R., &amp; Malhotra, A. (2025). Explainable AI for fintech: LIME and SHAP for credit scoring. IEEE Access, 13, 8891–8904.</w:t>
      </w:r>
    </w:p>
    <w:p>
      <w:pPr>
        <w:spacing w:after="120" w:line="276"/>
        <w:ind w:left="720" w:hanging="720"/>
        <w:jc w:val="both"/>
      </w:pPr>
      <w:r>
        <w:rPr>
          <w:rFonts w:ascii="Times New Roman" w:cs="Times New Roman" w:eastAsia="Times New Roman" w:hAnsi="Times New Roman"/>
          <w:sz w:val="22"/>
          <w:szCs w:val="22"/>
        </w:rPr>
        <w:t xml:space="preserve">Wachter, S., Mittelstadt, B., &amp; Russell, C. (2017). Counterfactual explanations without opening the black box. Harvard Journal of Law &amp; Technology, 31(2), 841–887.</w:t>
      </w:r>
    </w:p>
    <w:p>
      <w:pPr>
        <w:spacing w:after="120" w:line="276"/>
        <w:ind w:left="720" w:hanging="720"/>
        <w:jc w:val="both"/>
      </w:pPr>
      <w:r>
        <w:rPr>
          <w:rFonts w:ascii="Times New Roman" w:cs="Times New Roman" w:eastAsia="Times New Roman" w:hAnsi="Times New Roman"/>
          <w:sz w:val="22"/>
          <w:szCs w:val="22"/>
        </w:rPr>
        <w:t xml:space="preserve">Zimmerman, J., Forlizzi, J., &amp; Evenson, S. (2007). Research through design as a method for interaction design research in HCI. Proceedings of ACM CHI 2007, 493–502.</w:t>
      </w:r>
    </w:p>
    <w:sectPr>
      <w:headerReference w:type="default" r:id="rId7"/>
      <w:footerReference w:type="default" r:id="rId8"/>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1"/>
      </w:pBdr>
      <w:tabs>
        <w:tab w:val="right" w:pos="9026"/>
      </w:tabs>
      <w:spacing w:before="60"/>
    </w:pPr>
    <w:r>
      <w:rPr>
        <w:rFonts w:ascii="Times New Roman" w:cs="Times New Roman" w:eastAsia="Times New Roman" w:hAnsi="Times New Roman"/>
        <w:color w:val="888888"/>
        <w:sz w:val="18"/>
        <w:szCs w:val="18"/>
      </w:rPr>
      <w:t xml:space="preserve">UCA Farnham | MSc HCI | September 2026</w:t>
    </w:r>
    <w:r>
      <w:rPr>
        <w:rFonts w:ascii="Times New Roman" w:cs="Times New Roman" w:eastAsia="Times New Roman" w:hAnsi="Times New Roman"/>
        <w:sz w:val="18"/>
        <w:szCs w:val="18"/>
      </w:rPr>
      <w:t xml:space="preserve">	</w:t>
    </w:r>
    <w:r>
      <w:rPr>
        <w:rFonts w:ascii="Times New Roman" w:cs="Times New Roman" w:eastAsia="Times New Roman" w:hAnsi="Times New Roman"/>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1"/>
      </w:pBdr>
      <w:tabs>
        <w:tab w:val="right" w:pos="9026"/>
      </w:tabs>
      <w:spacing w:after="80"/>
    </w:pPr>
    <w:r>
      <w:rPr>
        <w:rFonts w:ascii="Times New Roman" w:cs="Times New Roman" w:eastAsia="Times New Roman" w:hAnsi="Times New Roman"/>
        <w:i/>
        <w:iCs/>
        <w:color w:val="666666"/>
        <w:sz w:val="18"/>
        <w:szCs w:val="18"/>
      </w:rPr>
      <w:t xml:space="preserve">Trust Calibration in Human-AI Financial Decisions</w:t>
    </w:r>
    <w:r>
      <w:rPr>
        <w:rFonts w:ascii="Times New Roman" w:cs="Times New Roman" w:eastAsia="Times New Roman" w:hAnsi="Times New Roman"/>
        <w:color w:val="888888"/>
        <w:sz w:val="18"/>
        <w:szCs w:val="18"/>
      </w:rPr>
      <w:t xml:space="preserve">	FGCT7024 FMP | Abdulla Al Noman | 2512710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Times New Roman" w:cs="Times New Roman" w:eastAsia="Times New Roman" w:hAnsi="Times New Roman"/>
      <w:b/>
      <w:bCs/>
      <w:color w:val="1A1A1A"/>
      <w:sz w:val="26"/>
      <w:szCs w:val="26"/>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color w:val="1A1A1A"/>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2026-08-29T04:24:06.699Z</dcterms:created>
  <dcterms:modified xsi:type="dcterms:W3CDTF">2026-08-29T04:24:06.713Z</dcterms:modified>
</cp:coreProperties>
</file>

<file path=docProps/custom.xml><?xml version="1.0" encoding="utf-8"?>
<Properties xmlns="http://schemas.openxmlformats.org/officeDocument/2006/custom-properties" xmlns:vt="http://schemas.openxmlformats.org/officeDocument/2006/docPropsVTypes"/>
</file>