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color w:val="1F4E79"/>
          <w:sz w:val="28"/>
          <w:szCs w:val="28"/>
        </w:rPr>
        <w:t xml:space="preserve">Final Major Project Proposal</w:t>
      </w:r>
    </w:p>
    <w:p>
      <w:pPr>
        <w:pStyle w:val="Heading2"/>
        <w:spacing w:after="120" w:before="260"/>
      </w:pPr>
      <w:r>
        <w:rPr>
          <w:rFonts w:ascii="Arial" w:cs="Arial" w:eastAsia="Arial" w:hAnsi="Arial"/>
          <w:b/>
          <w:bCs/>
          <w:color w:val="2E74B5"/>
          <w:sz w:val="24"/>
          <w:szCs w:val="24"/>
        </w:rPr>
        <w:t xml:space="preserve">MSc Human–Computer Interaction</w:t>
      </w:r>
    </w:p>
    <w:p>
      <w:pPr>
        <w:pStyle w:val="Heading3"/>
        <w:spacing w:after="80" w:before="200"/>
      </w:pPr>
      <w:r>
        <w:rPr>
          <w:rFonts w:ascii="Arial" w:cs="Arial" w:eastAsia="Arial" w:hAnsi="Arial"/>
          <w:b/>
          <w:bCs/>
          <w:color w:val="404040"/>
          <w:sz w:val="22"/>
          <w:szCs w:val="22"/>
        </w:rPr>
        <w:t xml:space="preserve">FGCT7024 – Final Major Project</w:t>
      </w:r>
    </w:p>
    <w:p>
      <w:pPr>
        <w:spacing w:after="80"/>
      </w:pPr>
      <w:r>
        <w:t xml:space="preserve"/>
      </w:r>
    </w:p>
    <w:p>
      <w:pPr>
        <w:spacing w:after="200"/>
      </w:pPr>
      <w:r>
        <w:rPr>
          <w:rFonts w:ascii="Arial" w:cs="Arial" w:eastAsia="Arial" w:hAnsi="Arial"/>
          <w:b/>
          <w:bCs/>
          <w:color w:val="1F4E79"/>
          <w:sz w:val="24"/>
          <w:szCs w:val="24"/>
        </w:rPr>
        <w:t xml:space="preserve">Modeling Trust Calibration in Human-AI Financial Decision Systems: </w:t>
      </w:r>
      <w:r>
        <w:rPr>
          <w:rFonts w:ascii="Arial" w:cs="Arial" w:eastAsia="Arial" w:hAnsi="Arial"/>
          <w:color w:val="404040"/>
          <w:sz w:val="24"/>
          <w:szCs w:val="24"/>
        </w:rPr>
        <w:t xml:space="preserve">A Behavioral and Interactional Perspective</w:t>
      </w:r>
    </w:p>
    <w:p>
      <w:pPr>
        <w:pStyle w:val="Heading1"/>
        <w:spacing w:after="160" w:before="320"/>
      </w:pPr>
      <w:r>
        <w:rPr>
          <w:rFonts w:ascii="Arial" w:cs="Arial" w:eastAsia="Arial" w:hAnsi="Arial"/>
          <w:b/>
          <w:bCs/>
          <w:color w:val="1F4E79"/>
          <w:sz w:val="28"/>
          <w:szCs w:val="28"/>
        </w:rPr>
        <w:t xml:space="preserve">Submission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26"/>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Student Name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Abdulla Al Noman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Student ID</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2512710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Programme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MSc Human-Computer Interaction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Module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FGCT7024 – Final Major Project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Module Lead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Roderick Morgan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Formative Deadline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Friday 12th June 2026 – 16:00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Final Submission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Tuesday 8th September 2026 – 16:00 (via myUCA)</w:t>
            </w:r>
          </w:p>
        </w:tc>
      </w:tr>
    </w:tbl>
    <w:p>
      <w:pPr>
        <w:spacing w:after="80"/>
      </w:pPr>
      <w:r>
        <w:t xml:space="preserve"/>
      </w:r>
    </w:p>
    <w:p>
      <w:pPr>
        <w:pStyle w:val="Heading1"/>
        <w:spacing w:after="160" w:before="320"/>
      </w:pPr>
      <w:r>
        <w:rPr>
          <w:rFonts w:ascii="Arial" w:cs="Arial" w:eastAsia="Arial" w:hAnsi="Arial"/>
          <w:b/>
          <w:bCs/>
          <w:color w:val="1F4E79"/>
          <w:sz w:val="28"/>
          <w:szCs w:val="28"/>
        </w:rPr>
        <w:t xml:space="preserve">Purpose of this Proposal</w:t>
      </w:r>
    </w:p>
    <w:p>
      <w:pPr>
        <w:spacing w:after="160" w:line="276"/>
        <w:jc w:val="both"/>
      </w:pPr>
      <w:r>
        <w:rPr>
          <w:rFonts w:ascii="Arial" w:cs="Arial" w:eastAsia="Arial" w:hAnsi="Arial"/>
          <w:sz w:val="22"/>
          <w:szCs w:val="22"/>
        </w:rPr>
        <w:t xml:space="preserve">This proposal demonstrates how the Final Major Project integrates the six dimensions identified in the FGCT7024 brief:</w:t>
      </w:r>
    </w:p>
    <w:p>
      <w:pPr>
        <w:pStyle w:val="ListParagraph"/>
        <w:numPr>
          <w:ilvl w:val="0"/>
          <w:numId w:val="2"/>
        </w:numPr>
        <w:spacing w:after="100"/>
        <w:jc w:val="both"/>
      </w:pPr>
      <w:r>
        <w:rPr>
          <w:rFonts w:ascii="Arial" w:cs="Arial" w:eastAsia="Arial" w:hAnsi="Arial"/>
          <w:sz w:val="22"/>
          <w:szCs w:val="22"/>
        </w:rPr>
        <w:t xml:space="preserve">Research and critical enquiry: the project conducts an original empirical investigation of trust calibration in human-AI financial decisions, grounded in a systematic review of the automation trust, XAI, and behavioural HCI literature.</w:t>
      </w:r>
    </w:p>
    <w:p>
      <w:pPr>
        <w:pStyle w:val="ListParagraph"/>
        <w:numPr>
          <w:ilvl w:val="0"/>
          <w:numId w:val="2"/>
        </w:numPr>
        <w:spacing w:after="100"/>
        <w:jc w:val="both"/>
      </w:pPr>
      <w:r>
        <w:rPr>
          <w:rFonts w:ascii="Arial" w:cs="Arial" w:eastAsia="Arial" w:hAnsi="Arial"/>
          <w:sz w:val="22"/>
          <w:szCs w:val="22"/>
        </w:rPr>
        <w:t xml:space="preserve">HCI theory and methodology: the study is theoretically framed by Lee and See’s (2004) trust calibration model, Parasuraman and Riley’s (1997) automation misuse taxonomy, and Kahneman’s (2011) dual-process theory, and uses a controlled between-subjects experiment as its primary HCI method.</w:t>
      </w:r>
    </w:p>
    <w:p>
      <w:pPr>
        <w:pStyle w:val="ListParagraph"/>
        <w:numPr>
          <w:ilvl w:val="0"/>
          <w:numId w:val="2"/>
        </w:numPr>
        <w:spacing w:after="100"/>
        <w:jc w:val="both"/>
      </w:pPr>
      <w:r>
        <w:rPr>
          <w:rFonts w:ascii="Arial" w:cs="Arial" w:eastAsia="Arial" w:hAnsi="Arial"/>
          <w:sz w:val="22"/>
          <w:szCs w:val="22"/>
        </w:rPr>
        <w:t xml:space="preserve">Technical and creative development: a purpose-built web-based experimental stimulus is developed in React as the research instrument through which the behavioural study is conducted.</w:t>
      </w:r>
    </w:p>
    <w:p>
      <w:pPr>
        <w:pStyle w:val="ListParagraph"/>
        <w:numPr>
          <w:ilvl w:val="0"/>
          <w:numId w:val="2"/>
        </w:numPr>
        <w:spacing w:after="100"/>
        <w:jc w:val="both"/>
      </w:pPr>
      <w:r>
        <w:rPr>
          <w:rFonts w:ascii="Arial" w:cs="Arial" w:eastAsia="Arial" w:hAnsi="Arial"/>
          <w:sz w:val="22"/>
          <w:szCs w:val="22"/>
        </w:rPr>
        <w:t xml:space="preserve">User, stakeholder, and audience consideration: the study recruits 30–45 adults from varied financial literacy backgrounds; findings are directed at HCI researchers, fintech product teams, and UK/EU regulators.</w:t>
      </w:r>
    </w:p>
    <w:p>
      <w:pPr>
        <w:pStyle w:val="ListParagraph"/>
        <w:numPr>
          <w:ilvl w:val="0"/>
          <w:numId w:val="2"/>
        </w:numPr>
        <w:spacing w:after="100"/>
        <w:jc w:val="both"/>
      </w:pPr>
      <w:r>
        <w:rPr>
          <w:rFonts w:ascii="Arial" w:cs="Arial" w:eastAsia="Arial" w:hAnsi="Arial"/>
          <w:sz w:val="22"/>
          <w:szCs w:val="22"/>
        </w:rPr>
        <w:t xml:space="preserve">Professional and contextual awareness: the project responds directly to the EU AI Act (2024) and UK FCA Consumer Duty (2023), and connects to professional practice as Head of Design and Business Development at Shothik AI.</w:t>
      </w:r>
    </w:p>
    <w:p>
      <w:pPr>
        <w:pStyle w:val="ListParagraph"/>
        <w:numPr>
          <w:ilvl w:val="0"/>
          <w:numId w:val="2"/>
        </w:numPr>
        <w:spacing w:after="100"/>
        <w:jc w:val="both"/>
      </w:pPr>
      <w:r>
        <w:rPr>
          <w:rFonts w:ascii="Arial" w:cs="Arial" w:eastAsia="Arial" w:hAnsi="Arial"/>
          <w:sz w:val="22"/>
          <w:szCs w:val="22"/>
        </w:rPr>
        <w:t xml:space="preserve">Reflection on feasibility, scope, and delivery: the proposal defines minimum viable study thresholds, identifies the area of greatest methodological uncertainty, and maps all work against a six-phase timeline with defined milestones and definitions of done.</w:t>
      </w:r>
    </w:p>
    <w:p>
      <w:pPr>
        <w:spacing w:after="80"/>
      </w:pPr>
      <w:r>
        <w:t xml:space="preserve"/>
      </w:r>
    </w:p>
    <w:p>
      <w:pPr>
        <w:pStyle w:val="Heading1"/>
        <w:spacing w:after="160" w:before="320"/>
      </w:pPr>
      <w:r>
        <w:rPr>
          <w:rFonts w:ascii="Arial" w:cs="Arial" w:eastAsia="Arial" w:hAnsi="Arial"/>
          <w:b/>
          <w:bCs/>
          <w:color w:val="1F4E79"/>
          <w:sz w:val="28"/>
          <w:szCs w:val="28"/>
        </w:rPr>
        <w:t xml:space="preserve">Contents</w:t>
      </w:r>
    </w:p>
    <w:p>
      <w:pPr>
        <w:pStyle w:val="ListParagraph"/>
        <w:numPr>
          <w:ilvl w:val="0"/>
          <w:numId w:val="2"/>
        </w:numPr>
        <w:spacing w:after="100"/>
        <w:jc w:val="both"/>
      </w:pPr>
      <w:r>
        <w:rPr>
          <w:rFonts w:ascii="Arial" w:cs="Arial" w:eastAsia="Arial" w:hAnsi="Arial"/>
          <w:sz w:val="22"/>
          <w:szCs w:val="22"/>
        </w:rPr>
        <w:t xml:space="preserve">1. Project Proposal</w:t>
      </w:r>
    </w:p>
    <w:p>
      <w:pPr>
        <w:pStyle w:val="ListParagraph"/>
        <w:numPr>
          <w:ilvl w:val="0"/>
          <w:numId w:val="2"/>
        </w:numPr>
        <w:spacing w:after="100"/>
        <w:jc w:val="both"/>
      </w:pPr>
      <w:r>
        <w:rPr>
          <w:rFonts w:ascii="Arial" w:cs="Arial" w:eastAsia="Arial" w:hAnsi="Arial"/>
          <w:sz w:val="22"/>
          <w:szCs w:val="22"/>
        </w:rPr>
        <w:t xml:space="preserve">2. Research Plan</w:t>
      </w:r>
    </w:p>
    <w:p>
      <w:pPr>
        <w:pStyle w:val="ListParagraph"/>
        <w:numPr>
          <w:ilvl w:val="0"/>
          <w:numId w:val="2"/>
        </w:numPr>
        <w:spacing w:after="100"/>
        <w:jc w:val="both"/>
      </w:pPr>
      <w:r>
        <w:rPr>
          <w:rFonts w:ascii="Arial" w:cs="Arial" w:eastAsia="Arial" w:hAnsi="Arial"/>
          <w:sz w:val="22"/>
          <w:szCs w:val="22"/>
        </w:rPr>
        <w:t xml:space="preserve">3. Technical Feasibility Study</w:t>
      </w:r>
    </w:p>
    <w:p>
      <w:pPr>
        <w:pStyle w:val="ListParagraph"/>
        <w:numPr>
          <w:ilvl w:val="0"/>
          <w:numId w:val="2"/>
        </w:numPr>
        <w:spacing w:after="100"/>
        <w:jc w:val="both"/>
      </w:pPr>
      <w:r>
        <w:rPr>
          <w:rFonts w:ascii="Arial" w:cs="Arial" w:eastAsia="Arial" w:hAnsi="Arial"/>
          <w:sz w:val="22"/>
          <w:szCs w:val="22"/>
        </w:rPr>
        <w:t xml:space="preserve">4. Project Timeline</w:t>
      </w:r>
    </w:p>
    <w:p>
      <w:pPr>
        <w:pStyle w:val="ListParagraph"/>
        <w:numPr>
          <w:ilvl w:val="0"/>
          <w:numId w:val="2"/>
        </w:numPr>
        <w:spacing w:after="100"/>
        <w:jc w:val="both"/>
      </w:pPr>
      <w:r>
        <w:rPr>
          <w:rFonts w:ascii="Arial" w:cs="Arial" w:eastAsia="Arial" w:hAnsi="Arial"/>
          <w:sz w:val="22"/>
          <w:szCs w:val="22"/>
        </w:rPr>
        <w:t xml:space="preserve">Collaboration Documentation — Not applicable (individually completed project)</w:t>
      </w:r>
    </w:p>
    <w:p>
      <w:pPr>
        <w:spacing w:after="80"/>
      </w:pPr>
      <w:r>
        <w:t xml:space="preserve"/>
      </w:r>
    </w:p>
    <w:p>
      <w:pPr>
        <w:pStyle w:val="Heading1"/>
        <w:spacing w:after="160" w:before="320"/>
      </w:pPr>
      <w:r>
        <w:rPr>
          <w:rFonts w:ascii="Arial" w:cs="Arial" w:eastAsia="Arial" w:hAnsi="Arial"/>
          <w:b/>
          <w:bCs/>
          <w:color w:val="1F4E79"/>
          <w:sz w:val="28"/>
          <w:szCs w:val="28"/>
        </w:rPr>
        <w:t xml:space="preserve">1. Project Proposal</w:t>
      </w:r>
    </w:p>
    <w:p>
      <w:pPr>
        <w:pStyle w:val="Heading2"/>
        <w:spacing w:after="120" w:before="260"/>
      </w:pPr>
      <w:r>
        <w:rPr>
          <w:rFonts w:ascii="Arial" w:cs="Arial" w:eastAsia="Arial" w:hAnsi="Arial"/>
          <w:b/>
          <w:bCs/>
          <w:color w:val="2E74B5"/>
          <w:sz w:val="24"/>
          <w:szCs w:val="24"/>
        </w:rPr>
        <w:t xml:space="preserve">1.1  Project Title</w:t>
      </w:r>
    </w:p>
    <w:p>
      <w:pPr>
        <w:spacing w:after="160" w:line="276"/>
        <w:jc w:val="both"/>
      </w:pPr>
      <w:r>
        <w:rPr>
          <w:rFonts w:ascii="Arial" w:cs="Arial" w:eastAsia="Arial" w:hAnsi="Arial"/>
          <w:sz w:val="22"/>
          <w:szCs w:val="22"/>
        </w:rPr>
        <w:t xml:space="preserve">Modeling Trust Calibration in Human-AI Financial Decision Systems: A Behavioral and Interactional Perspective</w:t>
      </w:r>
    </w:p>
    <w:p>
      <w:pPr>
        <w:spacing w:after="80"/>
      </w:pPr>
      <w:r>
        <w:t xml:space="preserve"/>
      </w:r>
    </w:p>
    <w:p>
      <w:pPr>
        <w:pStyle w:val="Heading2"/>
        <w:spacing w:after="120" w:before="260"/>
      </w:pPr>
      <w:r>
        <w:rPr>
          <w:rFonts w:ascii="Arial" w:cs="Arial" w:eastAsia="Arial" w:hAnsi="Arial"/>
          <w:b/>
          <w:bCs/>
          <w:color w:val="2E74B5"/>
          <w:sz w:val="24"/>
          <w:szCs w:val="24"/>
        </w:rPr>
        <w:t xml:space="preserve">1.2  Project Overview (Abstract)</w:t>
      </w:r>
    </w:p>
    <w:p>
      <w:pPr>
        <w:spacing w:after="160" w:line="276"/>
        <w:jc w:val="both"/>
      </w:pPr>
      <w:r>
        <w:rPr>
          <w:rFonts w:ascii="Arial" w:cs="Arial" w:eastAsia="Arial" w:hAnsi="Arial"/>
          <w:sz w:val="22"/>
          <w:szCs w:val="22"/>
        </w:rPr>
        <w:t xml:space="preserve">Artificial intelligence now determines access to credit, loans, and financial products for millions of people, yet the human factors of how people respond to these systems — when they trust them, when they reject them, and what drives those responses — remain poorly understood. This project investigates the behavioural and interactional dynamics of trust calibration in human-AI financial decision scenarios: the conditions under which users overtrust, undertrust, or appropriately calibrate their reliance on AI-generated credit recommendations.</w:t>
      </w:r>
    </w:p>
    <w:p>
      <w:pPr>
        <w:spacing w:after="160" w:line="276"/>
        <w:jc w:val="both"/>
      </w:pPr>
      <w:r>
        <w:rPr>
          <w:rFonts w:ascii="Arial" w:cs="Arial" w:eastAsia="Arial" w:hAnsi="Arial"/>
          <w:sz w:val="22"/>
          <w:szCs w:val="22"/>
        </w:rPr>
        <w:t xml:space="preserve">Unlike existing XAI research, which focuses on whether explanations improve comprehension, this project treats trust calibration as a measurable behavioural outcome. The empirical vehicle is a purpose-built experimental stimulus — a controlled web-based loan-decision task in which participants respond to AI recommendations under systematically varied explanation conditions. This is not a financial product or UX prototype; it is the controlled environment that makes behavioural measurement possible.</w:t>
      </w:r>
    </w:p>
    <w:p>
      <w:pPr>
        <w:spacing w:after="160" w:line="276"/>
        <w:jc w:val="both"/>
      </w:pPr>
      <w:r>
        <w:rPr>
          <w:rFonts w:ascii="Arial" w:cs="Arial" w:eastAsia="Arial" w:hAnsi="Arial"/>
          <w:sz w:val="22"/>
          <w:szCs w:val="22"/>
        </w:rPr>
        <w:t xml:space="preserve">The project is grounded in Lee and See’s (2004) trust calibration model, Parasuraman and Riley’s (1997) automation misuse taxonomy, Kahneman’s (2011) dual-process theory, and Mayer, Davis and Schoorman’s (1995) integrative trust model. It is aimed at HCI researchers, fintech product teams, and regulators. Its intended outputs are an empirically grounded conceptual model of trust calibration in AI-mediated financial decisions, a set of behavioural design principles for responsible AI practitioners, and a fully documented experimental methodology suitable for replication and doctoral extension.</w:t>
      </w:r>
    </w:p>
    <w:p>
      <w:pPr>
        <w:spacing w:after="80"/>
      </w:pPr>
      <w:r>
        <w:t xml:space="preserve"/>
      </w:r>
    </w:p>
    <w:p>
      <w:pPr>
        <w:pStyle w:val="Heading2"/>
        <w:spacing w:after="120" w:before="260"/>
      </w:pPr>
      <w:r>
        <w:rPr>
          <w:rFonts w:ascii="Arial" w:cs="Arial" w:eastAsia="Arial" w:hAnsi="Arial"/>
          <w:b/>
          <w:bCs/>
          <w:color w:val="2E74B5"/>
          <w:sz w:val="24"/>
          <w:szCs w:val="24"/>
        </w:rPr>
        <w:t xml:space="preserve">1.3  Project Aims, Objectives &amp; Research Questions</w:t>
      </w:r>
    </w:p>
    <w:p>
      <w:pPr>
        <w:pStyle w:val="Heading3"/>
        <w:spacing w:after="80" w:before="200"/>
      </w:pPr>
      <w:r>
        <w:rPr>
          <w:rFonts w:ascii="Arial" w:cs="Arial" w:eastAsia="Arial" w:hAnsi="Arial"/>
          <w:b/>
          <w:bCs/>
          <w:color w:val="404040"/>
          <w:sz w:val="22"/>
          <w:szCs w:val="22"/>
        </w:rPr>
        <w:t xml:space="preserve">Primary Research Question</w:t>
      </w:r>
    </w:p>
    <w:p>
      <w:pPr>
        <w:spacing w:after="160" w:line="276"/>
        <w:jc w:val="both"/>
      </w:pPr>
      <w:r>
        <w:rPr>
          <w:rFonts w:ascii="Arial" w:cs="Arial" w:eastAsia="Arial" w:hAnsi="Arial"/>
          <w:sz w:val="22"/>
          <w:szCs w:val="22"/>
        </w:rPr>
        <w:t xml:space="preserve">Under what conditions do users exhibit overtrust, undertrust, or appropriately calibrated trust in AI-generated financial recommendations, and what behavioural and interactional factors determine each outcome?</w:t>
      </w:r>
    </w:p>
    <w:p>
      <w:pPr>
        <w:pStyle w:val="Heading3"/>
        <w:spacing w:after="80" w:before="200"/>
      </w:pPr>
      <w:r>
        <w:rPr>
          <w:rFonts w:ascii="Arial" w:cs="Arial" w:eastAsia="Arial" w:hAnsi="Arial"/>
          <w:b/>
          <w:bCs/>
          <w:color w:val="404040"/>
          <w:sz w:val="22"/>
          <w:szCs w:val="22"/>
        </w:rPr>
        <w:t xml:space="preserve">Secondary Research Questions</w:t>
      </w:r>
    </w:p>
    <w:p>
      <w:pPr>
        <w:pStyle w:val="ListParagraph"/>
        <w:numPr>
          <w:ilvl w:val="0"/>
          <w:numId w:val="2"/>
        </w:numPr>
        <w:spacing w:after="100"/>
        <w:jc w:val="both"/>
      </w:pPr>
      <w:r>
        <w:rPr>
          <w:rFonts w:ascii="Arial" w:cs="Arial" w:eastAsia="Arial" w:hAnsi="Arial"/>
          <w:sz w:val="22"/>
          <w:szCs w:val="22"/>
        </w:rPr>
        <w:t xml:space="preserve">How does explanation depth — none, surface-level, or counterfactual — affect the accuracy of a user’s mental model of AI system reliability?</w:t>
      </w:r>
    </w:p>
    <w:p>
      <w:pPr>
        <w:pStyle w:val="ListParagraph"/>
        <w:numPr>
          <w:ilvl w:val="0"/>
          <w:numId w:val="2"/>
        </w:numPr>
        <w:spacing w:after="100"/>
        <w:jc w:val="both"/>
      </w:pPr>
      <w:r>
        <w:rPr>
          <w:rFonts w:ascii="Arial" w:cs="Arial" w:eastAsia="Arial" w:hAnsi="Arial"/>
          <w:sz w:val="22"/>
          <w:szCs w:val="22"/>
        </w:rPr>
        <w:t xml:space="preserve">How does prior exposure to AI error shape subsequent trust calibration and decision behaviour across a repeated decision sequence?</w:t>
      </w:r>
    </w:p>
    <w:p>
      <w:pPr>
        <w:pStyle w:val="ListParagraph"/>
        <w:numPr>
          <w:ilvl w:val="0"/>
          <w:numId w:val="2"/>
        </w:numPr>
        <w:spacing w:after="100"/>
        <w:jc w:val="both"/>
      </w:pPr>
      <w:r>
        <w:rPr>
          <w:rFonts w:ascii="Arial" w:cs="Arial" w:eastAsia="Arial" w:hAnsi="Arial"/>
          <w:sz w:val="22"/>
          <w:szCs w:val="22"/>
        </w:rPr>
        <w:t xml:space="preserve">Do individual differences in financial literacy, need for cognition, and technology disposition moderate trust calibration responses?</w:t>
      </w:r>
    </w:p>
    <w:p>
      <w:pPr>
        <w:pStyle w:val="ListParagraph"/>
        <w:numPr>
          <w:ilvl w:val="0"/>
          <w:numId w:val="2"/>
        </w:numPr>
        <w:spacing w:after="100"/>
        <w:jc w:val="both"/>
      </w:pPr>
      <w:r>
        <w:rPr>
          <w:rFonts w:ascii="Arial" w:cs="Arial" w:eastAsia="Arial" w:hAnsi="Arial"/>
          <w:sz w:val="22"/>
          <w:szCs w:val="22"/>
        </w:rPr>
        <w:t xml:space="preserve">What interactional signals most strongly support appropriate reliance on AI financial recommendations?</w:t>
      </w:r>
    </w:p>
    <w:p>
      <w:pPr>
        <w:spacing w:after="80"/>
      </w:pPr>
      <w:r>
        <w:t xml:space="preserve"/>
      </w:r>
    </w:p>
    <w:p>
      <w:pPr>
        <w:pStyle w:val="Heading3"/>
        <w:spacing w:after="80" w:before="200"/>
      </w:pPr>
      <w:r>
        <w:rPr>
          <w:rFonts w:ascii="Arial" w:cs="Arial" w:eastAsia="Arial" w:hAnsi="Arial"/>
          <w:b/>
          <w:bCs/>
          <w:color w:val="404040"/>
          <w:sz w:val="22"/>
          <w:szCs w:val="22"/>
        </w:rPr>
        <w:t xml:space="preserve">Aims</w:t>
      </w:r>
    </w:p>
    <w:p>
      <w:pPr>
        <w:pStyle w:val="ListParagraph"/>
        <w:numPr>
          <w:ilvl w:val="0"/>
          <w:numId w:val="2"/>
        </w:numPr>
        <w:spacing w:after="100"/>
        <w:jc w:val="both"/>
      </w:pPr>
      <w:r>
        <w:rPr>
          <w:rFonts w:ascii="Arial" w:cs="Arial" w:eastAsia="Arial" w:hAnsi="Arial"/>
          <w:sz w:val="22"/>
          <w:szCs w:val="22"/>
        </w:rPr>
        <w:t xml:space="preserve">To design and deploy a controlled behavioural experiment measuring trust calibration responses across systematically varied AI recommendation conditions.</w:t>
      </w:r>
    </w:p>
    <w:p>
      <w:pPr>
        <w:pStyle w:val="ListParagraph"/>
        <w:numPr>
          <w:ilvl w:val="0"/>
          <w:numId w:val="2"/>
        </w:numPr>
        <w:spacing w:after="100"/>
        <w:jc w:val="both"/>
      </w:pPr>
      <w:r>
        <w:rPr>
          <w:rFonts w:ascii="Arial" w:cs="Arial" w:eastAsia="Arial" w:hAnsi="Arial"/>
          <w:sz w:val="22"/>
          <w:szCs w:val="22"/>
        </w:rPr>
        <w:t xml:space="preserve">To extend Lee and See’s (2004) trust calibration framework into the high-stakes personal finance domain, producing an empirically grounded conceptual model.</w:t>
      </w:r>
    </w:p>
    <w:p>
      <w:pPr>
        <w:pStyle w:val="ListParagraph"/>
        <w:numPr>
          <w:ilvl w:val="0"/>
          <w:numId w:val="2"/>
        </w:numPr>
        <w:spacing w:after="100"/>
        <w:jc w:val="both"/>
      </w:pPr>
      <w:r>
        <w:rPr>
          <w:rFonts w:ascii="Arial" w:cs="Arial" w:eastAsia="Arial" w:hAnsi="Arial"/>
          <w:sz w:val="22"/>
          <w:szCs w:val="22"/>
        </w:rPr>
        <w:t xml:space="preserve">To identify behavioural design principles that support appropriate reliance — neither automation bias nor algorithmic aversion — in AI-mediated financial decisions.</w:t>
      </w:r>
    </w:p>
    <w:p>
      <w:pPr>
        <w:pStyle w:val="ListParagraph"/>
        <w:numPr>
          <w:ilvl w:val="0"/>
          <w:numId w:val="2"/>
        </w:numPr>
        <w:spacing w:after="100"/>
        <w:jc w:val="both"/>
      </w:pPr>
      <w:r>
        <w:rPr>
          <w:rFonts w:ascii="Arial" w:cs="Arial" w:eastAsia="Arial" w:hAnsi="Arial"/>
          <w:sz w:val="22"/>
          <w:szCs w:val="22"/>
        </w:rPr>
        <w:t xml:space="preserve">To contribute original HCI evidence to the responsible AI literature and to current regulatory discourse around the EU AI Act (2024) and UK FCA Consumer Duty (2023).</w:t>
      </w:r>
    </w:p>
    <w:p>
      <w:pPr>
        <w:spacing w:after="80"/>
      </w:pPr>
      <w:r>
        <w:t xml:space="preserve"/>
      </w:r>
    </w:p>
    <w:p>
      <w:pPr>
        <w:pStyle w:val="Heading2"/>
        <w:spacing w:after="120" w:before="260"/>
      </w:pPr>
      <w:r>
        <w:rPr>
          <w:rFonts w:ascii="Arial" w:cs="Arial" w:eastAsia="Arial" w:hAnsi="Arial"/>
          <w:b/>
          <w:bCs/>
          <w:color w:val="2E74B5"/>
          <w:sz w:val="24"/>
          <w:szCs w:val="24"/>
        </w:rPr>
        <w:t xml:space="preserve">1.4  Background &amp; Context</w:t>
      </w:r>
    </w:p>
    <w:p>
      <w:pPr>
        <w:spacing w:after="160" w:line="276"/>
        <w:jc w:val="both"/>
      </w:pPr>
      <w:r>
        <w:rPr>
          <w:rFonts w:ascii="Arial" w:cs="Arial" w:eastAsia="Arial" w:hAnsi="Arial"/>
          <w:sz w:val="22"/>
          <w:szCs w:val="22"/>
        </w:rPr>
        <w:t xml:space="preserve">The deployment of machine learning in consumer financial services has accelerated substantially over the past decade. Algorithmic credit scoring, automated loan underwriting, and AI-driven risk assessment are now standard practice, yet these systems deliver decisions without communicating the reasoning behind them. Pasquale (2015) identified this opacity as a design choice that concentrates power asymmetrically between institutions and consumers. Eubanks (2018) extended this critique empirically, documenting how unexplained algorithmic denial compounds disadvantage for already marginalised populations in credit and welfare contexts.</w:t>
      </w:r>
    </w:p>
    <w:p>
      <w:pPr>
        <w:spacing w:after="160" w:line="276"/>
        <w:jc w:val="both"/>
      </w:pPr>
      <w:r>
        <w:rPr>
          <w:rFonts w:ascii="Arial" w:cs="Arial" w:eastAsia="Arial" w:hAnsi="Arial"/>
          <w:sz w:val="22"/>
          <w:szCs w:val="22"/>
        </w:rPr>
        <w:t xml:space="preserve">The technical XAI community has responded through post-hoc explanation methods such as LIME (Ribeiro et al., 2016) and SHAP (Lundberg and Lee, 2017), but Adadi and Berrada (2018) note that these were designed for data scientists, not for the lay users who actually receive AI decisions. Chromik and Eiband (2019) argue that XAI research must evaluate user-facing explanation as a communicative and behavioural property rather than a technical one. Singla et al. (2025) further emphasise that designing intuitive interfaces for AI systems requires placing human cognitive needs at the centre of the design process — a principle directly relevant to how AI credit recommendations are presented to non-expert users. This project adopts and extends that position: it treats trust calibration — not comprehension or satisfaction — as the primary outcome.</w:t>
      </w:r>
    </w:p>
    <w:p>
      <w:pPr>
        <w:spacing w:after="160" w:line="276"/>
        <w:jc w:val="both"/>
      </w:pPr>
      <w:r>
        <w:rPr>
          <w:rFonts w:ascii="Arial" w:cs="Arial" w:eastAsia="Arial" w:hAnsi="Arial"/>
          <w:sz w:val="22"/>
          <w:szCs w:val="22"/>
        </w:rPr>
        <w:t xml:space="preserve">Trust calibration refers to the correspondence between a user’s reliance on an automated system and that system’s actual reliability. Lee and See (2004) argue the productive goal is appropriate reliance, not maximal trust. Two well-replicated phenomena represent opposite failure modes: algorithmic aversion (Dietvorst, Logg and Massey, 2015), where users disproportionately reject AI after a single error, and algorithmic appreciation (Logg, Minson and Moore, 2019), where users defer to AI even when human judgement would be superior. Both have been studied in generic tasks; neither has been rigorously examined in personal financial decisions, where emotional salience and financial literacy interact in ways that may substantially alter the dynamics of both failure modes.</w:t>
      </w:r>
    </w:p>
    <w:p>
      <w:pPr>
        <w:spacing w:after="160" w:line="276"/>
        <w:jc w:val="both"/>
      </w:pPr>
      <w:r>
        <w:rPr>
          <w:rFonts w:ascii="Arial" w:cs="Arial" w:eastAsia="Arial" w:hAnsi="Arial"/>
          <w:sz w:val="22"/>
          <w:szCs w:val="22"/>
        </w:rPr>
        <w:t xml:space="preserve">Kahneman’s (2011) dual-process theory provides a complementary lens. High-stakes financial decisions would normally engage deliberate System 2 reasoning, but an authoritative AI recommendation may activate automation bias (Parasuraman and Riley, 1997), short-circuiting deliberation. Mayer, Davis and Schoorman’s (1995) three-factor model — ability, benevolence, integrity — structures the qualitative component, exploring which trust antecedents users invoke when justifying reliance on or rejection of AI credit recommendations. Recent empirical work by Karmakar and Shazzad (2026) in healthcare AI interfaces confirms that trust and usability are closely intertwined in XAI systems, and that user-centred evaluation approaches are essential for capturing authentic trust responses — a methodological finding this project directly applies to the financial domain.</w:t>
      </w:r>
    </w:p>
    <w:p>
      <w:pPr>
        <w:spacing w:after="160" w:line="276"/>
        <w:jc w:val="both"/>
      </w:pPr>
      <w:r>
        <w:rPr>
          <w:rFonts w:ascii="Arial" w:cs="Arial" w:eastAsia="Arial" w:hAnsi="Arial"/>
          <w:sz w:val="22"/>
          <w:szCs w:val="22"/>
        </w:rPr>
        <w:t xml:space="preserve">The EU Artificial Intelligence Act (2024) classifies credit scoring as high-risk and mandates meaningful explanation, but provides no behavioural specification of what “meaningful” entails. The UK FCA Consumer Duty (2023) requires firms to ensure customers understand the decisions affecting them. The empirical literature on AI-driven credit scoring (Kumbhar et al., 2024; Chilukala et al., 2025; Vij et al., 2025; Battu et al., 2025) confirms the scale and pace of AI adoption in financial decisions, while XAI evaluation studies in fraud detection contexts (Kotrachai et al., 2023; Keerthana et al., 2025; Mukherjee et al., 2025) demonstrate that explainability is technically achievable but behaviourally unevaluated from the end-user perspective. This project directly addresses that gap.</w:t>
      </w:r>
    </w:p>
    <w:p>
      <w:pPr>
        <w:spacing w:after="80"/>
      </w:pPr>
      <w:r>
        <w:t xml:space="preserve"/>
      </w:r>
    </w:p>
    <w:p>
      <w:pPr>
        <w:pStyle w:val="Heading2"/>
        <w:spacing w:after="120" w:before="260"/>
      </w:pPr>
      <w:r>
        <w:rPr>
          <w:rFonts w:ascii="Arial" w:cs="Arial" w:eastAsia="Arial" w:hAnsi="Arial"/>
          <w:b/>
          <w:bCs/>
          <w:color w:val="2E74B5"/>
          <w:sz w:val="24"/>
          <w:szCs w:val="24"/>
        </w:rPr>
        <w:t xml:space="preserve">1.5  Intended Methodology</w:t>
      </w:r>
    </w:p>
    <w:p>
      <w:pPr>
        <w:spacing w:after="160" w:line="276"/>
        <w:jc w:val="both"/>
      </w:pPr>
      <w:r>
        <w:rPr>
          <w:rFonts w:ascii="Arial" w:cs="Arial" w:eastAsia="Arial" w:hAnsi="Arial"/>
          <w:sz w:val="22"/>
          <w:szCs w:val="22"/>
        </w:rPr>
        <w:t xml:space="preserve">This project adopts a mixed-methods behavioural HCI research design. The primary method is a controlled between-subjects experiment using a purpose-built experimental stimulus. Qualitative interview data provides explanatory depth that behavioural measures alone cannot supply. The design is informed by the experimental tradition in human factors research (Stanton et al., 2013) and by reflexive thematic analysis (Braun and Clarke, 2019). This study does not involve UI/UX design as a research goal, does not build a financial product, and does not test a live AI system. It is purely a study of human decision-making behaviour in the presence of AI-generated recommendations. Mushtaq (2026) argues that HCI principles must be actively integrated into AI system design, reinforcing the methodological rationale for grounding this behavioural study in established HCI frameworks rather than treating it as a technical problem alone.</w:t>
      </w:r>
    </w:p>
    <w:p>
      <w:pPr>
        <w:pStyle w:val="Heading3"/>
        <w:spacing w:after="80" w:before="200"/>
      </w:pPr>
      <w:r>
        <w:rPr>
          <w:rFonts w:ascii="Arial" w:cs="Arial" w:eastAsia="Arial" w:hAnsi="Arial"/>
          <w:b/>
          <w:bCs/>
          <w:color w:val="404040"/>
          <w:sz w:val="22"/>
          <w:szCs w:val="22"/>
        </w:rPr>
        <w:t xml:space="preserve">Experimental Stimulus</w:t>
      </w:r>
    </w:p>
    <w:p>
      <w:pPr>
        <w:spacing w:after="160" w:line="276"/>
        <w:jc w:val="both"/>
      </w:pPr>
      <w:r>
        <w:rPr>
          <w:rFonts w:ascii="Arial" w:cs="Arial" w:eastAsia="Arial" w:hAnsi="Arial"/>
          <w:sz w:val="22"/>
          <w:szCs w:val="22"/>
        </w:rPr>
        <w:t xml:space="preserve">A minimal web-based decision task is developed as the experimental stimulus. Participants review ten fictional loan application profiles, each with an AI-generated recommendation (Approve or Decline) and a confidence score. For each scenario, participants decide whether to follow or override the recommendation and record their own confidence. Three between-subjects conditions manipulate explanation depth:</w:t>
      </w:r>
    </w:p>
    <w:p>
      <w:pPr>
        <w:pStyle w:val="ListParagraph"/>
        <w:numPr>
          <w:ilvl w:val="0"/>
          <w:numId w:val="2"/>
        </w:numPr>
        <w:spacing w:after="100"/>
        <w:jc w:val="both"/>
      </w:pPr>
      <w:r>
        <w:rPr>
          <w:rFonts w:ascii="Arial" w:cs="Arial" w:eastAsia="Arial" w:hAnsi="Arial"/>
          <w:sz w:val="22"/>
          <w:szCs w:val="22"/>
        </w:rPr>
        <w:t xml:space="preserve">Condition A – No Explanation: AI recommendation and confidence score only.</w:t>
      </w:r>
    </w:p>
    <w:p>
      <w:pPr>
        <w:pStyle w:val="ListParagraph"/>
        <w:numPr>
          <w:ilvl w:val="0"/>
          <w:numId w:val="2"/>
        </w:numPr>
        <w:spacing w:after="100"/>
        <w:jc w:val="both"/>
      </w:pPr>
      <w:r>
        <w:rPr>
          <w:rFonts w:ascii="Arial" w:cs="Arial" w:eastAsia="Arial" w:hAnsi="Arial"/>
          <w:sz w:val="22"/>
          <w:szCs w:val="22"/>
        </w:rPr>
        <w:t xml:space="preserve">Condition B – Surface Explanation: a plain-language sentence identifying the primary contributing factor.</w:t>
      </w:r>
    </w:p>
    <w:p>
      <w:pPr>
        <w:pStyle w:val="ListParagraph"/>
        <w:numPr>
          <w:ilvl w:val="0"/>
          <w:numId w:val="2"/>
        </w:numPr>
        <w:spacing w:after="100"/>
        <w:jc w:val="both"/>
      </w:pPr>
      <w:r>
        <w:rPr>
          <w:rFonts w:ascii="Arial" w:cs="Arial" w:eastAsia="Arial" w:hAnsi="Arial"/>
          <w:sz w:val="22"/>
          <w:szCs w:val="22"/>
        </w:rPr>
        <w:t xml:space="preserve">Condition C – Counterfactual Explanation: a Wachter et al. (2017) style statement describing what would need to change for a different outcome.</w:t>
      </w:r>
    </w:p>
    <w:p>
      <w:pPr>
        <w:spacing w:after="160" w:line="276"/>
        <w:jc w:val="both"/>
      </w:pPr>
      <w:r>
        <w:rPr>
          <w:rFonts w:ascii="Arial" w:cs="Arial" w:eastAsia="Arial" w:hAnsi="Arial"/>
          <w:sz w:val="22"/>
          <w:szCs w:val="22"/>
        </w:rPr>
        <w:t xml:space="preserve">Within each condition, AI accuracy is systematically varied: six correct and four incorrect recommendations in a fixed pseudo-random order. This enables measurement of calibration trajectory (does reliance decrease after errors?) and calibration recovery (how quickly does appropriate reliance return?). A five-item post-task test assesses mental model accuracy.</w:t>
      </w:r>
    </w:p>
    <w:p>
      <w:pPr>
        <w:pStyle w:val="Heading3"/>
        <w:spacing w:after="80" w:before="200"/>
      </w:pPr>
      <w:r>
        <w:rPr>
          <w:rFonts w:ascii="Arial" w:cs="Arial" w:eastAsia="Arial" w:hAnsi="Arial"/>
          <w:b/>
          <w:bCs/>
          <w:color w:val="404040"/>
          <w:sz w:val="22"/>
          <w:szCs w:val="22"/>
        </w:rPr>
        <w:t xml:space="preserve">Participants and User Engagement</w:t>
      </w:r>
    </w:p>
    <w:p>
      <w:pPr>
        <w:spacing w:after="160" w:line="276"/>
        <w:jc w:val="both"/>
      </w:pPr>
      <w:r>
        <w:rPr>
          <w:rFonts w:ascii="Arial" w:cs="Arial" w:eastAsia="Arial" w:hAnsi="Arial"/>
          <w:sz w:val="22"/>
          <w:szCs w:val="22"/>
        </w:rPr>
        <w:t xml:space="preserve">30–45 UK-resident adults will be recruited through UCA networks, personal contacts, and social media outreach, targeting n=10–15 per explanation condition. A brief pre-screening survey measures financial literacy (Lusardi and Mitchell, 2011), need for cognition (Cacioppo and Petty, 1982), and technology disposition (Venkatesh et al., 2003) as individual difference moderators. A pilot study with three participants will be conducted before main data collection to validate scenario realism, confirm session duration, and refine the interview protocol.</w:t>
      </w:r>
    </w:p>
    <w:p>
      <w:pPr>
        <w:pStyle w:val="Heading3"/>
        <w:spacing w:after="80" w:before="200"/>
      </w:pPr>
      <w:r>
        <w:rPr>
          <w:rFonts w:ascii="Arial" w:cs="Arial" w:eastAsia="Arial" w:hAnsi="Arial"/>
          <w:b/>
          <w:bCs/>
          <w:color w:val="404040"/>
          <w:sz w:val="22"/>
          <w:szCs w:val="22"/>
        </w:rPr>
        <w:t xml:space="preserve">Measures</w:t>
      </w:r>
    </w:p>
    <w:p>
      <w:pPr>
        <w:pStyle w:val="ListParagraph"/>
        <w:numPr>
          <w:ilvl w:val="0"/>
          <w:numId w:val="2"/>
        </w:numPr>
        <w:spacing w:after="100"/>
        <w:jc w:val="both"/>
      </w:pPr>
      <w:r>
        <w:rPr>
          <w:rFonts w:ascii="Arial" w:cs="Arial" w:eastAsia="Arial" w:hAnsi="Arial"/>
          <w:sz w:val="22"/>
          <w:szCs w:val="22"/>
        </w:rPr>
        <w:t xml:space="preserve">Behavioural trust rate: proportion of AI recommendations accepted per participant.</w:t>
      </w:r>
    </w:p>
    <w:p>
      <w:pPr>
        <w:pStyle w:val="ListParagraph"/>
        <w:numPr>
          <w:ilvl w:val="0"/>
          <w:numId w:val="2"/>
        </w:numPr>
        <w:spacing w:after="100"/>
        <w:jc w:val="both"/>
      </w:pPr>
      <w:r>
        <w:rPr>
          <w:rFonts w:ascii="Arial" w:cs="Arial" w:eastAsia="Arial" w:hAnsi="Arial"/>
          <w:sz w:val="22"/>
          <w:szCs w:val="22"/>
        </w:rPr>
        <w:t xml:space="preserve">Calibration score: within-participant correlation between decision confidence and objective accuracy across ten scenarios.</w:t>
      </w:r>
    </w:p>
    <w:p>
      <w:pPr>
        <w:pStyle w:val="ListParagraph"/>
        <w:numPr>
          <w:ilvl w:val="0"/>
          <w:numId w:val="2"/>
        </w:numPr>
        <w:spacing w:after="100"/>
        <w:jc w:val="both"/>
      </w:pPr>
      <w:r>
        <w:rPr>
          <w:rFonts w:ascii="Arial" w:cs="Arial" w:eastAsia="Arial" w:hAnsi="Arial"/>
          <w:sz w:val="22"/>
          <w:szCs w:val="22"/>
        </w:rPr>
        <w:t xml:space="preserve">Mental model accuracy: post-task factual score assessing whether participants correctly estimated the AI system’s overall reliability.</w:t>
      </w:r>
    </w:p>
    <w:p>
      <w:pPr>
        <w:pStyle w:val="ListParagraph"/>
        <w:numPr>
          <w:ilvl w:val="0"/>
          <w:numId w:val="2"/>
        </w:numPr>
        <w:spacing w:after="100"/>
        <w:jc w:val="both"/>
      </w:pPr>
      <w:r>
        <w:rPr>
          <w:rFonts w:ascii="Arial" w:cs="Arial" w:eastAsia="Arial" w:hAnsi="Arial"/>
          <w:sz w:val="22"/>
          <w:szCs w:val="22"/>
        </w:rPr>
        <w:t xml:space="preserve">Override quality: whether overrides improved or degraded decision accuracy.</w:t>
      </w:r>
    </w:p>
    <w:p>
      <w:pPr>
        <w:pStyle w:val="ListParagraph"/>
        <w:numPr>
          <w:ilvl w:val="0"/>
          <w:numId w:val="2"/>
        </w:numPr>
        <w:spacing w:after="100"/>
        <w:jc w:val="both"/>
      </w:pPr>
      <w:r>
        <w:rPr>
          <w:rFonts w:ascii="Arial" w:cs="Arial" w:eastAsia="Arial" w:hAnsi="Arial"/>
          <w:sz w:val="22"/>
          <w:szCs w:val="22"/>
        </w:rPr>
        <w:t xml:space="preserve">Self-reported trust: adapted Trust in Automation scale (Jian, Bisantz and Drury, 2000).</w:t>
      </w:r>
    </w:p>
    <w:p>
      <w:pPr>
        <w:pStyle w:val="ListParagraph"/>
        <w:numPr>
          <w:ilvl w:val="0"/>
          <w:numId w:val="2"/>
        </w:numPr>
        <w:spacing w:after="100"/>
        <w:jc w:val="both"/>
      </w:pPr>
      <w:r>
        <w:rPr>
          <w:rFonts w:ascii="Arial" w:cs="Arial" w:eastAsia="Arial" w:hAnsi="Arial"/>
          <w:sz w:val="22"/>
          <w:szCs w:val="22"/>
        </w:rPr>
        <w:t xml:space="preserve">Qualitative data: 20–25 minute semi-structured interview per participant.</w:t>
      </w:r>
    </w:p>
    <w:p>
      <w:pPr>
        <w:pStyle w:val="Heading3"/>
        <w:spacing w:after="80" w:before="200"/>
      </w:pPr>
      <w:r>
        <w:rPr>
          <w:rFonts w:ascii="Arial" w:cs="Arial" w:eastAsia="Arial" w:hAnsi="Arial"/>
          <w:b/>
          <w:bCs/>
          <w:color w:val="404040"/>
          <w:sz w:val="22"/>
          <w:szCs w:val="22"/>
        </w:rPr>
        <w:t xml:space="preserve">Analysis and Evaluation</w:t>
      </w:r>
    </w:p>
    <w:p>
      <w:pPr>
        <w:pStyle w:val="ListParagraph"/>
        <w:numPr>
          <w:ilvl w:val="0"/>
          <w:numId w:val="2"/>
        </w:numPr>
        <w:spacing w:after="100"/>
        <w:jc w:val="both"/>
      </w:pPr>
      <w:r>
        <w:rPr>
          <w:rFonts w:ascii="Arial" w:cs="Arial" w:eastAsia="Arial" w:hAnsi="Arial"/>
          <w:sz w:val="22"/>
          <w:szCs w:val="22"/>
        </w:rPr>
        <w:t xml:space="preserve">One-way ANOVA on behavioural trust rate and calibration score across explanation conditions, with Tukey HSD post-hoc comparisons.</w:t>
      </w:r>
    </w:p>
    <w:p>
      <w:pPr>
        <w:pStyle w:val="ListParagraph"/>
        <w:numPr>
          <w:ilvl w:val="0"/>
          <w:numId w:val="2"/>
        </w:numPr>
        <w:spacing w:after="100"/>
        <w:jc w:val="both"/>
      </w:pPr>
      <w:r>
        <w:rPr>
          <w:rFonts w:ascii="Arial" w:cs="Arial" w:eastAsia="Arial" w:hAnsi="Arial"/>
          <w:sz w:val="22"/>
          <w:szCs w:val="22"/>
        </w:rPr>
        <w:t xml:space="preserve">Repeated-measures analysis of trust rate across the ten scenarios to model calibration trajectory and recovery following AI errors.</w:t>
      </w:r>
    </w:p>
    <w:p>
      <w:pPr>
        <w:pStyle w:val="ListParagraph"/>
        <w:numPr>
          <w:ilvl w:val="0"/>
          <w:numId w:val="2"/>
        </w:numPr>
        <w:spacing w:after="100"/>
        <w:jc w:val="both"/>
      </w:pPr>
      <w:r>
        <w:rPr>
          <w:rFonts w:ascii="Arial" w:cs="Arial" w:eastAsia="Arial" w:hAnsi="Arial"/>
          <w:sz w:val="22"/>
          <w:szCs w:val="22"/>
        </w:rPr>
        <w:t xml:space="preserve">ANCOVA moderation analysis using financial literacy, need for cognition, and technology disposition as covariates.</w:t>
      </w:r>
    </w:p>
    <w:p>
      <w:pPr>
        <w:pStyle w:val="ListParagraph"/>
        <w:numPr>
          <w:ilvl w:val="0"/>
          <w:numId w:val="2"/>
        </w:numPr>
        <w:spacing w:after="100"/>
        <w:jc w:val="both"/>
      </w:pPr>
      <w:r>
        <w:rPr>
          <w:rFonts w:ascii="Arial" w:cs="Arial" w:eastAsia="Arial" w:hAnsi="Arial"/>
          <w:sz w:val="22"/>
          <w:szCs w:val="22"/>
        </w:rPr>
        <w:t xml:space="preserve">Reflexive thematic analysis (Braun and Clarke, 2019) of interview transcripts, interpreted through the Mayer et al. (1995) trust antecedents framework.</w:t>
      </w:r>
    </w:p>
    <w:p>
      <w:pPr>
        <w:pStyle w:val="ListParagraph"/>
        <w:numPr>
          <w:ilvl w:val="0"/>
          <w:numId w:val="2"/>
        </w:numPr>
        <w:spacing w:after="100"/>
        <w:jc w:val="both"/>
      </w:pPr>
      <w:r>
        <w:rPr>
          <w:rFonts w:ascii="Arial" w:cs="Arial" w:eastAsia="Arial" w:hAnsi="Arial"/>
          <w:sz w:val="22"/>
          <w:szCs w:val="22"/>
        </w:rPr>
        <w:t xml:space="preserve">Pre-registration of the full analysis plan on the Open Science Framework before any data collection begins.</w:t>
      </w:r>
    </w:p>
    <w:p>
      <w:pPr>
        <w:spacing w:after="80"/>
      </w:pPr>
      <w:r>
        <w:t xml:space="preserve"/>
      </w:r>
    </w:p>
    <w:p>
      <w:pPr>
        <w:pStyle w:val="Heading2"/>
        <w:spacing w:after="120" w:before="260"/>
      </w:pPr>
      <w:r>
        <w:rPr>
          <w:rFonts w:ascii="Arial" w:cs="Arial" w:eastAsia="Arial" w:hAnsi="Arial"/>
          <w:b/>
          <w:bCs/>
          <w:color w:val="2E74B5"/>
          <w:sz w:val="24"/>
          <w:szCs w:val="24"/>
        </w:rPr>
        <w:t xml:space="preserve">1.6  Intended Outcome &amp; Professional Context</w:t>
      </w:r>
    </w:p>
    <w:p>
      <w:pPr>
        <w:spacing w:after="160" w:line="276"/>
        <w:jc w:val="both"/>
      </w:pPr>
      <w:r>
        <w:rPr>
          <w:rFonts w:ascii="Arial" w:cs="Arial" w:eastAsia="Arial" w:hAnsi="Arial"/>
          <w:sz w:val="22"/>
          <w:szCs w:val="22"/>
        </w:rPr>
        <w:t xml:space="preserve">The primary output is an empirically grounded conceptual model of trust calibration in human-AI financial decision systems, describing the conditions under which overtrust, undertrust, and appropriate reliance emerge as a function of explanation depth, accuracy history, and individual user characteristics. This constitutes the theoretical contribution of the portfolio’s written thesis. Secondary outputs include a set of behavioural design principles for AI explanation in regulated financial contexts; a pre-registered experimental methodology; and the experimental stimulus published open-source on GitHub. The portfolio will be structured for an academic audience and written for potential submission to ACM CHI, FAccT, or the International Journal of Human-Computer Studies.</w:t>
      </w:r>
    </w:p>
    <w:p>
      <w:pPr>
        <w:spacing w:after="160" w:line="276"/>
        <w:jc w:val="both"/>
      </w:pPr>
      <w:r>
        <w:rPr>
          <w:rFonts w:ascii="Arial" w:cs="Arial" w:eastAsia="Arial" w:hAnsi="Arial"/>
          <w:sz w:val="22"/>
          <w:szCs w:val="22"/>
        </w:rPr>
        <w:t xml:space="preserve">This project connects directly to my professional role as Head of Design and Business Development at Shothik AI, a Google and Amazon-backed AI company, where I work on making AI-driven outputs intelligible to non-technical users. The regulatory context — the EU AI Act and UK Consumer Duty — is immediately relevant to the products my team builds. Longer term, the project is designed as a foundation for doctoral research in human-AI interaction or responsible AI design. Success means: a functioning experimental stimulus; valid data from at least 24 participants; and a conceptual model with specific, testable propositions.</w:t>
      </w:r>
    </w:p>
    <w:p>
      <w:pPr>
        <w:spacing w:after="80"/>
      </w:pPr>
      <w:r>
        <w:t xml:space="preserve"/>
      </w:r>
    </w:p>
    <w:p>
      <w:pPr>
        <w:pStyle w:val="Heading2"/>
        <w:spacing w:after="120" w:before="260"/>
      </w:pPr>
      <w:r>
        <w:rPr>
          <w:rFonts w:ascii="Arial" w:cs="Arial" w:eastAsia="Arial" w:hAnsi="Arial"/>
          <w:b/>
          <w:bCs/>
          <w:color w:val="2E74B5"/>
          <w:sz w:val="24"/>
          <w:szCs w:val="24"/>
        </w:rPr>
        <w:t xml:space="preserve">1.7  Resources, Requirements &amp; Risks</w:t>
      </w:r>
    </w:p>
    <w:p>
      <w:pPr>
        <w:pStyle w:val="Heading3"/>
        <w:spacing w:after="80" w:before="200"/>
      </w:pPr>
      <w:r>
        <w:rPr>
          <w:rFonts w:ascii="Arial" w:cs="Arial" w:eastAsia="Arial" w:hAnsi="Arial"/>
          <w:b/>
          <w:bCs/>
          <w:color w:val="404040"/>
          <w:sz w:val="22"/>
          <w:szCs w:val="22"/>
        </w:rPr>
        <w:t xml:space="preserve">Software and Tools Required</w:t>
      </w:r>
    </w:p>
    <w:p>
      <w:pPr>
        <w:pStyle w:val="ListParagraph"/>
        <w:numPr>
          <w:ilvl w:val="0"/>
          <w:numId w:val="2"/>
        </w:numPr>
        <w:spacing w:after="100"/>
        <w:jc w:val="both"/>
      </w:pPr>
      <w:r>
        <w:rPr>
          <w:rFonts w:ascii="Arial" w:cs="Arial" w:eastAsia="Arial" w:hAnsi="Arial"/>
          <w:sz w:val="22"/>
          <w:szCs w:val="22"/>
        </w:rPr>
        <w:t xml:space="preserve">React (Vite): experimental stimulus development</w:t>
      </w:r>
    </w:p>
    <w:p>
      <w:pPr>
        <w:pStyle w:val="ListParagraph"/>
        <w:numPr>
          <w:ilvl w:val="0"/>
          <w:numId w:val="2"/>
        </w:numPr>
        <w:spacing w:after="100"/>
        <w:jc w:val="both"/>
      </w:pPr>
      <w:r>
        <w:rPr>
          <w:rFonts w:ascii="Arial" w:cs="Arial" w:eastAsia="Arial" w:hAnsi="Arial"/>
          <w:sz w:val="22"/>
          <w:szCs w:val="22"/>
        </w:rPr>
        <w:t xml:space="preserve">Tailwind CSS: consistent, accessible styling</w:t>
      </w:r>
    </w:p>
    <w:p>
      <w:pPr>
        <w:pStyle w:val="ListParagraph"/>
        <w:numPr>
          <w:ilvl w:val="0"/>
          <w:numId w:val="2"/>
        </w:numPr>
        <w:spacing w:after="100"/>
        <w:jc w:val="both"/>
      </w:pPr>
      <w:r>
        <w:rPr>
          <w:rFonts w:ascii="Arial" w:cs="Arial" w:eastAsia="Arial" w:hAnsi="Arial"/>
          <w:sz w:val="22"/>
          <w:szCs w:val="22"/>
        </w:rPr>
        <w:t xml:space="preserve">Vercel (free tier): stimulus hosting for remote participant access</w:t>
      </w:r>
    </w:p>
    <w:p>
      <w:pPr>
        <w:pStyle w:val="ListParagraph"/>
        <w:numPr>
          <w:ilvl w:val="0"/>
          <w:numId w:val="2"/>
        </w:numPr>
        <w:spacing w:after="100"/>
        <w:jc w:val="both"/>
      </w:pPr>
      <w:r>
        <w:rPr>
          <w:rFonts w:ascii="Arial" w:cs="Arial" w:eastAsia="Arial" w:hAnsi="Arial"/>
          <w:sz w:val="22"/>
          <w:szCs w:val="22"/>
        </w:rPr>
        <w:t xml:space="preserve">Qualtrics (UCA licence): screening survey and post-task instruments</w:t>
      </w:r>
    </w:p>
    <w:p>
      <w:pPr>
        <w:pStyle w:val="ListParagraph"/>
        <w:numPr>
          <w:ilvl w:val="0"/>
          <w:numId w:val="2"/>
        </w:numPr>
        <w:spacing w:after="100"/>
        <w:jc w:val="both"/>
      </w:pPr>
      <w:r>
        <w:rPr>
          <w:rFonts w:ascii="Arial" w:cs="Arial" w:eastAsia="Arial" w:hAnsi="Arial"/>
          <w:sz w:val="22"/>
          <w:szCs w:val="22"/>
        </w:rPr>
        <w:t xml:space="preserve">Python 3.11 (pandas, scipy, pingouin, matplotlib): statistical analysis pipeline</w:t>
      </w:r>
    </w:p>
    <w:p>
      <w:pPr>
        <w:pStyle w:val="ListParagraph"/>
        <w:numPr>
          <w:ilvl w:val="0"/>
          <w:numId w:val="2"/>
        </w:numPr>
        <w:spacing w:after="100"/>
        <w:jc w:val="both"/>
      </w:pPr>
      <w:r>
        <w:rPr>
          <w:rFonts w:ascii="Arial" w:cs="Arial" w:eastAsia="Arial" w:hAnsi="Arial"/>
          <w:sz w:val="22"/>
          <w:szCs w:val="22"/>
        </w:rPr>
        <w:t xml:space="preserve">Figma: wireframing and experimental protocol documentation</w:t>
      </w:r>
    </w:p>
    <w:p>
      <w:pPr>
        <w:pStyle w:val="ListParagraph"/>
        <w:numPr>
          <w:ilvl w:val="0"/>
          <w:numId w:val="2"/>
        </w:numPr>
        <w:spacing w:after="100"/>
        <w:jc w:val="both"/>
      </w:pPr>
      <w:r>
        <w:rPr>
          <w:rFonts w:ascii="Arial" w:cs="Arial" w:eastAsia="Arial" w:hAnsi="Arial"/>
          <w:sz w:val="22"/>
          <w:szCs w:val="22"/>
        </w:rPr>
        <w:t xml:space="preserve">Notion and GitHub: project management, version control, and open-source release</w:t>
      </w:r>
    </w:p>
    <w:p>
      <w:pPr>
        <w:pStyle w:val="ListParagraph"/>
        <w:numPr>
          <w:ilvl w:val="0"/>
          <w:numId w:val="2"/>
        </w:numPr>
        <w:spacing w:after="100"/>
        <w:jc w:val="both"/>
      </w:pPr>
      <w:r>
        <w:rPr>
          <w:rFonts w:ascii="Arial" w:cs="Arial" w:eastAsia="Arial" w:hAnsi="Arial"/>
          <w:sz w:val="22"/>
          <w:szCs w:val="22"/>
        </w:rPr>
        <w:t xml:space="preserve">Otter.ai + manual correction: interview transcription</w:t>
      </w:r>
    </w:p>
    <w:p>
      <w:pPr>
        <w:spacing w:after="80"/>
      </w:pPr>
      <w:r>
        <w:t xml:space="preserve"/>
      </w:r>
    </w:p>
    <w:p>
      <w:pPr>
        <w:pStyle w:val="Heading3"/>
        <w:spacing w:after="80" w:before="200"/>
      </w:pPr>
      <w:r>
        <w:rPr>
          <w:rFonts w:ascii="Arial" w:cs="Arial" w:eastAsia="Arial" w:hAnsi="Arial"/>
          <w:b/>
          <w:bCs/>
          <w:color w:val="404040"/>
          <w:sz w:val="22"/>
          <w:szCs w:val="22"/>
        </w:rPr>
        <w:t xml:space="preserve">Key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2526"/>
        <w:gridCol w:w="2400"/>
      </w:tblGrid>
      <w:tr>
        <w:trPr>
          <w:tblHeader/>
        </w:trPr>
        <w:tc>
          <w:tcPr>
            <w:tcW w:type="dxa" w:w="3200"/>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900"/>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526"/>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400"/>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Contingency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Scenario realism: fictional profiles may not engage authentic decision-making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Med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Base profiles on UK consumer credit benchmarks; collect realism ratings in pilot (target ≥4/5)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Consult German Credit Dataset to calibrate profile values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Demand characteristics: participants guess the study hypothesis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Med</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Use a neutral cover story; full debrief immediately after session; add suspicion probe at end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Exclude data from participants who correctly identified the hypothesis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Statistical power: n=10–15 per condition may be insufficient for moderation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Med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G*Power analysis before recruitment; moderation findings treated as exploratory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Drop moderation analysis if n falls below 8 per condition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Recruitment: 30–45 varied participants within 6 weeks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Med-Hi</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Parallel recruitment from week one; £5 voucher incentive; screener under 2 minutes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Accept n=24 minimum; widen to Shothik AI colleagues if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Calibration metric: no agreed operationalisation in HCI literature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Med</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Review Merritt et al. (2013) and Parasuraman et al. (2000); pre-register chosen metric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Use raw acceptance rate as primary measure if calibration score is uncomputable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Ethics approval delay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Low</w:t>
            </w:r>
          </w:p>
        </w:tc>
        <w:tc>
          <w:tcPr>
            <w:tcW w:type="dxa" w:w="2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Submit application in week one; stimulus development proceeds in parallel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Extend pilot phase to fill any gap caused by approval delay</w:t>
            </w:r>
          </w:p>
        </w:tc>
      </w:tr>
    </w:tbl>
    <w:p>
      <w:pPr>
        <w:spacing w:after="80"/>
      </w:pPr>
      <w:r>
        <w:t xml:space="preserve"/>
      </w:r>
    </w:p>
    <w:p>
      <w:pPr>
        <w:pStyle w:val="Heading2"/>
        <w:spacing w:after="120" w:before="260"/>
      </w:pPr>
      <w:r>
        <w:rPr>
          <w:rFonts w:ascii="Arial" w:cs="Arial" w:eastAsia="Arial" w:hAnsi="Arial"/>
          <w:b/>
          <w:bCs/>
          <w:color w:val="2E74B5"/>
          <w:sz w:val="24"/>
          <w:szCs w:val="24"/>
        </w:rPr>
        <w:t xml:space="preserve">1.8  Initial Reflection on Scope &amp; Feasibility</w:t>
      </w:r>
    </w:p>
    <w:p>
      <w:pPr>
        <w:spacing w:after="160" w:line="276"/>
        <w:jc w:val="both"/>
      </w:pPr>
      <w:r>
        <w:rPr>
          <w:rFonts w:ascii="Arial" w:cs="Arial" w:eastAsia="Arial" w:hAnsi="Arial"/>
          <w:sz w:val="22"/>
          <w:szCs w:val="22"/>
        </w:rPr>
        <w:t xml:space="preserve">The scope is deliberately constrained to maximise internal validity. A single experimental task — ten loan-decision scenarios with a controlled accuracy pattern — isolates the variables of interest without ecological validity trade-offs. This is appropriate for a first empirical investigation of trust calibration in this domain; ecological validity is an acknowledged limitation and a priority for follow-on research.</w:t>
      </w:r>
    </w:p>
    <w:p>
      <w:pPr>
        <w:spacing w:after="160" w:line="276"/>
        <w:jc w:val="both"/>
      </w:pPr>
      <w:r>
        <w:rPr>
          <w:rFonts w:ascii="Arial" w:cs="Arial" w:eastAsia="Arial" w:hAnsi="Arial"/>
          <w:sz w:val="22"/>
          <w:szCs w:val="22"/>
        </w:rPr>
        <w:t xml:space="preserve">The minimum viable study is: a functional experimental stimulus presenting all ten scenarios reliably; valid data from at least 24 participants (8 per condition); and completed interview transcripts from at least 12 participants (4 per condition). These thresholds are pre-stated here and will be reiterated in the pre-registration document.</w:t>
      </w:r>
    </w:p>
    <w:p>
      <w:pPr>
        <w:spacing w:after="160" w:line="276"/>
        <w:jc w:val="both"/>
      </w:pPr>
      <w:r>
        <w:rPr>
          <w:rFonts w:ascii="Arial" w:cs="Arial" w:eastAsia="Arial" w:hAnsi="Arial"/>
          <w:sz w:val="22"/>
          <w:szCs w:val="22"/>
        </w:rPr>
        <w:t xml:space="preserve">The area of greatest methodological uncertainty is calibration score operationalisation. This will be resolved by reviewing Merritt et al. (2013) and Parasuraman et al. (2000) before finalising the analysis plan. Tutorial support will be most valuable during weeks 1–3 (scenario design and metric definition) and weeks 9–11 (ANOVA model specification and thematic analysis process).</w:t>
      </w:r>
    </w:p>
    <w:p>
      <w:pPr>
        <w:spacing w:after="160" w:line="276"/>
        <w:jc w:val="both"/>
      </w:pPr>
      <w:r>
        <w:rPr>
          <w:rFonts w:ascii="Arial" w:cs="Arial" w:eastAsia="Arial" w:hAnsi="Arial"/>
          <w:sz w:val="22"/>
          <w:szCs w:val="22"/>
        </w:rPr>
        <w:t xml:space="preserve">No new technical skills are required. React development is established through BubbleDo and the Adaptive VR Workspace prototype (FGCT7022, FGCT7023). Python statistical analysis is established through the CITDI 2026 conference paper. ANOVA and moderation analysis in Python (pingouin) is the only new component; a technical rehearsal with a synthetic dataset will be completed in week two before data collection begins.</w:t>
      </w:r>
    </w:p>
    <w:p>
      <w:pPr>
        <w:spacing w:after="80"/>
      </w:pPr>
      <w:r>
        <w:t xml:space="preserve"/>
      </w:r>
    </w:p>
    <w:p>
      <w:pPr>
        <w:pStyle w:val="Heading1"/>
        <w:spacing w:after="160" w:before="320"/>
      </w:pPr>
      <w:r>
        <w:rPr>
          <w:rFonts w:ascii="Arial" w:cs="Arial" w:eastAsia="Arial" w:hAnsi="Arial"/>
          <w:b/>
          <w:bCs/>
          <w:color w:val="1F4E79"/>
          <w:sz w:val="28"/>
          <w:szCs w:val="28"/>
        </w:rPr>
        <w:t xml:space="preserve">2. Research Plan</w:t>
      </w:r>
    </w:p>
    <w:p>
      <w:pPr>
        <w:pStyle w:val="Heading2"/>
        <w:spacing w:after="120" w:before="260"/>
      </w:pPr>
      <w:r>
        <w:rPr>
          <w:rFonts w:ascii="Arial" w:cs="Arial" w:eastAsia="Arial" w:hAnsi="Arial"/>
          <w:b/>
          <w:bCs/>
          <w:color w:val="2E74B5"/>
          <w:sz w:val="24"/>
          <w:szCs w:val="24"/>
        </w:rPr>
        <w:t xml:space="preserve">2.1  Research Objectives</w:t>
      </w:r>
    </w:p>
    <w:p>
      <w:pPr>
        <w:pStyle w:val="Heading3"/>
        <w:spacing w:after="80" w:before="200"/>
      </w:pPr>
      <w:r>
        <w:rPr>
          <w:rFonts w:ascii="Arial" w:cs="Arial" w:eastAsia="Arial" w:hAnsi="Arial"/>
          <w:b/>
          <w:bCs/>
          <w:color w:val="404040"/>
          <w:sz w:val="22"/>
          <w:szCs w:val="22"/>
        </w:rPr>
        <w:t xml:space="preserve">Primary Research Areas</w:t>
      </w:r>
    </w:p>
    <w:p>
      <w:pPr>
        <w:pStyle w:val="ListParagraph"/>
        <w:numPr>
          <w:ilvl w:val="0"/>
          <w:numId w:val="2"/>
        </w:numPr>
        <w:spacing w:after="100"/>
        <w:jc w:val="both"/>
      </w:pPr>
      <w:r>
        <w:rPr>
          <w:rFonts w:ascii="Arial" w:cs="Arial" w:eastAsia="Arial" w:hAnsi="Arial"/>
          <w:sz w:val="22"/>
          <w:szCs w:val="22"/>
        </w:rPr>
        <w:t xml:space="preserve">Trust calibration in human-automation interaction: theoretical frameworks (Lee and See, 2004; Parasuraman and Riley, 1997; Hoff and Bashir, 2015), measurement methodologies, and empirical findings across aviation, manufacturing, and decision support domains.</w:t>
      </w:r>
    </w:p>
    <w:p>
      <w:pPr>
        <w:pStyle w:val="ListParagraph"/>
        <w:numPr>
          <w:ilvl w:val="0"/>
          <w:numId w:val="2"/>
        </w:numPr>
        <w:spacing w:after="100"/>
        <w:jc w:val="both"/>
      </w:pPr>
      <w:r>
        <w:rPr>
          <w:rFonts w:ascii="Arial" w:cs="Arial" w:eastAsia="Arial" w:hAnsi="Arial"/>
          <w:sz w:val="22"/>
          <w:szCs w:val="22"/>
        </w:rPr>
        <w:t xml:space="preserve">Algorithmic aversion and appreciation: conditions, moderators, and domain-specific manifestations in high-stakes decision contexts (Dietvorst et al., 2015; Logg et al., 2019).</w:t>
      </w:r>
    </w:p>
    <w:p>
      <w:pPr>
        <w:pStyle w:val="ListParagraph"/>
        <w:numPr>
          <w:ilvl w:val="0"/>
          <w:numId w:val="2"/>
        </w:numPr>
        <w:spacing w:after="100"/>
        <w:jc w:val="both"/>
      </w:pPr>
      <w:r>
        <w:rPr>
          <w:rFonts w:ascii="Arial" w:cs="Arial" w:eastAsia="Arial" w:hAnsi="Arial"/>
          <w:sz w:val="22"/>
          <w:szCs w:val="22"/>
        </w:rPr>
        <w:t xml:space="preserve">Explainable AI and user-facing explanation: the gap between technical interpretability and communicative intelligibility for lay users (Adadi and Berrada, 2018; Chromik and Eiband, 2019; Wachter et al., 2017; Singla et al., 2025).</w:t>
      </w:r>
    </w:p>
    <w:p>
      <w:pPr>
        <w:pStyle w:val="ListParagraph"/>
        <w:numPr>
          <w:ilvl w:val="0"/>
          <w:numId w:val="2"/>
        </w:numPr>
        <w:spacing w:after="100"/>
        <w:jc w:val="both"/>
      </w:pPr>
      <w:r>
        <w:rPr>
          <w:rFonts w:ascii="Arial" w:cs="Arial" w:eastAsia="Arial" w:hAnsi="Arial"/>
          <w:sz w:val="22"/>
          <w:szCs w:val="22"/>
        </w:rPr>
        <w:t xml:space="preserve">Human factors in financial decision-making: dual-process theory, risk perception, financial literacy as a moderator (Kahneman, 2011; Lusardi and Mitchell, 2011).</w:t>
      </w:r>
    </w:p>
    <w:p>
      <w:pPr>
        <w:pStyle w:val="ListParagraph"/>
        <w:numPr>
          <w:ilvl w:val="0"/>
          <w:numId w:val="2"/>
        </w:numPr>
        <w:spacing w:after="100"/>
        <w:jc w:val="both"/>
      </w:pPr>
      <w:r>
        <w:rPr>
          <w:rFonts w:ascii="Arial" w:cs="Arial" w:eastAsia="Arial" w:hAnsi="Arial"/>
          <w:sz w:val="22"/>
          <w:szCs w:val="22"/>
        </w:rPr>
        <w:t xml:space="preserve">HCI principles in AI system design: how established HCI frameworks apply to AI recommendation interfaces (Mushtaq, 2026; Karmakar and Shazzad, 2026).</w:t>
      </w:r>
    </w:p>
    <w:p>
      <w:pPr>
        <w:pStyle w:val="Heading3"/>
        <w:spacing w:after="80" w:before="200"/>
      </w:pPr>
      <w:r>
        <w:rPr>
          <w:rFonts w:ascii="Arial" w:cs="Arial" w:eastAsia="Arial" w:hAnsi="Arial"/>
          <w:b/>
          <w:bCs/>
          <w:color w:val="404040"/>
          <w:sz w:val="22"/>
          <w:szCs w:val="22"/>
        </w:rPr>
        <w:t xml:space="preserve">Secondary Research Areas</w:t>
      </w:r>
    </w:p>
    <w:p>
      <w:pPr>
        <w:pStyle w:val="ListParagraph"/>
        <w:numPr>
          <w:ilvl w:val="0"/>
          <w:numId w:val="2"/>
        </w:numPr>
        <w:spacing w:after="100"/>
        <w:jc w:val="both"/>
      </w:pPr>
      <w:r>
        <w:rPr>
          <w:rFonts w:ascii="Arial" w:cs="Arial" w:eastAsia="Arial" w:hAnsi="Arial"/>
          <w:sz w:val="22"/>
          <w:szCs w:val="22"/>
        </w:rPr>
        <w:t xml:space="preserve">Regulatory frameworks: EU AI Act (2024) and UK FCA Consumer Duty (2023) — specific behavioural requirements and current evidence gaps.</w:t>
      </w:r>
    </w:p>
    <w:p>
      <w:pPr>
        <w:pStyle w:val="ListParagraph"/>
        <w:numPr>
          <w:ilvl w:val="0"/>
          <w:numId w:val="2"/>
        </w:numPr>
        <w:spacing w:after="100"/>
        <w:jc w:val="both"/>
      </w:pPr>
      <w:r>
        <w:rPr>
          <w:rFonts w:ascii="Arial" w:cs="Arial" w:eastAsia="Arial" w:hAnsi="Arial"/>
          <w:sz w:val="22"/>
          <w:szCs w:val="22"/>
        </w:rPr>
        <w:t xml:space="preserve">AI-driven credit scoring systems: scale, accuracy, and XAI integration in deployed systems (Kumbhar et al., 2024; Sharma and Logeshwaran, 2024; Chilukala et al., 2025; Vij et al., 2025; Battu et al., 2025).</w:t>
      </w:r>
    </w:p>
    <w:p>
      <w:pPr>
        <w:pStyle w:val="ListParagraph"/>
        <w:numPr>
          <w:ilvl w:val="0"/>
          <w:numId w:val="2"/>
        </w:numPr>
        <w:spacing w:after="100"/>
        <w:jc w:val="both"/>
      </w:pPr>
      <w:r>
        <w:rPr>
          <w:rFonts w:ascii="Arial" w:cs="Arial" w:eastAsia="Arial" w:hAnsi="Arial"/>
          <w:sz w:val="22"/>
          <w:szCs w:val="22"/>
        </w:rPr>
        <w:t xml:space="preserve">XAI in fraud detection and financial services: SHAP, LIME, and explainability evaluation in fintech contexts (Kotrachai et al., 2023; Keerthana et al., 2025; Mukherjee et al., 2025).</w:t>
      </w:r>
    </w:p>
    <w:p>
      <w:pPr>
        <w:pStyle w:val="ListParagraph"/>
        <w:numPr>
          <w:ilvl w:val="0"/>
          <w:numId w:val="2"/>
        </w:numPr>
        <w:spacing w:after="100"/>
        <w:jc w:val="both"/>
      </w:pPr>
      <w:r>
        <w:rPr>
          <w:rFonts w:ascii="Arial" w:cs="Arial" w:eastAsia="Arial" w:hAnsi="Arial"/>
          <w:sz w:val="22"/>
          <w:szCs w:val="22"/>
        </w:rPr>
        <w:t xml:space="preserve">Experimental methodology: between-subjects design, calibration metric operationalisation, demand characteristics management, pre-registration practice.</w:t>
      </w:r>
    </w:p>
    <w:p>
      <w:pPr>
        <w:spacing w:after="160" w:line="276"/>
        <w:jc w:val="both"/>
      </w:pPr>
      <w:r>
        <w:rPr>
          <w:rFonts w:ascii="Arial" w:cs="Arial" w:eastAsia="Arial" w:hAnsi="Arial"/>
          <w:sz w:val="22"/>
          <w:szCs w:val="22"/>
        </w:rPr>
        <w:t xml:space="preserve">These research areas will inform: the theoretical framing of the conceptual model; the experimental scenario design; the selection and operationalisation of all measures; and the contextualisation of findings within regulatory and practitioner discourse.</w:t>
      </w:r>
    </w:p>
    <w:p>
      <w:pPr>
        <w:spacing w:after="80"/>
      </w:pPr>
      <w:r>
        <w:t xml:space="preserve"/>
      </w:r>
    </w:p>
    <w:p>
      <w:pPr>
        <w:pStyle w:val="Heading2"/>
        <w:spacing w:after="120" w:before="260"/>
      </w:pPr>
      <w:r>
        <w:rPr>
          <w:rFonts w:ascii="Arial" w:cs="Arial" w:eastAsia="Arial" w:hAnsi="Arial"/>
          <w:b/>
          <w:bCs/>
          <w:color w:val="2E74B5"/>
          <w:sz w:val="24"/>
          <w:szCs w:val="24"/>
        </w:rPr>
        <w:t xml:space="preserve">2.2  Literature, Contextual &amp; Case Study Review</w:t>
      </w:r>
    </w:p>
    <w:p>
      <w:pPr>
        <w:pStyle w:val="Heading3"/>
        <w:spacing w:after="80" w:before="200"/>
      </w:pPr>
      <w:r>
        <w:rPr>
          <w:rFonts w:ascii="Arial" w:cs="Arial" w:eastAsia="Arial" w:hAnsi="Arial"/>
          <w:b/>
          <w:bCs/>
          <w:color w:val="404040"/>
          <w:sz w:val="22"/>
          <w:szCs w:val="22"/>
        </w:rPr>
        <w:t xml:space="preserve">Core Academic Literature</w:t>
      </w:r>
    </w:p>
    <w:p>
      <w:pPr>
        <w:spacing w:after="160" w:line="276"/>
        <w:jc w:val="both"/>
      </w:pPr>
      <w:r>
        <w:rPr>
          <w:rFonts w:ascii="Arial" w:cs="Arial" w:eastAsia="Arial" w:hAnsi="Arial"/>
          <w:sz w:val="22"/>
          <w:szCs w:val="22"/>
        </w:rPr>
        <w:t xml:space="preserve">The foundational literature spans four bodies of work. First, human factors and automation trust research: Lee and See (2004), Parasuraman, Sheridan and Wickens (2000), and Cummings (2017) provide the theoretical architecture for understanding calibration, automation bias, and the conditions under which misuse and disuse occur. Second, algorithmic aversion and appreciation research: Dietvorst, Logg and Massey (2015) and Logg, Minson and Moore (2019) document the two primary calibration failure modes. Third, XAI evaluation research: Ribeiro et al. (2016), Lundberg and Lee (2017), Wachter et al. (2017), and Doshi-Velez and Kim (2017) establish the technical landscape and call for behavioural evaluation as the research standard. Fourth, HCI and AI interface design: Singla et al. (2025), Mushtaq (2026), and Karmakar and Shazzad (2026) provide contemporary empirical and conceptual grounding for how AI systems should be designed and evaluated from a human-centred perspective.</w:t>
      </w:r>
    </w:p>
    <w:p>
      <w:pPr>
        <w:spacing w:after="160" w:line="276"/>
        <w:jc w:val="both"/>
      </w:pPr>
      <w:r>
        <w:rPr>
          <w:rFonts w:ascii="Arial" w:cs="Arial" w:eastAsia="Arial" w:hAnsi="Arial"/>
          <w:sz w:val="22"/>
          <w:szCs w:val="22"/>
        </w:rPr>
        <w:t xml:space="preserve">The most significant gap is the absence of behavioural trust calibration studies — using behavioural rather than self-report measures, measuring calibration trajectory rather than static trust levels — in personal financial decision contexts. The empirical credit scoring literature (Kumbhar et al., 2024; Chilukala et al., 2025; Battu et al., 2025) demonstrates rapid AI adoption in lending decisions, while XAI evaluation studies in adjacent fintech domains (Kotrachai et al., 2023; Keerthana et al., 2025) show that SHAP and LIME explanations are technically available but have not been evaluated for their effect on end-user trust calibration. This project is positioned at the intersection of these two bodies of work.</w:t>
      </w:r>
    </w:p>
    <w:p>
      <w:pPr>
        <w:pStyle w:val="Heading3"/>
        <w:spacing w:after="80" w:before="200"/>
      </w:pPr>
      <w:r>
        <w:rPr>
          <w:rFonts w:ascii="Arial" w:cs="Arial" w:eastAsia="Arial" w:hAnsi="Arial"/>
          <w:b/>
          <w:bCs/>
          <w:color w:val="404040"/>
          <w:sz w:val="22"/>
          <w:szCs w:val="22"/>
        </w:rPr>
        <w:t xml:space="preserve">Contextual and Industry Review</w:t>
      </w:r>
    </w:p>
    <w:p>
      <w:pPr>
        <w:spacing w:after="160" w:line="276"/>
        <w:jc w:val="both"/>
      </w:pPr>
      <w:r>
        <w:rPr>
          <w:rFonts w:ascii="Arial" w:cs="Arial" w:eastAsia="Arial" w:hAnsi="Arial"/>
          <w:sz w:val="22"/>
          <w:szCs w:val="22"/>
        </w:rPr>
        <w:t xml:space="preserve">A structured review of how AI explanation is currently implemented in deployed UK fintech products will be conducted before finalising the experimental design, examining credit decision interfaces from UK-regulated lenders, major credit reference agencies (Experian, Equifax, TransUnion), and algorithmic lending platforms. The review assesses: whether explanation is provided; what modality is used; whether counterfactual guidance is included; how confidence is communicated; and whether plain English requirements are met. Findings will be documented as contextual evidence in the portfolio.</w:t>
      </w:r>
    </w:p>
    <w:p>
      <w:pPr>
        <w:spacing w:after="80"/>
      </w:pPr>
      <w:r>
        <w:t xml:space="preserve"/>
      </w:r>
    </w:p>
    <w:p>
      <w:pPr>
        <w:pStyle w:val="Heading2"/>
        <w:spacing w:after="120" w:before="260"/>
      </w:pPr>
      <w:r>
        <w:rPr>
          <w:rFonts w:ascii="Arial" w:cs="Arial" w:eastAsia="Arial" w:hAnsi="Arial"/>
          <w:b/>
          <w:bCs/>
          <w:color w:val="2E74B5"/>
          <w:sz w:val="24"/>
          <w:szCs w:val="24"/>
        </w:rPr>
        <w:t xml:space="preserve">2.3  Research Methods</w:t>
      </w:r>
    </w:p>
    <w:p>
      <w:pPr>
        <w:pStyle w:val="Heading3"/>
        <w:spacing w:after="80" w:before="200"/>
      </w:pPr>
      <w:r>
        <w:rPr>
          <w:rFonts w:ascii="Arial" w:cs="Arial" w:eastAsia="Arial" w:hAnsi="Arial"/>
          <w:b/>
          <w:bCs/>
          <w:color w:val="404040"/>
          <w:sz w:val="22"/>
          <w:szCs w:val="22"/>
        </w:rPr>
        <w:t xml:space="preserve">Primary Research</w:t>
      </w:r>
    </w:p>
    <w:p>
      <w:pPr>
        <w:pStyle w:val="ListParagraph"/>
        <w:numPr>
          <w:ilvl w:val="0"/>
          <w:numId w:val="2"/>
        </w:numPr>
        <w:spacing w:after="100"/>
        <w:jc w:val="both"/>
      </w:pPr>
      <w:r>
        <w:rPr>
          <w:rFonts w:ascii="Arial" w:cs="Arial" w:eastAsia="Arial" w:hAnsi="Arial"/>
          <w:sz w:val="22"/>
          <w:szCs w:val="22"/>
        </w:rPr>
        <w:t xml:space="preserve">Controlled behavioural experiment: between-subjects design (explanation condition: none, surface, counterfactual) with ten loan-decision scenarios per participant, measuring behavioural trust rate, calibration score, mental model accuracy, and override quality.</w:t>
      </w:r>
    </w:p>
    <w:p>
      <w:pPr>
        <w:pStyle w:val="ListParagraph"/>
        <w:numPr>
          <w:ilvl w:val="0"/>
          <w:numId w:val="2"/>
        </w:numPr>
        <w:spacing w:after="100"/>
        <w:jc w:val="both"/>
      </w:pPr>
      <w:r>
        <w:rPr>
          <w:rFonts w:ascii="Arial" w:cs="Arial" w:eastAsia="Arial" w:hAnsi="Arial"/>
          <w:sz w:val="22"/>
          <w:szCs w:val="22"/>
        </w:rPr>
        <w:t xml:space="preserve">Semi-structured interviews (20–25 minutes) conducted after the experimental task, exploring reasoning behind trust decisions, emotional responses to AI error, and perceived fairness of the AI system.</w:t>
      </w:r>
    </w:p>
    <w:p>
      <w:pPr>
        <w:pStyle w:val="ListParagraph"/>
        <w:numPr>
          <w:ilvl w:val="0"/>
          <w:numId w:val="2"/>
        </w:numPr>
        <w:spacing w:after="100"/>
        <w:jc w:val="both"/>
      </w:pPr>
      <w:r>
        <w:rPr>
          <w:rFonts w:ascii="Arial" w:cs="Arial" w:eastAsia="Arial" w:hAnsi="Arial"/>
          <w:sz w:val="22"/>
          <w:szCs w:val="22"/>
        </w:rPr>
        <w:t xml:space="preserve">Pilot study with three participants before main data collection, validating scenario realism, confirming session duration, and refining the interview protocol.</w:t>
      </w:r>
    </w:p>
    <w:p>
      <w:pPr>
        <w:pStyle w:val="Heading3"/>
        <w:spacing w:after="80" w:before="200"/>
      </w:pPr>
      <w:r>
        <w:rPr>
          <w:rFonts w:ascii="Arial" w:cs="Arial" w:eastAsia="Arial" w:hAnsi="Arial"/>
          <w:b/>
          <w:bCs/>
          <w:color w:val="404040"/>
          <w:sz w:val="22"/>
          <w:szCs w:val="22"/>
        </w:rPr>
        <w:t xml:space="preserve">Secondary Research</w:t>
      </w:r>
    </w:p>
    <w:p>
      <w:pPr>
        <w:pStyle w:val="ListParagraph"/>
        <w:numPr>
          <w:ilvl w:val="0"/>
          <w:numId w:val="2"/>
        </w:numPr>
        <w:spacing w:after="100"/>
        <w:jc w:val="both"/>
      </w:pPr>
      <w:r>
        <w:rPr>
          <w:rFonts w:ascii="Arial" w:cs="Arial" w:eastAsia="Arial" w:hAnsi="Arial"/>
          <w:sz w:val="22"/>
          <w:szCs w:val="22"/>
        </w:rPr>
        <w:t xml:space="preserve">Systematic literature review of trust calibration theory, algorithmic aversion and appreciation, XAI behavioural evaluation, and HCI principles in AI interface design using ACM Digital Library, IEEE Xplore, and Google Scholar.</w:t>
      </w:r>
    </w:p>
    <w:p>
      <w:pPr>
        <w:pStyle w:val="ListParagraph"/>
        <w:numPr>
          <w:ilvl w:val="0"/>
          <w:numId w:val="2"/>
        </w:numPr>
        <w:spacing w:after="100"/>
        <w:jc w:val="both"/>
      </w:pPr>
      <w:r>
        <w:rPr>
          <w:rFonts w:ascii="Arial" w:cs="Arial" w:eastAsia="Arial" w:hAnsi="Arial"/>
          <w:sz w:val="22"/>
          <w:szCs w:val="22"/>
        </w:rPr>
        <w:t xml:space="preserve">Competitive review of AI explanation in deployed UK fintech products.</w:t>
      </w:r>
    </w:p>
    <w:p>
      <w:pPr>
        <w:pStyle w:val="ListParagraph"/>
        <w:numPr>
          <w:ilvl w:val="0"/>
          <w:numId w:val="2"/>
        </w:numPr>
        <w:spacing w:after="100"/>
        <w:jc w:val="both"/>
      </w:pPr>
      <w:r>
        <w:rPr>
          <w:rFonts w:ascii="Arial" w:cs="Arial" w:eastAsia="Arial" w:hAnsi="Arial"/>
          <w:sz w:val="22"/>
          <w:szCs w:val="22"/>
        </w:rPr>
        <w:t xml:space="preserve">Regulatory document analysis: EU AI Act (2024) and FCA Consumer Duty (2023) reviewed for specific behavioural requirements and evidence gaps.</w:t>
      </w:r>
    </w:p>
    <w:p>
      <w:pPr>
        <w:spacing w:after="160" w:line="276"/>
        <w:jc w:val="both"/>
      </w:pPr>
      <w:r>
        <w:rPr>
          <w:rFonts w:ascii="Arial" w:cs="Arial" w:eastAsia="Arial" w:hAnsi="Arial"/>
          <w:sz w:val="22"/>
          <w:szCs w:val="22"/>
        </w:rPr>
        <w:t xml:space="preserve">These methods are appropriate because the research question is simultaneously causal (requiring experimental control) and interpretive (requiring qualitative depth). The between-subjects design prevents learning effects from contaminating the calibration trajectory measurement across conditions.</w:t>
      </w:r>
    </w:p>
    <w:p>
      <w:pPr>
        <w:spacing w:after="80"/>
      </w:pPr>
      <w:r>
        <w:t xml:space="preserve"/>
      </w:r>
    </w:p>
    <w:p>
      <w:pPr>
        <w:pStyle w:val="Heading2"/>
        <w:spacing w:after="120" w:before="260"/>
      </w:pPr>
      <w:r>
        <w:rPr>
          <w:rFonts w:ascii="Arial" w:cs="Arial" w:eastAsia="Arial" w:hAnsi="Arial"/>
          <w:b/>
          <w:bCs/>
          <w:color w:val="2E74B5"/>
          <w:sz w:val="24"/>
          <w:szCs w:val="24"/>
        </w:rPr>
        <w:t xml:space="preserve">2.4  Ethical Considerations</w:t>
      </w:r>
    </w:p>
    <w:p>
      <w:pPr>
        <w:spacing w:after="160" w:line="276"/>
        <w:jc w:val="both"/>
      </w:pPr>
      <w:r>
        <w:rPr>
          <w:rFonts w:ascii="Arial" w:cs="Arial" w:eastAsia="Arial" w:hAnsi="Arial"/>
          <w:sz w:val="22"/>
          <w:szCs w:val="22"/>
        </w:rPr>
        <w:t xml:space="preserve">Ethical approval will be sought through UCA’s standard ethics review process before any data collection begins. No recruitment will proceed until written approval is confirmed.</w:t>
      </w:r>
    </w:p>
    <w:p>
      <w:pPr>
        <w:pStyle w:val="ListParagraph"/>
        <w:numPr>
          <w:ilvl w:val="0"/>
          <w:numId w:val="2"/>
        </w:numPr>
        <w:spacing w:after="100"/>
        <w:jc w:val="both"/>
      </w:pPr>
      <w:r>
        <w:rPr>
          <w:rFonts w:ascii="Arial" w:cs="Arial" w:eastAsia="Arial" w:hAnsi="Arial"/>
          <w:sz w:val="22"/>
          <w:szCs w:val="22"/>
        </w:rPr>
        <w:t xml:space="preserve">Informed consent and withdrawal: written consent obtained before each session; participants may withdraw at any time without penalty.</w:t>
      </w:r>
    </w:p>
    <w:p>
      <w:pPr>
        <w:pStyle w:val="ListParagraph"/>
        <w:numPr>
          <w:ilvl w:val="0"/>
          <w:numId w:val="2"/>
        </w:numPr>
        <w:spacing w:after="100"/>
        <w:jc w:val="both"/>
      </w:pPr>
      <w:r>
        <w:rPr>
          <w:rFonts w:ascii="Arial" w:cs="Arial" w:eastAsia="Arial" w:hAnsi="Arial"/>
          <w:sz w:val="22"/>
          <w:szCs w:val="22"/>
        </w:rPr>
        <w:t xml:space="preserve">Cover story and debrief: a neutral cover story reduces demand characteristics; a full verbal and written debrief follows every session explaining the true purpose and the fictional nature of all scenarios.</w:t>
      </w:r>
    </w:p>
    <w:p>
      <w:pPr>
        <w:pStyle w:val="ListParagraph"/>
        <w:numPr>
          <w:ilvl w:val="0"/>
          <w:numId w:val="2"/>
        </w:numPr>
        <w:spacing w:after="100"/>
        <w:jc w:val="both"/>
      </w:pPr>
      <w:r>
        <w:rPr>
          <w:rFonts w:ascii="Arial" w:cs="Arial" w:eastAsia="Arial" w:hAnsi="Arial"/>
          <w:sz w:val="22"/>
          <w:szCs w:val="22"/>
        </w:rPr>
        <w:t xml:space="preserve">Emotional sensitivity: loan refusal is emotionally sensitive; consent materials state clearly that all scenarios are fictional and involve no assessment of participants’ own finances; participants are reminded of this at session start.</w:t>
      </w:r>
    </w:p>
    <w:p>
      <w:pPr>
        <w:pStyle w:val="ListParagraph"/>
        <w:numPr>
          <w:ilvl w:val="0"/>
          <w:numId w:val="2"/>
        </w:numPr>
        <w:spacing w:after="100"/>
        <w:jc w:val="both"/>
      </w:pPr>
      <w:r>
        <w:rPr>
          <w:rFonts w:ascii="Arial" w:cs="Arial" w:eastAsia="Arial" w:hAnsi="Arial"/>
          <w:sz w:val="22"/>
          <w:szCs w:val="22"/>
        </w:rPr>
        <w:t xml:space="preserve">Data privacy and storage: all data anonymised before analysis; recordings deleted after transcription; data stored on UCA-approved encrypted systems in compliance with GDPR.</w:t>
      </w:r>
    </w:p>
    <w:p>
      <w:pPr>
        <w:pStyle w:val="ListParagraph"/>
        <w:numPr>
          <w:ilvl w:val="0"/>
          <w:numId w:val="2"/>
        </w:numPr>
        <w:spacing w:after="100"/>
        <w:jc w:val="both"/>
      </w:pPr>
      <w:r>
        <w:rPr>
          <w:rFonts w:ascii="Arial" w:cs="Arial" w:eastAsia="Arial" w:hAnsi="Arial"/>
          <w:sz w:val="22"/>
          <w:szCs w:val="22"/>
        </w:rPr>
        <w:t xml:space="preserve">Representation and bias: fictional applicant profiles reviewed to ensure demographic characteristics are not used as proxies for creditworthiness.</w:t>
      </w:r>
    </w:p>
    <w:p>
      <w:pPr>
        <w:pStyle w:val="ListParagraph"/>
        <w:numPr>
          <w:ilvl w:val="0"/>
          <w:numId w:val="2"/>
        </w:numPr>
        <w:spacing w:after="100"/>
        <w:jc w:val="both"/>
      </w:pPr>
      <w:r>
        <w:rPr>
          <w:rFonts w:ascii="Arial" w:cs="Arial" w:eastAsia="Arial" w:hAnsi="Arial"/>
          <w:sz w:val="22"/>
          <w:szCs w:val="22"/>
        </w:rPr>
        <w:t xml:space="preserve">Accessibility and inclusion: experimental stimulus tested against WCAG 2.2 AA; participants not excluded on the basis of low digital confidence or financial literacy.</w:t>
      </w:r>
    </w:p>
    <w:p>
      <w:pPr>
        <w:pStyle w:val="ListParagraph"/>
        <w:numPr>
          <w:ilvl w:val="0"/>
          <w:numId w:val="2"/>
        </w:numPr>
        <w:spacing w:after="100"/>
        <w:jc w:val="both"/>
      </w:pPr>
      <w:r>
        <w:rPr>
          <w:rFonts w:ascii="Arial" w:cs="Arial" w:eastAsia="Arial" w:hAnsi="Arial"/>
          <w:sz w:val="22"/>
          <w:szCs w:val="22"/>
        </w:rPr>
        <w:t xml:space="preserve">Environmental sustainability: the project is fully remote-capable, minimising travel; digital-only data storage with no physical waste generated.</w:t>
      </w:r>
    </w:p>
    <w:p>
      <w:pPr>
        <w:pStyle w:val="ListParagraph"/>
        <w:numPr>
          <w:ilvl w:val="0"/>
          <w:numId w:val="2"/>
        </w:numPr>
        <w:spacing w:after="100"/>
        <w:jc w:val="both"/>
      </w:pPr>
      <w:r>
        <w:rPr>
          <w:rFonts w:ascii="Arial" w:cs="Arial" w:eastAsia="Arial" w:hAnsi="Arial"/>
          <w:sz w:val="22"/>
          <w:szCs w:val="22"/>
        </w:rPr>
        <w:t xml:space="preserve">Pre-registration: full analysis plan pre-registered on the Open Science Framework before data collection, ensuring transparent reporting of all primary analyses.</w:t>
      </w:r>
    </w:p>
    <w:p>
      <w:pPr>
        <w:spacing w:after="80"/>
      </w:pPr>
      <w:r>
        <w:t xml:space="preserve"/>
      </w:r>
    </w:p>
    <w:p>
      <w:pPr>
        <w:pStyle w:val="Heading1"/>
        <w:spacing w:after="160" w:before="320"/>
      </w:pPr>
      <w:r>
        <w:rPr>
          <w:rFonts w:ascii="Arial" w:cs="Arial" w:eastAsia="Arial" w:hAnsi="Arial"/>
          <w:b/>
          <w:bCs/>
          <w:color w:val="1F4E79"/>
          <w:sz w:val="28"/>
          <w:szCs w:val="28"/>
        </w:rPr>
        <w:t xml:space="preserve">3. Technical Feasibility Study</w:t>
      </w:r>
    </w:p>
    <w:p>
      <w:pPr>
        <w:pStyle w:val="Heading2"/>
        <w:spacing w:after="120" w:before="260"/>
      </w:pPr>
      <w:r>
        <w:rPr>
          <w:rFonts w:ascii="Arial" w:cs="Arial" w:eastAsia="Arial" w:hAnsi="Arial"/>
          <w:b/>
          <w:bCs/>
          <w:color w:val="2E74B5"/>
          <w:sz w:val="24"/>
          <w:szCs w:val="24"/>
        </w:rPr>
        <w:t xml:space="preserve">3.1  Scope of the Project</w:t>
      </w:r>
    </w:p>
    <w:p>
      <w:pPr>
        <w:pStyle w:val="Heading3"/>
        <w:spacing w:after="80" w:before="200"/>
      </w:pPr>
      <w:r>
        <w:rPr>
          <w:rFonts w:ascii="Arial" w:cs="Arial" w:eastAsia="Arial" w:hAnsi="Arial"/>
          <w:b/>
          <w:bCs/>
          <w:color w:val="404040"/>
          <w:sz w:val="22"/>
          <w:szCs w:val="22"/>
        </w:rPr>
        <w:t xml:space="preserve">Core Systems and Interactions</w:t>
      </w:r>
    </w:p>
    <w:p>
      <w:pPr>
        <w:pStyle w:val="ListParagraph"/>
        <w:numPr>
          <w:ilvl w:val="0"/>
          <w:numId w:val="2"/>
        </w:numPr>
        <w:spacing w:after="100"/>
        <w:jc w:val="both"/>
      </w:pPr>
      <w:r>
        <w:rPr>
          <w:rFonts w:ascii="Arial" w:cs="Arial" w:eastAsia="Arial" w:hAnsi="Arial"/>
          <w:sz w:val="22"/>
          <w:szCs w:val="22"/>
        </w:rPr>
        <w:t xml:space="preserve">A web-based experimental stimulus presenting ten fictional loan-decision scenarios, each with an AI recommendation, confidence score, and condition-appropriate explanation.</w:t>
      </w:r>
    </w:p>
    <w:p>
      <w:pPr>
        <w:pStyle w:val="ListParagraph"/>
        <w:numPr>
          <w:ilvl w:val="0"/>
          <w:numId w:val="2"/>
        </w:numPr>
        <w:spacing w:after="100"/>
        <w:jc w:val="both"/>
      </w:pPr>
      <w:r>
        <w:rPr>
          <w:rFonts w:ascii="Arial" w:cs="Arial" w:eastAsia="Arial" w:hAnsi="Arial"/>
          <w:sz w:val="22"/>
          <w:szCs w:val="22"/>
        </w:rPr>
        <w:t xml:space="preserve">Between-subjects condition assignment logic operating without participant awareness, with condition logged to prevent contamination.</w:t>
      </w:r>
    </w:p>
    <w:p>
      <w:pPr>
        <w:pStyle w:val="ListParagraph"/>
        <w:numPr>
          <w:ilvl w:val="0"/>
          <w:numId w:val="2"/>
        </w:numPr>
        <w:spacing w:after="100"/>
        <w:jc w:val="both"/>
      </w:pPr>
      <w:r>
        <w:rPr>
          <w:rFonts w:ascii="Arial" w:cs="Arial" w:eastAsia="Arial" w:hAnsi="Arial"/>
          <w:sz w:val="22"/>
          <w:szCs w:val="22"/>
        </w:rPr>
        <w:t xml:space="preserve">A response-capture system recording participant decision, confidence rating, and response time per scenario, with auto-save to prevent data loss.</w:t>
      </w:r>
    </w:p>
    <w:p>
      <w:pPr>
        <w:pStyle w:val="ListParagraph"/>
        <w:numPr>
          <w:ilvl w:val="0"/>
          <w:numId w:val="2"/>
        </w:numPr>
        <w:spacing w:after="100"/>
        <w:jc w:val="both"/>
      </w:pPr>
      <w:r>
        <w:rPr>
          <w:rFonts w:ascii="Arial" w:cs="Arial" w:eastAsia="Arial" w:hAnsi="Arial"/>
          <w:sz w:val="22"/>
          <w:szCs w:val="22"/>
        </w:rPr>
        <w:t xml:space="preserve">Integration with Qualtrics for individual difference screening and post-task measures.</w:t>
      </w:r>
    </w:p>
    <w:p>
      <w:pPr>
        <w:pStyle w:val="Heading3"/>
        <w:spacing w:after="80" w:before="200"/>
      </w:pPr>
      <w:r>
        <w:rPr>
          <w:rFonts w:ascii="Arial" w:cs="Arial" w:eastAsia="Arial" w:hAnsi="Arial"/>
          <w:b/>
          <w:bCs/>
          <w:color w:val="404040"/>
          <w:sz w:val="22"/>
          <w:szCs w:val="22"/>
        </w:rPr>
        <w:t xml:space="preserve">Minimum Viable Product (Essential Outcomes)</w:t>
      </w:r>
    </w:p>
    <w:p>
      <w:pPr>
        <w:pStyle w:val="ListParagraph"/>
        <w:numPr>
          <w:ilvl w:val="0"/>
          <w:numId w:val="2"/>
        </w:numPr>
        <w:spacing w:after="100"/>
        <w:jc w:val="both"/>
      </w:pPr>
      <w:r>
        <w:rPr>
          <w:rFonts w:ascii="Arial" w:cs="Arial" w:eastAsia="Arial" w:hAnsi="Arial"/>
          <w:sz w:val="22"/>
          <w:szCs w:val="22"/>
        </w:rPr>
        <w:t xml:space="preserve">Functional stimulus presenting all ten scenarios reliably on Chrome and Safari.</w:t>
      </w:r>
    </w:p>
    <w:p>
      <w:pPr>
        <w:pStyle w:val="ListParagraph"/>
        <w:numPr>
          <w:ilvl w:val="0"/>
          <w:numId w:val="2"/>
        </w:numPr>
        <w:spacing w:after="100"/>
        <w:jc w:val="both"/>
      </w:pPr>
      <w:r>
        <w:rPr>
          <w:rFonts w:ascii="Arial" w:cs="Arial" w:eastAsia="Arial" w:hAnsi="Arial"/>
          <w:sz w:val="22"/>
          <w:szCs w:val="22"/>
        </w:rPr>
        <w:t xml:space="preserve">Condition assignment operating correctly with no cross-condition contamination.</w:t>
      </w:r>
    </w:p>
    <w:p>
      <w:pPr>
        <w:pStyle w:val="ListParagraph"/>
        <w:numPr>
          <w:ilvl w:val="0"/>
          <w:numId w:val="2"/>
        </w:numPr>
        <w:spacing w:after="100"/>
        <w:jc w:val="both"/>
      </w:pPr>
      <w:r>
        <w:rPr>
          <w:rFonts w:ascii="Arial" w:cs="Arial" w:eastAsia="Arial" w:hAnsi="Arial"/>
          <w:sz w:val="22"/>
          <w:szCs w:val="22"/>
        </w:rPr>
        <w:t xml:space="preserve">Valid data from at least 24 participants (8 per condition minimum).</w:t>
      </w:r>
    </w:p>
    <w:p>
      <w:pPr>
        <w:pStyle w:val="ListParagraph"/>
        <w:numPr>
          <w:ilvl w:val="0"/>
          <w:numId w:val="2"/>
        </w:numPr>
        <w:spacing w:after="100"/>
        <w:jc w:val="both"/>
      </w:pPr>
      <w:r>
        <w:rPr>
          <w:rFonts w:ascii="Arial" w:cs="Arial" w:eastAsia="Arial" w:hAnsi="Arial"/>
          <w:sz w:val="22"/>
          <w:szCs w:val="22"/>
        </w:rPr>
        <w:t xml:space="preserve">Completed interview transcripts from at least 12 participants.</w:t>
      </w:r>
    </w:p>
    <w:p>
      <w:pPr>
        <w:pStyle w:val="Heading3"/>
        <w:spacing w:after="80" w:before="200"/>
      </w:pPr>
      <w:r>
        <w:rPr>
          <w:rFonts w:ascii="Arial" w:cs="Arial" w:eastAsia="Arial" w:hAnsi="Arial"/>
          <w:b/>
          <w:bCs/>
          <w:color w:val="404040"/>
          <w:sz w:val="22"/>
          <w:szCs w:val="22"/>
        </w:rPr>
        <w:t xml:space="preserve">Desirable Additional Features</w:t>
      </w:r>
    </w:p>
    <w:p>
      <w:pPr>
        <w:pStyle w:val="ListParagraph"/>
        <w:numPr>
          <w:ilvl w:val="0"/>
          <w:numId w:val="2"/>
        </w:numPr>
        <w:spacing w:after="100"/>
        <w:jc w:val="both"/>
      </w:pPr>
      <w:r>
        <w:rPr>
          <w:rFonts w:ascii="Arial" w:cs="Arial" w:eastAsia="Arial" w:hAnsi="Arial"/>
          <w:sz w:val="22"/>
          <w:szCs w:val="22"/>
        </w:rPr>
        <w:t xml:space="preserve">Response time logging per scenario as a secondary behavioural measure.</w:t>
      </w:r>
    </w:p>
    <w:p>
      <w:pPr>
        <w:pStyle w:val="ListParagraph"/>
        <w:numPr>
          <w:ilvl w:val="0"/>
          <w:numId w:val="2"/>
        </w:numPr>
        <w:spacing w:after="100"/>
        <w:jc w:val="both"/>
      </w:pPr>
      <w:r>
        <w:rPr>
          <w:rFonts w:ascii="Arial" w:cs="Arial" w:eastAsia="Arial" w:hAnsi="Arial"/>
          <w:sz w:val="22"/>
          <w:szCs w:val="22"/>
        </w:rPr>
        <w:t xml:space="preserve">An animated confidence slider to improve ecological validity.</w:t>
      </w:r>
    </w:p>
    <w:p>
      <w:pPr>
        <w:pStyle w:val="ListParagraph"/>
        <w:numPr>
          <w:ilvl w:val="0"/>
          <w:numId w:val="2"/>
        </w:numPr>
        <w:spacing w:after="100"/>
        <w:jc w:val="both"/>
      </w:pPr>
      <w:r>
        <w:rPr>
          <w:rFonts w:ascii="Arial" w:cs="Arial" w:eastAsia="Arial" w:hAnsi="Arial"/>
          <w:sz w:val="22"/>
          <w:szCs w:val="22"/>
        </w:rPr>
        <w:t xml:space="preserve">Larger sample (up to 45 participants) for more robust moderation analysis.</w:t>
      </w:r>
    </w:p>
    <w:p>
      <w:pPr>
        <w:spacing w:after="80"/>
      </w:pPr>
      <w:r>
        <w:t xml:space="preserve"/>
      </w:r>
    </w:p>
    <w:p>
      <w:pPr>
        <w:pStyle w:val="Heading2"/>
        <w:spacing w:after="120" w:before="260"/>
      </w:pPr>
      <w:r>
        <w:rPr>
          <w:rFonts w:ascii="Arial" w:cs="Arial" w:eastAsia="Arial" w:hAnsi="Arial"/>
          <w:b/>
          <w:bCs/>
          <w:color w:val="2E74B5"/>
          <w:sz w:val="24"/>
          <w:szCs w:val="24"/>
        </w:rPr>
        <w:t xml:space="preserve">3.2  Required Technologies</w:t>
      </w:r>
    </w:p>
    <w:p>
      <w:pPr>
        <w:pStyle w:val="Heading3"/>
        <w:spacing w:after="80" w:before="200"/>
      </w:pPr>
      <w:r>
        <w:rPr>
          <w:rFonts w:ascii="Arial" w:cs="Arial" w:eastAsia="Arial" w:hAnsi="Arial"/>
          <w:b/>
          <w:bCs/>
          <w:color w:val="404040"/>
          <w:sz w:val="22"/>
          <w:szCs w:val="22"/>
        </w:rPr>
        <w:t xml:space="preserve">Software</w:t>
      </w:r>
    </w:p>
    <w:p>
      <w:pPr>
        <w:pStyle w:val="ListParagraph"/>
        <w:numPr>
          <w:ilvl w:val="0"/>
          <w:numId w:val="2"/>
        </w:numPr>
        <w:spacing w:after="100"/>
        <w:jc w:val="both"/>
      </w:pPr>
      <w:r>
        <w:rPr>
          <w:rFonts w:ascii="Arial" w:cs="Arial" w:eastAsia="Arial" w:hAnsi="Arial"/>
          <w:sz w:val="22"/>
          <w:szCs w:val="22"/>
        </w:rPr>
        <w:t xml:space="preserve">React (Vite): experimental stimulus development</w:t>
      </w:r>
    </w:p>
    <w:p>
      <w:pPr>
        <w:pStyle w:val="ListParagraph"/>
        <w:numPr>
          <w:ilvl w:val="0"/>
          <w:numId w:val="2"/>
        </w:numPr>
        <w:spacing w:after="100"/>
        <w:jc w:val="both"/>
      </w:pPr>
      <w:r>
        <w:rPr>
          <w:rFonts w:ascii="Arial" w:cs="Arial" w:eastAsia="Arial" w:hAnsi="Arial"/>
          <w:sz w:val="22"/>
          <w:szCs w:val="22"/>
        </w:rPr>
        <w:t xml:space="preserve">Tailwind CSS: accessible, consistent styling</w:t>
      </w:r>
    </w:p>
    <w:p>
      <w:pPr>
        <w:pStyle w:val="ListParagraph"/>
        <w:numPr>
          <w:ilvl w:val="0"/>
          <w:numId w:val="2"/>
        </w:numPr>
        <w:spacing w:after="100"/>
        <w:jc w:val="both"/>
      </w:pPr>
      <w:r>
        <w:rPr>
          <w:rFonts w:ascii="Arial" w:cs="Arial" w:eastAsia="Arial" w:hAnsi="Arial"/>
          <w:sz w:val="22"/>
          <w:szCs w:val="22"/>
        </w:rPr>
        <w:t xml:space="preserve">Vercel (free tier): stimulus hosting for remote participant access</w:t>
      </w:r>
    </w:p>
    <w:p>
      <w:pPr>
        <w:pStyle w:val="ListParagraph"/>
        <w:numPr>
          <w:ilvl w:val="0"/>
          <w:numId w:val="2"/>
        </w:numPr>
        <w:spacing w:after="100"/>
        <w:jc w:val="both"/>
      </w:pPr>
      <w:r>
        <w:rPr>
          <w:rFonts w:ascii="Arial" w:cs="Arial" w:eastAsia="Arial" w:hAnsi="Arial"/>
          <w:sz w:val="22"/>
          <w:szCs w:val="22"/>
        </w:rPr>
        <w:t xml:space="preserve">Qualtrics (UCA licence): pre-task screener and post-task Trust in Automation scale</w:t>
      </w:r>
    </w:p>
    <w:p>
      <w:pPr>
        <w:pStyle w:val="ListParagraph"/>
        <w:numPr>
          <w:ilvl w:val="0"/>
          <w:numId w:val="2"/>
        </w:numPr>
        <w:spacing w:after="100"/>
        <w:jc w:val="both"/>
      </w:pPr>
      <w:r>
        <w:rPr>
          <w:rFonts w:ascii="Arial" w:cs="Arial" w:eastAsia="Arial" w:hAnsi="Arial"/>
          <w:sz w:val="22"/>
          <w:szCs w:val="22"/>
        </w:rPr>
        <w:t xml:space="preserve">Python 3.11 (pandas, scipy, pingouin, matplotlib): ANOVA, moderation analysis, calibration scoring, and visualisation</w:t>
      </w:r>
    </w:p>
    <w:p>
      <w:pPr>
        <w:pStyle w:val="ListParagraph"/>
        <w:numPr>
          <w:ilvl w:val="0"/>
          <w:numId w:val="2"/>
        </w:numPr>
        <w:spacing w:after="100"/>
        <w:jc w:val="both"/>
      </w:pPr>
      <w:r>
        <w:rPr>
          <w:rFonts w:ascii="Arial" w:cs="Arial" w:eastAsia="Arial" w:hAnsi="Arial"/>
          <w:sz w:val="22"/>
          <w:szCs w:val="22"/>
        </w:rPr>
        <w:t xml:space="preserve">Figma: stimulus wireframes and scenario card design</w:t>
      </w:r>
    </w:p>
    <w:p>
      <w:pPr>
        <w:pStyle w:val="ListParagraph"/>
        <w:numPr>
          <w:ilvl w:val="0"/>
          <w:numId w:val="2"/>
        </w:numPr>
        <w:spacing w:after="100"/>
        <w:jc w:val="both"/>
      </w:pPr>
      <w:r>
        <w:rPr>
          <w:rFonts w:ascii="Arial" w:cs="Arial" w:eastAsia="Arial" w:hAnsi="Arial"/>
          <w:sz w:val="22"/>
          <w:szCs w:val="22"/>
        </w:rPr>
        <w:t xml:space="preserve">Notion and GitHub: project management, version control, and open-source release</w:t>
      </w:r>
    </w:p>
    <w:p>
      <w:pPr>
        <w:pStyle w:val="ListParagraph"/>
        <w:numPr>
          <w:ilvl w:val="0"/>
          <w:numId w:val="2"/>
        </w:numPr>
        <w:spacing w:after="100"/>
        <w:jc w:val="both"/>
      </w:pPr>
      <w:r>
        <w:rPr>
          <w:rFonts w:ascii="Arial" w:cs="Arial" w:eastAsia="Arial" w:hAnsi="Arial"/>
          <w:sz w:val="22"/>
          <w:szCs w:val="22"/>
        </w:rPr>
        <w:t xml:space="preserve">Otter.ai + manual correction: interview transcription</w:t>
      </w:r>
    </w:p>
    <w:p>
      <w:pPr>
        <w:pStyle w:val="Heading3"/>
        <w:spacing w:after="80" w:before="200"/>
      </w:pPr>
      <w:r>
        <w:rPr>
          <w:rFonts w:ascii="Arial" w:cs="Arial" w:eastAsia="Arial" w:hAnsi="Arial"/>
          <w:b/>
          <w:bCs/>
          <w:color w:val="404040"/>
          <w:sz w:val="22"/>
          <w:szCs w:val="22"/>
        </w:rPr>
        <w:t xml:space="preserve">Hardware</w:t>
      </w:r>
    </w:p>
    <w:p>
      <w:pPr>
        <w:spacing w:after="160" w:line="276"/>
        <w:jc w:val="both"/>
      </w:pPr>
      <w:r>
        <w:rPr>
          <w:rFonts w:ascii="Arial" w:cs="Arial" w:eastAsia="Arial" w:hAnsi="Arial"/>
          <w:sz w:val="22"/>
          <w:szCs w:val="22"/>
        </w:rPr>
        <w:t xml:space="preserve">No specialist hardware is required. The experimental stimulus runs in any modern web browser on standard laptop or desktop devices. Remote participants use their own devices; a UCA laptop will be available for in-person sessions. Remote sessions will use Zoom or Teams for screen sharing and interview recording.</w:t>
      </w:r>
    </w:p>
    <w:p>
      <w:pPr>
        <w:spacing w:after="80"/>
      </w:pPr>
      <w:r>
        <w:t xml:space="preserve"/>
      </w:r>
    </w:p>
    <w:p>
      <w:pPr>
        <w:pStyle w:val="Heading2"/>
        <w:spacing w:after="120" w:before="260"/>
      </w:pPr>
      <w:r>
        <w:rPr>
          <w:rFonts w:ascii="Arial" w:cs="Arial" w:eastAsia="Arial" w:hAnsi="Arial"/>
          <w:b/>
          <w:bCs/>
          <w:color w:val="2E74B5"/>
          <w:sz w:val="24"/>
          <w:szCs w:val="24"/>
        </w:rPr>
        <w:t xml:space="preserve">3.3  Technical Challenges &amp;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2726"/>
        <w:gridCol w:w="2400"/>
      </w:tblGrid>
      <w:tr>
        <w:trPr>
          <w:tblHeader/>
        </w:trPr>
        <w:tc>
          <w:tcPr>
            <w:tcW w:type="dxa" w:w="3000"/>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900"/>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726"/>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400"/>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Contingency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Condition contamination: participants see a different condition on page refresh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Med</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Assign condition via unique URL parameter at recruitment; log assignment in lightweight 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Use Qualtrics built-in randomisation as fallback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Scenario realism: profiles must engage authentic decision behaviour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Med</w:t>
            </w:r>
          </w:p>
        </w:tc>
        <w:tc>
          <w:tcPr>
            <w:tcW w:type="dxa" w:w="2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Base profiles on UK consumer credit benchmarks; realism ratings in pilot (target ≥4/5)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Consult German Credit Dataset to calibrate profile values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Data loss: dropped responses if participant loses connectivity mid-session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Low</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Auto-save each response to localStorage immediately on submission; sync to backend on completion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Offer in-person session on UCA laptop for participants with connectivity issues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Cross-browser consistency on Chrome and Safari</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Low-Med</w:t>
            </w:r>
          </w:p>
        </w:tc>
        <w:tc>
          <w:tcPr>
            <w:tcW w:type="dxa" w:w="2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Test all ten scenarios on both browsers before pilot; use Tailwind normalisation utilities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Restrict participation to Chrome if Safari issues cannot be resolved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Calibration metric: no agreed operationalisation in HCI literature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Med</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Review Merritt et al. (2013) and Parasuraman et al. (2000); pre-register chosen metric before data collection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Use raw acceptance rate as primary measure if calibration score is uncomputable</w:t>
            </w:r>
          </w:p>
        </w:tc>
      </w:tr>
    </w:tbl>
    <w:p>
      <w:pPr>
        <w:spacing w:after="80"/>
      </w:pPr>
      <w:r>
        <w:t xml:space="preserve"/>
      </w:r>
    </w:p>
    <w:p>
      <w:pPr>
        <w:pStyle w:val="Heading2"/>
        <w:spacing w:after="120" w:before="260"/>
      </w:pPr>
      <w:r>
        <w:rPr>
          <w:rFonts w:ascii="Arial" w:cs="Arial" w:eastAsia="Arial" w:hAnsi="Arial"/>
          <w:b/>
          <w:bCs/>
          <w:color w:val="2E74B5"/>
          <w:sz w:val="24"/>
          <w:szCs w:val="24"/>
        </w:rPr>
        <w:t xml:space="preserve">3.4  Budget &amp; Resource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1800"/>
        <w:gridCol w:w="3200"/>
      </w:tblGrid>
      <w:tr>
        <w:trPr>
          <w:tblHeader/>
        </w:trPr>
        <w:tc>
          <w:tcPr>
            <w:tcW w:type="dxa" w:w="4026"/>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3200"/>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Participant incentives (40 × £5 voucher)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~£200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Coffee voucher; proportionate to 45–60 min session</w:t>
            </w:r>
          </w:p>
        </w:tc>
      </w:tr>
      <w:tr>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React, Figma, Python, GitHub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Free or available via existing licences</w:t>
            </w:r>
          </w:p>
        </w:tc>
      </w:tr>
      <w:tr>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Qualtrics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UCA student licence</w:t>
            </w:r>
          </w:p>
        </w:tc>
      </w:tr>
      <w:tr>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Vercel hosting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Free tier sufficient for the experimental stimulus</w:t>
            </w:r>
          </w:p>
        </w:tc>
      </w:tr>
      <w:tr>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Open Science Framework pre-registration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Free academic service</w:t>
            </w:r>
          </w:p>
        </w:tc>
      </w:tr>
      <w:tr>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~£200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No financial blockers anticipated</w:t>
            </w:r>
          </w:p>
        </w:tc>
      </w:tr>
    </w:tbl>
    <w:p>
      <w:pPr>
        <w:spacing w:after="160" w:line="276"/>
        <w:jc w:val="both"/>
      </w:pPr>
      <w:r>
        <w:rPr>
          <w:rFonts w:ascii="Arial" w:cs="Arial" w:eastAsia="Arial" w:hAnsi="Arial"/>
          <w:sz w:val="22"/>
          <w:szCs w:val="22"/>
        </w:rPr>
        <w:t xml:space="preserve">My existing skill set fully covers all technical requirements. React development is demonstrated through BubbleDo and the Adaptive VR Workspace prototype (FGCT7022, FGCT7023). Python statistical analysis is demonstrated through the CITDI 2026 conference paper. ANOVA and moderation analysis in Python (pingouin) is the only new component; a technical rehearsal with a synthetic dataset will be completed in week two to confirm readiness before data collection begins.</w:t>
      </w:r>
    </w:p>
    <w:p>
      <w:pPr>
        <w:spacing w:after="80"/>
      </w:pPr>
      <w:r>
        <w:t xml:space="preserve"/>
      </w:r>
    </w:p>
    <w:p>
      <w:pPr>
        <w:pStyle w:val="Heading1"/>
        <w:spacing w:after="160" w:before="320"/>
      </w:pPr>
      <w:r>
        <w:rPr>
          <w:rFonts w:ascii="Arial" w:cs="Arial" w:eastAsia="Arial" w:hAnsi="Arial"/>
          <w:b/>
          <w:bCs/>
          <w:color w:val="1F4E79"/>
          <w:sz w:val="28"/>
          <w:szCs w:val="28"/>
        </w:rPr>
        <w:t xml:space="preserve">4. Project Timeline</w:t>
      </w:r>
    </w:p>
    <w:p>
      <w:pPr>
        <w:spacing w:after="160" w:line="276"/>
        <w:jc w:val="both"/>
      </w:pPr>
      <w:r>
        <w:rPr>
          <w:rFonts w:ascii="Arial" w:cs="Arial" w:eastAsia="Arial" w:hAnsi="Arial"/>
          <w:sz w:val="22"/>
          <w:szCs w:val="22"/>
        </w:rPr>
        <w:t xml:space="preserve">The project is managed using Agile-inspired weekly sprints tracked on a Notion board, with six defined phases mapped against the final submission deadline of 8 September 2026.</w:t>
      </w:r>
    </w:p>
    <w:p>
      <w:pPr>
        <w:pStyle w:val="Heading2"/>
        <w:spacing w:after="120" w:before="260"/>
      </w:pPr>
      <w:r>
        <w:rPr>
          <w:rFonts w:ascii="Arial" w:cs="Arial" w:eastAsia="Arial" w:hAnsi="Arial"/>
          <w:b/>
          <w:bCs/>
          <w:color w:val="2E74B5"/>
          <w:sz w:val="24"/>
          <w:szCs w:val="24"/>
        </w:rPr>
        <w:t xml:space="preserve">4.1  Project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26"/>
        <w:gridCol w:w="2800"/>
      </w:tblGrid>
      <w:tr>
        <w:trPr>
          <w:tblHeader/>
        </w:trPr>
        <w:tc>
          <w:tcPr>
            <w:tcW w:type="dxa" w:w="2200"/>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26"/>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2800"/>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1. Research &amp; Foundation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Systematic literature review; regulatory analysis; competitive review of fintech explanation practices; ethics application submitted; analysis plan drafted for pre-registration; scenario profiles drafted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25 June 2026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2. Stimulus Design &amp; Pilot</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Scenario set finalised; stimulus wireframed in Figma; React stimulus built and deployed on Vercel; Qualtrics instruments configured; pilot study (n=3) conducted and refinements made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12 July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3. Ethics &amp; Recruitment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Ethics approval received in writing; analysis plan pre-registered on OSF; participant recruitment active; stimulus tested on Chrome and Safari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1 August 2026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4. Data Collection</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All study sessions conducted (target: 30–45 participants, 45–60 minutes each); interview audio recorded; all Qualtrics data exported and verified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17 August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5. Analysis &amp; Synthesis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Interview transcription and reflexive thematic analysis; ANOVA and moderation analysis in Python; calibration scoring computed; conceptual model drafted; design principles written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27 August 2026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6. Portfolio &amp; Submission</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Written thesis / critical reflection (3,000–4,000 words); full portfolio assembled; presentation materials prepared; final review; submitted via myUCA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7 September 2026</w:t>
            </w:r>
          </w:p>
        </w:tc>
      </w:tr>
    </w:tbl>
    <w:p>
      <w:pPr>
        <w:spacing w:after="80"/>
      </w:pPr>
      <w:r>
        <w:t xml:space="preserve"/>
      </w:r>
    </w:p>
    <w:p>
      <w:pPr>
        <w:pStyle w:val="Heading2"/>
        <w:spacing w:after="120" w:before="260"/>
      </w:pPr>
      <w:r>
        <w:rPr>
          <w:rFonts w:ascii="Arial" w:cs="Arial" w:eastAsia="Arial" w:hAnsi="Arial"/>
          <w:b/>
          <w:bCs/>
          <w:color w:val="2E74B5"/>
          <w:sz w:val="24"/>
          <w:szCs w:val="24"/>
        </w:rPr>
        <w:t xml:space="preserve">4.2  Milestones &amp; Definitions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26"/>
        <w:gridCol w:w="1400"/>
        <w:gridCol w:w="1400"/>
      </w:tblGrid>
      <w:tr>
        <w:trPr>
          <w:tblHeader/>
        </w:trPr>
        <w:tc>
          <w:tcPr>
            <w:tcW w:type="dxa" w:w="2400"/>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826"/>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 of Done</w:t>
            </w:r>
          </w:p>
        </w:tc>
        <w:tc>
          <w:tcPr>
            <w:tcW w:type="dxa" w:w="1400"/>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400"/>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M1: Research foundation complete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Annotated bibliography (40+ sources); ethics submitted; competitive review complete; scenario profiles drafted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25 Jun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M2: Stimulus live</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React stimulus on Vercel; all ten scenarios rendering on Chrome and Safari; condition assignment validated; Qualtrics linked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10 Jul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M3: Pilot complete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Three pilot sessions run; mean realism rating ≥4/5; session under 60 minutes; protocol refined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12 Jul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M4: Ethics approved and pre-registered</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Written ethics approval confirmed; analysis plan pre-registered on OSF with DOI; recruitment live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1 Aug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M5: Data collection complete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Minimum 24 sessions (8 per condition); minimum 12 interviews transcribed; data in analysis-ready format in Python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17 Aug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M6: Analysis complete</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ANOVA run and interpreted; thematic analysis complete (4–6 themes); conceptual model drafted; design principles written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27 Aug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M7: Portfolio submitted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Full portfolio submitted via myUCA before 8 September 16:00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8 Sep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M6</w:t>
            </w:r>
          </w:p>
        </w:tc>
      </w:tr>
    </w:tbl>
    <w:p>
      <w:pPr>
        <w:spacing w:after="80"/>
      </w:pPr>
      <w:r>
        <w:t xml:space="preserve"/>
      </w:r>
    </w:p>
    <w:p>
      <w:pPr>
        <w:pStyle w:val="Heading2"/>
        <w:spacing w:after="120" w:before="260"/>
      </w:pPr>
      <w:r>
        <w:rPr>
          <w:rFonts w:ascii="Arial" w:cs="Arial" w:eastAsia="Arial" w:hAnsi="Arial"/>
          <w:b/>
          <w:bCs/>
          <w:color w:val="2E74B5"/>
          <w:sz w:val="24"/>
          <w:szCs w:val="24"/>
        </w:rPr>
        <w:t xml:space="preserve">4.3  Workflow &amp; Project Management Tools</w:t>
      </w:r>
    </w:p>
    <w:p>
      <w:pPr>
        <w:pStyle w:val="ListParagraph"/>
        <w:numPr>
          <w:ilvl w:val="0"/>
          <w:numId w:val="2"/>
        </w:numPr>
        <w:spacing w:after="100"/>
        <w:jc w:val="both"/>
      </w:pPr>
      <w:r>
        <w:rPr>
          <w:rFonts w:ascii="Arial" w:cs="Arial" w:eastAsia="Arial" w:hAnsi="Arial"/>
          <w:b/>
          <w:bCs/>
          <w:sz w:val="22"/>
          <w:szCs w:val="22"/>
        </w:rPr>
        <w:t xml:space="preserve">Notion: </w:t>
      </w:r>
      <w:r>
        <w:rPr>
          <w:rFonts w:ascii="Arial" w:cs="Arial" w:eastAsia="Arial" w:hAnsi="Arial"/>
          <w:sz w:val="22"/>
          <w:szCs w:val="22"/>
        </w:rPr>
        <w:t xml:space="preserve">central research workspace; one database per phase tracks tasks, status, and artefact links; weekly sprint review every Monday.</w:t>
      </w:r>
    </w:p>
    <w:p>
      <w:pPr>
        <w:pStyle w:val="ListParagraph"/>
        <w:numPr>
          <w:ilvl w:val="0"/>
          <w:numId w:val="2"/>
        </w:numPr>
        <w:spacing w:after="100"/>
        <w:jc w:val="both"/>
      </w:pPr>
      <w:r>
        <w:rPr>
          <w:rFonts w:ascii="Arial" w:cs="Arial" w:eastAsia="Arial" w:hAnsi="Arial"/>
          <w:b/>
          <w:bCs/>
          <w:sz w:val="22"/>
          <w:szCs w:val="22"/>
        </w:rPr>
        <w:t xml:space="preserve">GitHub: </w:t>
      </w:r>
      <w:r>
        <w:rPr>
          <w:rFonts w:ascii="Arial" w:cs="Arial" w:eastAsia="Arial" w:hAnsi="Arial"/>
          <w:sz w:val="22"/>
          <w:szCs w:val="22"/>
        </w:rPr>
        <w:t xml:space="preserve">version control for the React stimulus; commit history documents iterative development for the portfolio evidence.</w:t>
      </w:r>
    </w:p>
    <w:p>
      <w:pPr>
        <w:pStyle w:val="ListParagraph"/>
        <w:numPr>
          <w:ilvl w:val="0"/>
          <w:numId w:val="2"/>
        </w:numPr>
        <w:spacing w:after="100"/>
        <w:jc w:val="both"/>
      </w:pPr>
      <w:r>
        <w:rPr>
          <w:rFonts w:ascii="Arial" w:cs="Arial" w:eastAsia="Arial" w:hAnsi="Arial"/>
          <w:b/>
          <w:bCs/>
          <w:sz w:val="22"/>
          <w:szCs w:val="22"/>
        </w:rPr>
        <w:t xml:space="preserve">Open Science Framework: </w:t>
      </w:r>
      <w:r>
        <w:rPr>
          <w:rFonts w:ascii="Arial" w:cs="Arial" w:eastAsia="Arial" w:hAnsi="Arial"/>
          <w:sz w:val="22"/>
          <w:szCs w:val="22"/>
        </w:rPr>
        <w:t xml:space="preserve">pre-registration of the full analysis plan before data collection begins.</w:t>
      </w:r>
    </w:p>
    <w:p>
      <w:pPr>
        <w:pStyle w:val="ListParagraph"/>
        <w:numPr>
          <w:ilvl w:val="0"/>
          <w:numId w:val="2"/>
        </w:numPr>
        <w:spacing w:after="100"/>
        <w:jc w:val="both"/>
      </w:pPr>
      <w:r>
        <w:rPr>
          <w:rFonts w:ascii="Arial" w:cs="Arial" w:eastAsia="Arial" w:hAnsi="Arial"/>
          <w:b/>
          <w:bCs/>
          <w:sz w:val="22"/>
          <w:szCs w:val="22"/>
        </w:rPr>
        <w:t xml:space="preserve">Qualtrics: </w:t>
      </w:r>
      <w:r>
        <w:rPr>
          <w:rFonts w:ascii="Arial" w:cs="Arial" w:eastAsia="Arial" w:hAnsi="Arial"/>
          <w:sz w:val="22"/>
          <w:szCs w:val="22"/>
        </w:rPr>
        <w:t xml:space="preserve">survey data management; automatic CSV export to the Python analysis pipeline.</w:t>
      </w:r>
    </w:p>
    <w:p>
      <w:pPr>
        <w:pStyle w:val="ListParagraph"/>
        <w:numPr>
          <w:ilvl w:val="0"/>
          <w:numId w:val="2"/>
        </w:numPr>
        <w:spacing w:after="100"/>
        <w:jc w:val="both"/>
      </w:pPr>
      <w:r>
        <w:rPr>
          <w:rFonts w:ascii="Arial" w:cs="Arial" w:eastAsia="Arial" w:hAnsi="Arial"/>
          <w:b/>
          <w:bCs/>
          <w:sz w:val="22"/>
          <w:szCs w:val="22"/>
        </w:rPr>
        <w:t xml:space="preserve">Figma: </w:t>
      </w:r>
      <w:r>
        <w:rPr>
          <w:rFonts w:ascii="Arial" w:cs="Arial" w:eastAsia="Arial" w:hAnsi="Arial"/>
          <w:sz w:val="22"/>
          <w:szCs w:val="22"/>
        </w:rPr>
        <w:t xml:space="preserve">stimulus wireframes and scenario card designs; version history used as design iteration evidence in the portfolio.</w:t>
      </w:r>
    </w:p>
    <w:p>
      <w:pPr>
        <w:pStyle w:val="ListParagraph"/>
        <w:numPr>
          <w:ilvl w:val="0"/>
          <w:numId w:val="2"/>
        </w:numPr>
        <w:spacing w:after="100"/>
        <w:jc w:val="both"/>
      </w:pPr>
      <w:r>
        <w:rPr>
          <w:rFonts w:ascii="Arial" w:cs="Arial" w:eastAsia="Arial" w:hAnsi="Arial"/>
          <w:b/>
          <w:bCs/>
          <w:sz w:val="22"/>
          <w:szCs w:val="22"/>
        </w:rPr>
        <w:t xml:space="preserve">Reflexive journal: </w:t>
      </w:r>
      <w:r>
        <w:rPr>
          <w:rFonts w:ascii="Arial" w:cs="Arial" w:eastAsia="Arial" w:hAnsi="Arial"/>
          <w:sz w:val="22"/>
          <w:szCs w:val="22"/>
        </w:rPr>
        <w:t xml:space="preserve">weekly written entries documenting methodological decisions, analytical choices, and researcher positionality; feeds directly into the portfolio’s critical reflection.</w:t>
      </w:r>
    </w:p>
    <w:p>
      <w:pPr>
        <w:spacing w:after="160" w:line="276"/>
        <w:jc w:val="both"/>
      </w:pPr>
      <w:r>
        <w:rPr>
          <w:rFonts w:ascii="Arial" w:cs="Arial" w:eastAsia="Arial" w:hAnsi="Arial"/>
          <w:sz w:val="22"/>
          <w:szCs w:val="22"/>
        </w:rPr>
        <w:t xml:space="preserve">This is an individually completed project. Formal collaboration documentation (job description and IP agreement) is not applicable. All data, code, and written work are solely my own.</w:t>
      </w:r>
    </w:p>
    <w:p>
      <w:pPr>
        <w:spacing w:after="80"/>
      </w:pPr>
      <w:r>
        <w:t xml:space="preserve"/>
      </w:r>
    </w:p>
    <w:p>
      <w:pPr>
        <w:pStyle w:val="Heading1"/>
        <w:spacing w:after="160" w:before="320"/>
      </w:pPr>
      <w:r>
        <w:rPr>
          <w:rFonts w:ascii="Arial" w:cs="Arial" w:eastAsia="Arial" w:hAnsi="Arial"/>
          <w:b/>
          <w:bCs/>
          <w:color w:val="1F4E79"/>
          <w:sz w:val="28"/>
          <w:szCs w:val="28"/>
        </w:rPr>
        <w:t xml:space="preserve">Submission Checklist</w:t>
      </w:r>
    </w:p>
    <w:p>
      <w:pPr>
        <w:spacing w:after="160" w:line="276"/>
        <w:jc w:val="both"/>
      </w:pPr>
      <w:r>
        <w:rPr>
          <w:rFonts w:ascii="Arial" w:cs="Arial" w:eastAsia="Arial" w:hAnsi="Arial"/>
          <w:sz w:val="22"/>
          <w:szCs w:val="22"/>
        </w:rPr>
        <w:t xml:space="preserve">All items below confirmed complete before submission: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6"/>
        <w:gridCol w:w="1800"/>
      </w:tblGrid>
      <w:tr>
        <w:trPr>
          <w:tblHeader/>
        </w:trPr>
        <w:tc>
          <w:tcPr>
            <w:tcW w:type="dxa" w:w="7226"/>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1800"/>
            <w:tcBorders>
              <w:top w:val="single" w:color="2E74B5" w:sz="1"/>
              <w:left w:val="single" w:color="2E74B5" w:sz="1"/>
              <w:bottom w:val="single" w:color="2E74B5" w:sz="1"/>
              <w:right w:val="single" w:color="2E74B5"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Project title and overview (Abstract — Sections 1.1 &amp; 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b/>
                <w:bCs/>
                <w:color w:val="375623"/>
                <w:sz w:val="20"/>
                <w:szCs w:val="20"/>
              </w:rPr>
              <w:t xml:space="preserve">✓  Complete</w:t>
            </w:r>
          </w:p>
        </w:tc>
      </w:tr>
      <w:tr>
        <w:tc>
          <w:tcPr>
            <w:tcW w:type="dxa" w:w="7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Aims and research questions (Section 1.3)</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20"/>
                <w:szCs w:val="20"/>
              </w:rPr>
              <w:t xml:space="preserve">✓  Complete</w:t>
            </w:r>
          </w:p>
        </w:tc>
      </w:tr>
      <w:tr>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Contextual and theoretical grounding (Section 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b/>
                <w:bCs/>
                <w:color w:val="375623"/>
                <w:sz w:val="20"/>
                <w:szCs w:val="20"/>
              </w:rPr>
              <w:t xml:space="preserve">✓  Complete</w:t>
            </w:r>
          </w:p>
        </w:tc>
      </w:tr>
      <w:tr>
        <w:tc>
          <w:tcPr>
            <w:tcW w:type="dxa" w:w="7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Methodology and development plans (Section 1.5)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20"/>
                <w:szCs w:val="20"/>
              </w:rPr>
              <w:t xml:space="preserve">✓  Complete</w:t>
            </w:r>
          </w:p>
        </w:tc>
      </w:tr>
      <w:tr>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Research plan: objectives, literature, methods, and ethics (Sections 2.1–2.4)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b/>
                <w:bCs/>
                <w:color w:val="375623"/>
                <w:sz w:val="20"/>
                <w:szCs w:val="20"/>
              </w:rPr>
              <w:t xml:space="preserve">✓  Complete</w:t>
            </w:r>
          </w:p>
        </w:tc>
      </w:tr>
      <w:tr>
        <w:tc>
          <w:tcPr>
            <w:tcW w:type="dxa" w:w="7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Technical feasibility: scope, technologies, risks, and budget (Sections 3.1–3.4)</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20"/>
                <w:szCs w:val="20"/>
              </w:rPr>
              <w:t xml:space="preserve">✓  Complete</w:t>
            </w:r>
          </w:p>
        </w:tc>
      </w:tr>
      <w:tr>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Timeline with phases, milestones, and definitions of done (Sections 4.1–4.3)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b/>
                <w:bCs/>
                <w:color w:val="375623"/>
                <w:sz w:val="20"/>
                <w:szCs w:val="20"/>
              </w:rPr>
              <w:t xml:space="preserve">✓  Complete</w:t>
            </w:r>
          </w:p>
        </w:tc>
      </w:tr>
      <w:tr>
        <w:tc>
          <w:tcPr>
            <w:tcW w:type="dxa" w:w="7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Reflection on scope and feasibility (Section 1.8)</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20"/>
                <w:szCs w:val="20"/>
              </w:rPr>
              <w:t xml:space="preserve">✓  Complete</w:t>
            </w:r>
          </w:p>
        </w:tc>
      </w:tr>
      <w:tr>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both"/>
            </w:pPr>
            <w:r>
              <w:rPr>
                <w:rFonts w:ascii="Arial" w:cs="Arial" w:eastAsia="Arial" w:hAnsi="Arial"/>
                <w:sz w:val="20"/>
                <w:szCs w:val="20"/>
              </w:rPr>
              <w:t xml:space="preserve">Collaboration documentation — Not applicable (individually completed project)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b/>
                <w:bCs/>
                <w:color w:val="375623"/>
                <w:sz w:val="20"/>
                <w:szCs w:val="20"/>
              </w:rPr>
              <w:t xml:space="preserve">✓  Complete</w:t>
            </w:r>
          </w:p>
        </w:tc>
      </w:tr>
    </w:tbl>
    <w:p>
      <w:pPr>
        <w:spacing w:after="80"/>
      </w:pPr>
      <w:r>
        <w:t xml:space="preserve"/>
      </w:r>
    </w:p>
    <w:p>
      <w:pPr>
        <w:pStyle w:val="Heading1"/>
        <w:spacing w:after="160" w:before="320"/>
      </w:pPr>
      <w:r>
        <w:rPr>
          <w:rFonts w:ascii="Arial" w:cs="Arial" w:eastAsia="Arial" w:hAnsi="Arial"/>
          <w:b/>
          <w:bCs/>
          <w:color w:val="1F4E79"/>
          <w:sz w:val="28"/>
          <w:szCs w:val="28"/>
        </w:rPr>
        <w:t xml:space="preserve">References</w:t>
      </w:r>
    </w:p>
    <w:p>
      <w:pPr>
        <w:pStyle w:val="ListParagraph"/>
        <w:numPr>
          <w:ilvl w:val="0"/>
          <w:numId w:val="2"/>
        </w:numPr>
        <w:spacing w:after="100"/>
        <w:jc w:val="both"/>
      </w:pPr>
      <w:r>
        <w:rPr>
          <w:rFonts w:ascii="Arial" w:cs="Arial" w:eastAsia="Arial" w:hAnsi="Arial"/>
          <w:sz w:val="22"/>
          <w:szCs w:val="22"/>
        </w:rPr>
        <w:t xml:space="preserve">Adadi, A. and Berrada, M. (2018) ‘Peeking inside the black-box: A survey on explainable artificial intelligence (XAI)’, IEEE Access, 6, pp. 52138–52160.</w:t>
      </w:r>
    </w:p>
    <w:p>
      <w:pPr>
        <w:pStyle w:val="ListParagraph"/>
        <w:numPr>
          <w:ilvl w:val="0"/>
          <w:numId w:val="2"/>
        </w:numPr>
        <w:spacing w:after="100"/>
        <w:jc w:val="both"/>
      </w:pPr>
      <w:r>
        <w:rPr>
          <w:rFonts w:ascii="Arial" w:cs="Arial" w:eastAsia="Arial" w:hAnsi="Arial"/>
          <w:sz w:val="22"/>
          <w:szCs w:val="22"/>
        </w:rPr>
        <w:t xml:space="preserve">Battu, G.G., Pakina, A.K., Banerjee, V., Kaushik, K., Kumawat, R. and Soni, M. (2025) ‘Dynamic credit scoring systems using hybrid AI models deployed on multi-cloud platforms’, 2025 IEEE 7th International Conference on Computing, Communication and Automation (ICCCA). DOI: 10.1109/ICCCA66364.2025.11325455.</w:t>
      </w:r>
    </w:p>
    <w:p>
      <w:pPr>
        <w:pStyle w:val="ListParagraph"/>
        <w:numPr>
          <w:ilvl w:val="0"/>
          <w:numId w:val="2"/>
        </w:numPr>
        <w:spacing w:after="100"/>
        <w:jc w:val="both"/>
      </w:pPr>
      <w:r>
        <w:rPr>
          <w:rFonts w:ascii="Arial" w:cs="Arial" w:eastAsia="Arial" w:hAnsi="Arial"/>
          <w:sz w:val="22"/>
          <w:szCs w:val="22"/>
        </w:rPr>
        <w:t xml:space="preserve">Braun, V. and Clarke, V. (2019) ‘Reflecting on reflexive thematic analysis’, Qualitative Research in Sport, Exercise and Health, 11(4), pp. 589–597.</w:t>
      </w:r>
    </w:p>
    <w:p>
      <w:pPr>
        <w:pStyle w:val="ListParagraph"/>
        <w:numPr>
          <w:ilvl w:val="0"/>
          <w:numId w:val="2"/>
        </w:numPr>
        <w:spacing w:after="100"/>
        <w:jc w:val="both"/>
      </w:pPr>
      <w:r>
        <w:rPr>
          <w:rFonts w:ascii="Arial" w:cs="Arial" w:eastAsia="Arial" w:hAnsi="Arial"/>
          <w:sz w:val="22"/>
          <w:szCs w:val="22"/>
        </w:rPr>
        <w:t xml:space="preserve">Cacioppo, J.T. and Petty, R.E. (1982) ‘The need for cognition’, Journal of Personality and Social Psychology, 42(1), pp. 116–131.</w:t>
      </w:r>
    </w:p>
    <w:p>
      <w:pPr>
        <w:pStyle w:val="ListParagraph"/>
        <w:numPr>
          <w:ilvl w:val="0"/>
          <w:numId w:val="2"/>
        </w:numPr>
        <w:spacing w:after="100"/>
        <w:jc w:val="both"/>
      </w:pPr>
      <w:r>
        <w:rPr>
          <w:rFonts w:ascii="Arial" w:cs="Arial" w:eastAsia="Arial" w:hAnsi="Arial"/>
          <w:sz w:val="22"/>
          <w:szCs w:val="22"/>
        </w:rPr>
        <w:t xml:space="preserve">Chilukala, R., Gururani, S., Mamadiyarov, Z., Toumasheva, M., Khorolskaya, T. and Naresh, R.B. (2025) ‘Explainable AI for credit scoring in cloud enterprise banking systems’, 2025 7th International Conference on Information Systems and Computer Networks (ISCON). DOI: 10.1109/ISCON65210.2025.11341493.</w:t>
      </w:r>
    </w:p>
    <w:p>
      <w:pPr>
        <w:pStyle w:val="ListParagraph"/>
        <w:numPr>
          <w:ilvl w:val="0"/>
          <w:numId w:val="2"/>
        </w:numPr>
        <w:spacing w:after="100"/>
        <w:jc w:val="both"/>
      </w:pPr>
      <w:r>
        <w:rPr>
          <w:rFonts w:ascii="Arial" w:cs="Arial" w:eastAsia="Arial" w:hAnsi="Arial"/>
          <w:sz w:val="22"/>
          <w:szCs w:val="22"/>
        </w:rPr>
        <w:t xml:space="preserve">Chromik, M. and Eiband, M. (2019) ‘XAI – A review of the literature on explainable artificial intelligence’, Proceedings of the ACM SIGCHI Conference on Human Factors in Computing Systems.</w:t>
      </w:r>
    </w:p>
    <w:p>
      <w:pPr>
        <w:pStyle w:val="ListParagraph"/>
        <w:numPr>
          <w:ilvl w:val="0"/>
          <w:numId w:val="2"/>
        </w:numPr>
        <w:spacing w:after="100"/>
        <w:jc w:val="both"/>
      </w:pPr>
      <w:r>
        <w:rPr>
          <w:rFonts w:ascii="Arial" w:cs="Arial" w:eastAsia="Arial" w:hAnsi="Arial"/>
          <w:sz w:val="22"/>
          <w:szCs w:val="22"/>
        </w:rPr>
        <w:t xml:space="preserve">Cummings, M.L. (2017) ‘Automation bias in intelligent time critical decision support systems’, in Decision Making in Aviation. Routledge.</w:t>
      </w:r>
    </w:p>
    <w:p>
      <w:pPr>
        <w:pStyle w:val="ListParagraph"/>
        <w:numPr>
          <w:ilvl w:val="0"/>
          <w:numId w:val="2"/>
        </w:numPr>
        <w:spacing w:after="100"/>
        <w:jc w:val="both"/>
      </w:pPr>
      <w:r>
        <w:rPr>
          <w:rFonts w:ascii="Arial" w:cs="Arial" w:eastAsia="Arial" w:hAnsi="Arial"/>
          <w:sz w:val="22"/>
          <w:szCs w:val="22"/>
        </w:rPr>
        <w:t xml:space="preserve">Dietvorst, B.J., Logg, J.M. and Massey, C. (2015) ‘Algorithm aversion: People erroneously avoid algorithms after seeing them err’, Journal of Experimental Psychology: General, 144(1), pp. 114–126.</w:t>
      </w:r>
    </w:p>
    <w:p>
      <w:pPr>
        <w:pStyle w:val="ListParagraph"/>
        <w:numPr>
          <w:ilvl w:val="0"/>
          <w:numId w:val="2"/>
        </w:numPr>
        <w:spacing w:after="100"/>
        <w:jc w:val="both"/>
      </w:pPr>
      <w:r>
        <w:rPr>
          <w:rFonts w:ascii="Arial" w:cs="Arial" w:eastAsia="Arial" w:hAnsi="Arial"/>
          <w:sz w:val="22"/>
          <w:szCs w:val="22"/>
        </w:rPr>
        <w:t xml:space="preserve">Doshi-Velez, F. and Kim, B. (2017) ‘Towards a rigorous science of interpretable machine learning’, arXiv preprint arXiv:1702.08608.</w:t>
      </w:r>
    </w:p>
    <w:p>
      <w:pPr>
        <w:pStyle w:val="ListParagraph"/>
        <w:numPr>
          <w:ilvl w:val="0"/>
          <w:numId w:val="2"/>
        </w:numPr>
        <w:spacing w:after="100"/>
        <w:jc w:val="both"/>
      </w:pPr>
      <w:r>
        <w:rPr>
          <w:rFonts w:ascii="Arial" w:cs="Arial" w:eastAsia="Arial" w:hAnsi="Arial"/>
          <w:sz w:val="22"/>
          <w:szCs w:val="22"/>
        </w:rPr>
        <w:t xml:space="preserve">Eubanks, V. (2018) Automating Inequality: How High-Tech Tools Profile, Police, and Punish the Poor. New York: St Martin’s Press.</w:t>
      </w:r>
    </w:p>
    <w:p>
      <w:pPr>
        <w:pStyle w:val="ListParagraph"/>
        <w:numPr>
          <w:ilvl w:val="0"/>
          <w:numId w:val="2"/>
        </w:numPr>
        <w:spacing w:after="100"/>
        <w:jc w:val="both"/>
      </w:pPr>
      <w:r>
        <w:rPr>
          <w:rFonts w:ascii="Arial" w:cs="Arial" w:eastAsia="Arial" w:hAnsi="Arial"/>
          <w:sz w:val="22"/>
          <w:szCs w:val="22"/>
        </w:rPr>
        <w:t xml:space="preserve">European Union (2024) Regulation (EU) 2024/1689 of the European Parliament and of the Council on Artificial Intelligence (Artificial Intelligence Act). Brussels: European Union.</w:t>
      </w:r>
    </w:p>
    <w:p>
      <w:pPr>
        <w:pStyle w:val="ListParagraph"/>
        <w:numPr>
          <w:ilvl w:val="0"/>
          <w:numId w:val="2"/>
        </w:numPr>
        <w:spacing w:after="100"/>
        <w:jc w:val="both"/>
      </w:pPr>
      <w:r>
        <w:rPr>
          <w:rFonts w:ascii="Arial" w:cs="Arial" w:eastAsia="Arial" w:hAnsi="Arial"/>
          <w:sz w:val="22"/>
          <w:szCs w:val="22"/>
        </w:rPr>
        <w:t xml:space="preserve">Financial Conduct Authority (2023) PS22/9: A New Consumer Duty. London: Financial Conduct Authority.</w:t>
      </w:r>
    </w:p>
    <w:p>
      <w:pPr>
        <w:pStyle w:val="ListParagraph"/>
        <w:numPr>
          <w:ilvl w:val="0"/>
          <w:numId w:val="2"/>
        </w:numPr>
        <w:spacing w:after="100"/>
        <w:jc w:val="both"/>
      </w:pPr>
      <w:r>
        <w:rPr>
          <w:rFonts w:ascii="Arial" w:cs="Arial" w:eastAsia="Arial" w:hAnsi="Arial"/>
          <w:sz w:val="22"/>
          <w:szCs w:val="22"/>
        </w:rPr>
        <w:t xml:space="preserve">Gautam, A. and Sreekumari, P. (2026) ‘HopeBot: An AI-powered mental health chatbot built to support college students’, 5th IEEE International Conference on AI in Cybersecurity (ICAIC). DOI: 10.1109/ICAIC67076.2026.11395838.</w:t>
      </w:r>
    </w:p>
    <w:p>
      <w:pPr>
        <w:pStyle w:val="ListParagraph"/>
        <w:numPr>
          <w:ilvl w:val="0"/>
          <w:numId w:val="2"/>
        </w:numPr>
        <w:spacing w:after="100"/>
        <w:jc w:val="both"/>
      </w:pPr>
      <w:r>
        <w:rPr>
          <w:rFonts w:ascii="Arial" w:cs="Arial" w:eastAsia="Arial" w:hAnsi="Arial"/>
          <w:sz w:val="22"/>
          <w:szCs w:val="22"/>
        </w:rPr>
        <w:t xml:space="preserve">Hoff, K.A. and Bashir, M. (2015) ‘Trust in automation: Integrating empirical evidence on factors that influence trust’, Human Factors, 57(3), pp. 407–434.</w:t>
      </w:r>
    </w:p>
    <w:p>
      <w:pPr>
        <w:pStyle w:val="ListParagraph"/>
        <w:numPr>
          <w:ilvl w:val="0"/>
          <w:numId w:val="2"/>
        </w:numPr>
        <w:spacing w:after="100"/>
        <w:jc w:val="both"/>
      </w:pPr>
      <w:r>
        <w:rPr>
          <w:rFonts w:ascii="Arial" w:cs="Arial" w:eastAsia="Arial" w:hAnsi="Arial"/>
          <w:sz w:val="22"/>
          <w:szCs w:val="22"/>
        </w:rPr>
        <w:t xml:space="preserve">Jian, J.Y., Bisantz, A.M. and Drury, C.G. (2000) ‘Foundations for an empirically determined scale of trust in automated systems’, International Journal of Cognitive Ergonomics, 4(1), pp. 53–71.</w:t>
      </w:r>
    </w:p>
    <w:p>
      <w:pPr>
        <w:pStyle w:val="ListParagraph"/>
        <w:numPr>
          <w:ilvl w:val="0"/>
          <w:numId w:val="2"/>
        </w:numPr>
        <w:spacing w:after="100"/>
        <w:jc w:val="both"/>
      </w:pPr>
      <w:r>
        <w:rPr>
          <w:rFonts w:ascii="Arial" w:cs="Arial" w:eastAsia="Arial" w:hAnsi="Arial"/>
          <w:sz w:val="22"/>
          <w:szCs w:val="22"/>
        </w:rPr>
        <w:t xml:space="preserve">Kahneman, D. (2011) Thinking, Fast and Slow. New York: Farrar, Straus and Giroux.</w:t>
      </w:r>
    </w:p>
    <w:p>
      <w:pPr>
        <w:pStyle w:val="ListParagraph"/>
        <w:numPr>
          <w:ilvl w:val="0"/>
          <w:numId w:val="2"/>
        </w:numPr>
        <w:spacing w:after="100"/>
        <w:jc w:val="both"/>
      </w:pPr>
      <w:r>
        <w:rPr>
          <w:rFonts w:ascii="Arial" w:cs="Arial" w:eastAsia="Arial" w:hAnsi="Arial"/>
          <w:sz w:val="22"/>
          <w:szCs w:val="22"/>
        </w:rPr>
        <w:t xml:space="preserve">Karmakar, P. and Shazzad, S. (2026) ‘Human–AI interaction in healthcare: A user-centered evaluation of trust and usability in explainable AI interfaces’, 2026 IEEE 2nd International Conference on Quantum Photonics, Artificial Intelligence, and Networking (QPAIN). DOI: 10.1109/QPAIN69676.2026.11546108.</w:t>
      </w:r>
    </w:p>
    <w:p>
      <w:pPr>
        <w:pStyle w:val="ListParagraph"/>
        <w:numPr>
          <w:ilvl w:val="0"/>
          <w:numId w:val="2"/>
        </w:numPr>
        <w:spacing w:after="100"/>
        <w:jc w:val="both"/>
      </w:pPr>
      <w:r>
        <w:rPr>
          <w:rFonts w:ascii="Arial" w:cs="Arial" w:eastAsia="Arial" w:hAnsi="Arial"/>
          <w:sz w:val="22"/>
          <w:szCs w:val="22"/>
        </w:rPr>
        <w:t xml:space="preserve">Keerthana, C.S., Nalluri, S.C., Muskaan, S. and Sadagopan, P. (2025) ‘Explainable AI in credit card fraud detection: SHAP and LIME for machine learning models’, 2025 10th International Conference on Signal Processing and Communication (ICSC). DOI: 10.1109/ICSC64553.2025.10968935.</w:t>
      </w:r>
    </w:p>
    <w:p>
      <w:pPr>
        <w:pStyle w:val="ListParagraph"/>
        <w:numPr>
          <w:ilvl w:val="0"/>
          <w:numId w:val="2"/>
        </w:numPr>
        <w:spacing w:after="100"/>
        <w:jc w:val="both"/>
      </w:pPr>
      <w:r>
        <w:rPr>
          <w:rFonts w:ascii="Arial" w:cs="Arial" w:eastAsia="Arial" w:hAnsi="Arial"/>
          <w:sz w:val="22"/>
          <w:szCs w:val="22"/>
        </w:rPr>
        <w:t xml:space="preserve">Kern, F., Polifke, L., Friedrich, P., Latoschik, M.E., Wienrich, C. and Obremski, D. (2026) ‘CECA — A configurable framework for embodied conversational AI agents in extended reality’, 2026 IEEE Conference on Virtual Reality and 3D User Interfaces Abstracts and Workshops (VRW). DOI: 10.1109/VRW70859.2026.00325.</w:t>
      </w:r>
    </w:p>
    <w:p>
      <w:pPr>
        <w:pStyle w:val="ListParagraph"/>
        <w:numPr>
          <w:ilvl w:val="0"/>
          <w:numId w:val="2"/>
        </w:numPr>
        <w:spacing w:after="100"/>
        <w:jc w:val="both"/>
      </w:pPr>
      <w:r>
        <w:rPr>
          <w:rFonts w:ascii="Arial" w:cs="Arial" w:eastAsia="Arial" w:hAnsi="Arial"/>
          <w:sz w:val="22"/>
          <w:szCs w:val="22"/>
        </w:rPr>
        <w:t xml:space="preserve">Kotrachai, C., Chanruangrat, P., Thaipisutikul, T., Kusakunniran, W., Hsu, W.C. and Sun, Y.C. (2023) ‘Explainable AI supported evaluation and comparison on credit card fraud detection models’, 2023 7th International Conference on Information Technology (InCIT). DOI: 10.1109/InCIT60207.2023.10413100.</w:t>
      </w:r>
    </w:p>
    <w:p>
      <w:pPr>
        <w:pStyle w:val="ListParagraph"/>
        <w:numPr>
          <w:ilvl w:val="0"/>
          <w:numId w:val="2"/>
        </w:numPr>
        <w:spacing w:after="100"/>
        <w:jc w:val="both"/>
      </w:pPr>
      <w:r>
        <w:rPr>
          <w:rFonts w:ascii="Arial" w:cs="Arial" w:eastAsia="Arial" w:hAnsi="Arial"/>
          <w:sz w:val="22"/>
          <w:szCs w:val="22"/>
        </w:rPr>
        <w:t xml:space="preserve">Kumbhar, T., Agrawal, D., Koshti, D. and Saldanha, L. (2024) ‘AI-driven credit scoring and credit line solution for the unreserved and self-employed’, 2024 Second International Conference on Inventive Computing and Informatics (ICICI). DOI: 10.1109/ICICI62254.2024.00039.</w:t>
      </w:r>
    </w:p>
    <w:p>
      <w:pPr>
        <w:pStyle w:val="ListParagraph"/>
        <w:numPr>
          <w:ilvl w:val="0"/>
          <w:numId w:val="2"/>
        </w:numPr>
        <w:spacing w:after="100"/>
        <w:jc w:val="both"/>
      </w:pPr>
      <w:r>
        <w:rPr>
          <w:rFonts w:ascii="Arial" w:cs="Arial" w:eastAsia="Arial" w:hAnsi="Arial"/>
          <w:sz w:val="22"/>
          <w:szCs w:val="22"/>
        </w:rPr>
        <w:t xml:space="preserve">Lee, J.D. and See, K.A. (2004) ‘Trust in automation: Designing for appropriate reliance’, Human Factors, 46(1), pp. 50–80.</w:t>
      </w:r>
    </w:p>
    <w:p>
      <w:pPr>
        <w:pStyle w:val="ListParagraph"/>
        <w:numPr>
          <w:ilvl w:val="0"/>
          <w:numId w:val="2"/>
        </w:numPr>
        <w:spacing w:after="100"/>
        <w:jc w:val="both"/>
      </w:pPr>
      <w:r>
        <w:rPr>
          <w:rFonts w:ascii="Arial" w:cs="Arial" w:eastAsia="Arial" w:hAnsi="Arial"/>
          <w:sz w:val="22"/>
          <w:szCs w:val="22"/>
        </w:rPr>
        <w:t xml:space="preserve">Logg, J.M., Minson, J.A. and Moore, D.A. (2019) ‘Algorithm appreciation: People prefer algorithmic to human judgment’, Organizational Behavior and Human Decision Processes, 151, pp. 90–103.</w:t>
      </w:r>
    </w:p>
    <w:p>
      <w:pPr>
        <w:pStyle w:val="ListParagraph"/>
        <w:numPr>
          <w:ilvl w:val="0"/>
          <w:numId w:val="2"/>
        </w:numPr>
        <w:spacing w:after="100"/>
        <w:jc w:val="both"/>
      </w:pPr>
      <w:r>
        <w:rPr>
          <w:rFonts w:ascii="Arial" w:cs="Arial" w:eastAsia="Arial" w:hAnsi="Arial"/>
          <w:sz w:val="22"/>
          <w:szCs w:val="22"/>
        </w:rPr>
        <w:t xml:space="preserve">Lundberg, S.M. and Lee, S.I. (2017) ‘A unified approach to interpreting model predictions’, Advances in Neural Information Processing Systems, 30.</w:t>
      </w:r>
    </w:p>
    <w:p>
      <w:pPr>
        <w:pStyle w:val="ListParagraph"/>
        <w:numPr>
          <w:ilvl w:val="0"/>
          <w:numId w:val="2"/>
        </w:numPr>
        <w:spacing w:after="100"/>
        <w:jc w:val="both"/>
      </w:pPr>
      <w:r>
        <w:rPr>
          <w:rFonts w:ascii="Arial" w:cs="Arial" w:eastAsia="Arial" w:hAnsi="Arial"/>
          <w:sz w:val="22"/>
          <w:szCs w:val="22"/>
        </w:rPr>
        <w:t xml:space="preserve">Lusardi, A. and Mitchell, O.S. (2011) ‘Financial literacy around the world: An overview’, Journal of Pension Economics and Finance, 10(4), pp. 497–508.</w:t>
      </w:r>
    </w:p>
    <w:p>
      <w:pPr>
        <w:pStyle w:val="ListParagraph"/>
        <w:numPr>
          <w:ilvl w:val="0"/>
          <w:numId w:val="2"/>
        </w:numPr>
        <w:spacing w:after="100"/>
        <w:jc w:val="both"/>
      </w:pPr>
      <w:r>
        <w:rPr>
          <w:rFonts w:ascii="Arial" w:cs="Arial" w:eastAsia="Arial" w:hAnsi="Arial"/>
          <w:sz w:val="22"/>
          <w:szCs w:val="22"/>
        </w:rPr>
        <w:t xml:space="preserve">Mayer, R.C., Davis, J.H. and Schoorman, F.D. (1995) ‘An integrative model of organizational trust’, Academy of Management Review, 20(3), pp. 709–734.</w:t>
      </w:r>
    </w:p>
    <w:p>
      <w:pPr>
        <w:pStyle w:val="ListParagraph"/>
        <w:numPr>
          <w:ilvl w:val="0"/>
          <w:numId w:val="2"/>
        </w:numPr>
        <w:spacing w:after="100"/>
        <w:jc w:val="both"/>
      </w:pPr>
      <w:r>
        <w:rPr>
          <w:rFonts w:ascii="Arial" w:cs="Arial" w:eastAsia="Arial" w:hAnsi="Arial"/>
          <w:sz w:val="22"/>
          <w:szCs w:val="22"/>
        </w:rPr>
        <w:t xml:space="preserve">Merritt, S.M., Heimbaugh, H., LaChapell, J. and Lee, D. (2013) ‘I trust it, but I don’t know why: Effects of implicit attitudes toward automation on trust in an automated system’, Human Factors, 55(3), pp. 520–534.</w:t>
      </w:r>
    </w:p>
    <w:p>
      <w:pPr>
        <w:pStyle w:val="ListParagraph"/>
        <w:numPr>
          <w:ilvl w:val="0"/>
          <w:numId w:val="2"/>
        </w:numPr>
        <w:spacing w:after="100"/>
        <w:jc w:val="both"/>
      </w:pPr>
      <w:r>
        <w:rPr>
          <w:rFonts w:ascii="Arial" w:cs="Arial" w:eastAsia="Arial" w:hAnsi="Arial"/>
          <w:sz w:val="22"/>
          <w:szCs w:val="22"/>
        </w:rPr>
        <w:t xml:space="preserve">Mukherjee, D., Pandey, N. and Rajput, P.K. (2025) ‘A systematic review of emerging techniques in credit card fraud detection’, 2025 2nd Global AI Summit — International Conference on Artificial Intelligence and Emerging Technology (AI Summit). DOI: 10.1109/AISummit66170.2025.11411022.</w:t>
      </w:r>
    </w:p>
    <w:p>
      <w:pPr>
        <w:pStyle w:val="ListParagraph"/>
        <w:numPr>
          <w:ilvl w:val="0"/>
          <w:numId w:val="2"/>
        </w:numPr>
        <w:spacing w:after="100"/>
        <w:jc w:val="both"/>
      </w:pPr>
      <w:r>
        <w:rPr>
          <w:rFonts w:ascii="Arial" w:cs="Arial" w:eastAsia="Arial" w:hAnsi="Arial"/>
          <w:sz w:val="22"/>
          <w:szCs w:val="22"/>
        </w:rPr>
        <w:t xml:space="preserve">Mushtaq, A. (2026) ‘Human–AI interaction and user experience: Integrating HCI principles into AI system design education’, 2026 International Conference on Integrated Intelligence and Cognitive Engineering (ICIICE). DOI: 10.1109/ICIICE69672.2026.11565510.</w:t>
      </w:r>
    </w:p>
    <w:p>
      <w:pPr>
        <w:pStyle w:val="ListParagraph"/>
        <w:numPr>
          <w:ilvl w:val="0"/>
          <w:numId w:val="2"/>
        </w:numPr>
        <w:spacing w:after="100"/>
        <w:jc w:val="both"/>
      </w:pPr>
      <w:r>
        <w:rPr>
          <w:rFonts w:ascii="Arial" w:cs="Arial" w:eastAsia="Arial" w:hAnsi="Arial"/>
          <w:sz w:val="22"/>
          <w:szCs w:val="22"/>
        </w:rPr>
        <w:t xml:space="preserve">Parasuraman, R. and Riley, V. (1997) ‘Humans and automation: Use, misuse, disuse, abuse’, Human Factors, 39(2), pp. 230–253.</w:t>
      </w:r>
    </w:p>
    <w:p>
      <w:pPr>
        <w:pStyle w:val="ListParagraph"/>
        <w:numPr>
          <w:ilvl w:val="0"/>
          <w:numId w:val="2"/>
        </w:numPr>
        <w:spacing w:after="100"/>
        <w:jc w:val="both"/>
      </w:pPr>
      <w:r>
        <w:rPr>
          <w:rFonts w:ascii="Arial" w:cs="Arial" w:eastAsia="Arial" w:hAnsi="Arial"/>
          <w:sz w:val="22"/>
          <w:szCs w:val="22"/>
        </w:rPr>
        <w:t xml:space="preserve">Parasuraman, R., Sheridan, T.B. and Wickens, C.D. (2000) ‘A model for types and levels of human interaction with automation’, IEEE Transactions on Systems, Man, and Cybernetics, 30(3), pp. 286–297.</w:t>
      </w:r>
    </w:p>
    <w:p>
      <w:pPr>
        <w:pStyle w:val="ListParagraph"/>
        <w:numPr>
          <w:ilvl w:val="0"/>
          <w:numId w:val="2"/>
        </w:numPr>
        <w:spacing w:after="100"/>
        <w:jc w:val="both"/>
      </w:pPr>
      <w:r>
        <w:rPr>
          <w:rFonts w:ascii="Arial" w:cs="Arial" w:eastAsia="Arial" w:hAnsi="Arial"/>
          <w:sz w:val="22"/>
          <w:szCs w:val="22"/>
        </w:rPr>
        <w:t xml:space="preserve">Pasquale, F. (2015) The Black Box Society: The Secret Algorithms that Control Money and Information. Cambridge, MA: Harvard University Press.</w:t>
      </w:r>
    </w:p>
    <w:p>
      <w:pPr>
        <w:pStyle w:val="ListParagraph"/>
        <w:numPr>
          <w:ilvl w:val="0"/>
          <w:numId w:val="2"/>
        </w:numPr>
        <w:spacing w:after="100"/>
        <w:jc w:val="both"/>
      </w:pPr>
      <w:r>
        <w:rPr>
          <w:rFonts w:ascii="Arial" w:cs="Arial" w:eastAsia="Arial" w:hAnsi="Arial"/>
          <w:sz w:val="22"/>
          <w:szCs w:val="22"/>
        </w:rPr>
        <w:t xml:space="preserve">Prahl, A. and Van Swol, L. (2017) ‘Understanding algorithm aversion: When is advice from automation discounted?’, Journal of Forecasting, 36(6), pp. 691–702.</w:t>
      </w:r>
    </w:p>
    <w:p>
      <w:pPr>
        <w:pStyle w:val="ListParagraph"/>
        <w:numPr>
          <w:ilvl w:val="0"/>
          <w:numId w:val="2"/>
        </w:numPr>
        <w:spacing w:after="100"/>
        <w:jc w:val="both"/>
      </w:pPr>
      <w:r>
        <w:rPr>
          <w:rFonts w:ascii="Arial" w:cs="Arial" w:eastAsia="Arial" w:hAnsi="Arial"/>
          <w:sz w:val="22"/>
          <w:szCs w:val="22"/>
        </w:rPr>
        <w:t xml:space="preserve">Ribeiro, M.T., Singh, S. and Guestrin, C. (2016) ‘“Why should I trust you?”: Explaining the predictions of any classifier’, Proceedings of the 22nd ACM SIGKDD International Conference on Knowledge Discovery and Data Mining, pp. 1135–1144.</w:t>
      </w:r>
    </w:p>
    <w:p>
      <w:pPr>
        <w:pStyle w:val="ListParagraph"/>
        <w:numPr>
          <w:ilvl w:val="0"/>
          <w:numId w:val="2"/>
        </w:numPr>
        <w:spacing w:after="100"/>
        <w:jc w:val="both"/>
      </w:pPr>
      <w:r>
        <w:rPr>
          <w:rFonts w:ascii="Arial" w:cs="Arial" w:eastAsia="Arial" w:hAnsi="Arial"/>
          <w:sz w:val="22"/>
          <w:szCs w:val="22"/>
        </w:rPr>
        <w:t xml:space="preserve">Sharma, P. and Logeshwaran, J. (2024) ‘AI-driven credit scoring system for real-time credit card approval in banking’, 2024 2nd International Conference on Advances in Computation, Communication and Information Technology (ICAICCIT). DOI: 10.1109/ICAICCIT64383.2024.10912352.</w:t>
      </w:r>
    </w:p>
    <w:p>
      <w:pPr>
        <w:pStyle w:val="ListParagraph"/>
        <w:numPr>
          <w:ilvl w:val="0"/>
          <w:numId w:val="2"/>
        </w:numPr>
        <w:spacing w:after="100"/>
        <w:jc w:val="both"/>
      </w:pPr>
      <w:r>
        <w:rPr>
          <w:rFonts w:ascii="Arial" w:cs="Arial" w:eastAsia="Arial" w:hAnsi="Arial"/>
          <w:sz w:val="22"/>
          <w:szCs w:val="22"/>
        </w:rPr>
        <w:t xml:space="preserve">Singla, P., Rahul, Sharma, A., Dixit, S., Kapil, G. and Singla, S. (2025) ‘Human-computer interaction (HCI): Designing intuitive interfaces for AI systems’, 2025 Seventh International Conference on Computational Intelligence and Communication Technologies (CCICT). DOI: 10.1109/CCICT65753.2025.00028.</w:t>
      </w:r>
    </w:p>
    <w:p>
      <w:pPr>
        <w:pStyle w:val="ListParagraph"/>
        <w:numPr>
          <w:ilvl w:val="0"/>
          <w:numId w:val="2"/>
        </w:numPr>
        <w:spacing w:after="100"/>
        <w:jc w:val="both"/>
      </w:pPr>
      <w:r>
        <w:rPr>
          <w:rFonts w:ascii="Arial" w:cs="Arial" w:eastAsia="Arial" w:hAnsi="Arial"/>
          <w:sz w:val="22"/>
          <w:szCs w:val="22"/>
        </w:rPr>
        <w:t xml:space="preserve">Stanton, N.A., Salmon, P.M., Rafferty, L.A., Walker, G.H., Baber, C. and Jenkins, D.P. (2013) Human Factors Methods: A Practical Guide for Engineering and Design. 2nd edn. Farnham: Ashgate.</w:t>
      </w:r>
    </w:p>
    <w:p>
      <w:pPr>
        <w:pStyle w:val="ListParagraph"/>
        <w:numPr>
          <w:ilvl w:val="0"/>
          <w:numId w:val="2"/>
        </w:numPr>
        <w:spacing w:after="100"/>
        <w:jc w:val="both"/>
      </w:pPr>
      <w:r>
        <w:rPr>
          <w:rFonts w:ascii="Arial" w:cs="Arial" w:eastAsia="Arial" w:hAnsi="Arial"/>
          <w:sz w:val="22"/>
          <w:szCs w:val="22"/>
        </w:rPr>
        <w:t xml:space="preserve">Venkatesh, V., Morris, M.G., Davis, G.B. and Davis, F.D. (2003) ‘User acceptance of information technology: Toward a unified view’, MIS Quarterly, 27(3), pp. 425–478.</w:t>
      </w:r>
    </w:p>
    <w:p>
      <w:pPr>
        <w:pStyle w:val="ListParagraph"/>
        <w:numPr>
          <w:ilvl w:val="0"/>
          <w:numId w:val="2"/>
        </w:numPr>
        <w:spacing w:after="100"/>
        <w:jc w:val="both"/>
      </w:pPr>
      <w:r>
        <w:rPr>
          <w:rFonts w:ascii="Arial" w:cs="Arial" w:eastAsia="Arial" w:hAnsi="Arial"/>
          <w:sz w:val="22"/>
          <w:szCs w:val="22"/>
        </w:rPr>
        <w:t xml:space="preserve">Vij, R., Aggarwal, A., Saini, N. and Kumar, D. (2025) ‘AI-enhanced credit scoring method for immediate assessment’, 2025 2nd International Conference on New Frontiers in Communication, Automation, Management and Security (ICCAMS). DOI: 10.1109/ICCAMS65118.2025.11234116.</w:t>
      </w:r>
    </w:p>
    <w:p>
      <w:pPr>
        <w:pStyle w:val="ListParagraph"/>
        <w:numPr>
          <w:ilvl w:val="0"/>
          <w:numId w:val="2"/>
        </w:numPr>
        <w:spacing w:after="100"/>
        <w:jc w:val="both"/>
      </w:pPr>
      <w:r>
        <w:rPr>
          <w:rFonts w:ascii="Arial" w:cs="Arial" w:eastAsia="Arial" w:hAnsi="Arial"/>
          <w:sz w:val="22"/>
          <w:szCs w:val="22"/>
        </w:rPr>
        <w:t xml:space="preserve">Wachter, S., Mittelstadt, B. and Russell, C. (2017) ‘Counterfactual explanations without opening the black box: Automated decisions and the GDPR’, Harvard Journal of Law &amp; Technology, 31(2), pp. 841–887.</w:t>
      </w:r>
    </w:p>
    <w:p>
      <w:pPr>
        <w:spacing w:after="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60"/>
      <w:outlineLvl w:val="1"/>
    </w:pPr>
    <w:rPr>
      <w:rFonts w:ascii="Arial" w:cs="Arial" w:eastAsia="Arial" w:hAnsi="Arial"/>
      <w:b/>
      <w:bCs/>
      <w:color w:val="2E74B5"/>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 Al Noman</dc:creator>
  <cp:lastModifiedBy>Abdulla Al Noman</cp:lastModifiedBy>
  <cp:revision>1</cp:revision>
  <dcterms:created xsi:type="dcterms:W3CDTF">2026-06-13T10:00:00Z</dcterms:created>
  <dcterms:modified xsi:type="dcterms:W3CDTF">2026-06-13T23:00:00Z</dcterms:modified>
  <dc:title>FGCT7024 FMP Proposal - Modeling Trust Calibration</dc:title>
  <dc:description/>
  <cp:keywords/>
  <dc:subject>MSc HCI Final Major Project Proposal</dc:subject>
</cp:coreProperties>
</file>

<file path=docProps/custom.xml><?xml version="1.0" encoding="utf-8"?>
<Properties xmlns="http://schemas.openxmlformats.org/officeDocument/2006/custom-properties" xmlns:vt="http://schemas.openxmlformats.org/officeDocument/2006/docPropsVTypes"/>
</file>