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4"/>
          <w:szCs w:val="24"/>
        </w:rPr>
        <w:t xml:space="preserve">CPSE.1 (version 3.8) — REPLIES TO ENQUIRIES</w:t>
      </w:r>
    </w:p>
    <w:p>
      <w:pPr>
        <w:spacing w:after="200"/>
        <w:jc w:val="center"/>
      </w:pPr>
      <w:r>
        <w:rPr>
          <w:sz w:val="20"/>
          <w:szCs w:val="20"/>
        </w:rPr>
        <w:t xml:space="preserve">Property: Fourth and Fifth Floors, Pinnacle House, 12 Wellington Place, Leeds LS1 4AP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Seller / Landlord</w:t>
            </w:r>
          </w:p>
        </w:tc>
        <w:tc>
          <w:tcPr>
            <w:tcW w:type="dxa" w:w="6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Halgarth Estates Limited</w:t>
            </w:r>
          </w:p>
        </w:tc>
      </w:tr>
      <w:tr>
        <w:tc>
          <w:tcPr>
            <w:tcW w:type="dxa" w:w="26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Seller’s solicitors</w:t>
            </w:r>
          </w:p>
        </w:tc>
        <w:tc>
          <w:tcPr>
            <w:tcW w:type="dxa" w:w="6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Whitfield Carter LLP (ref SW/EM/HAL0191)</w:t>
            </w:r>
          </w:p>
        </w:tc>
      </w:tr>
      <w:tr>
        <w:tc>
          <w:tcPr>
            <w:tcW w:type="dxa" w:w="26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Buyer / Tenant</w:t>
            </w:r>
          </w:p>
        </w:tc>
        <w:tc>
          <w:tcPr>
            <w:tcW w:type="dxa" w:w="6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Brookmere Software Limited</w:t>
            </w:r>
          </w:p>
        </w:tc>
      </w:tr>
      <w:tr>
        <w:tc>
          <w:tcPr>
            <w:tcW w:type="dxa" w:w="26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Buyer’s solicitors</w:t>
            </w:r>
          </w:p>
        </w:tc>
        <w:tc>
          <w:tcPr>
            <w:tcW w:type="dxa" w:w="6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Pemberton Rowe LLP</w:t>
            </w:r>
          </w:p>
        </w:tc>
      </w:tr>
      <w:tr>
        <w:tc>
          <w:tcPr>
            <w:tcW w:type="dxa" w:w="26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Date of replies</w:t>
            </w:r>
          </w:p>
        </w:tc>
        <w:tc>
          <w:tcPr>
            <w:tcW w:type="dxa" w:w="6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9 August 2024</w:t>
            </w:r>
          </w:p>
        </w:tc>
      </w:tr>
    </w:tbl>
    <w:p>
      <w:pPr>
        <w:pStyle w:val="Heading2"/>
      </w:pPr>
      <w:r>
        <w:t xml:space="preserve">1. Boundaries and extent</w:t>
      </w:r>
    </w:p>
    <w:p>
      <w:pPr>
        <w:spacing w:after="120"/>
      </w:pPr>
      <w:r>
        <w:t xml:space="preserve">1.1 The Property comprises the Fourth and Fifth Floors of the Building as shown edged red on the lease plan. The Landlord is not aware of any boundary discrepancy. The car parking spaces are as allocated in the basement car park.</w:t>
      </w:r>
    </w:p>
    <w:p>
      <w:pPr>
        <w:pStyle w:val="Heading2"/>
      </w:pPr>
      <w:r>
        <w:t xml:space="preserve">2. Rights and informal arrangements</w:t>
      </w:r>
    </w:p>
    <w:p>
      <w:pPr>
        <w:spacing w:after="120"/>
      </w:pPr>
      <w:r>
        <w:t xml:space="preserve">2.1 The Property has the benefit of the rights set out in Schedule 1 of the Lease. Save as disclosed in the title and the Lease, the Landlord is not aware of any informal or unregistered rights affecting the Property.</w:t>
      </w:r>
    </w:p>
    <w:p>
      <w:pPr>
        <w:pStyle w:val="Heading2"/>
      </w:pPr>
      <w:r>
        <w:t xml:space="preserve">3. Notices</w:t>
      </w:r>
    </w:p>
    <w:p>
      <w:pPr>
        <w:spacing w:after="120"/>
      </w:pPr>
      <w:r>
        <w:t xml:space="preserve">3.1 The Landlord has not received any notice affecting the Property other than routine correspondence from the local authority and the managing agents, copies of which (if any) are available on request.</w:t>
      </w:r>
    </w:p>
    <w:p>
      <w:pPr>
        <w:pStyle w:val="Heading2"/>
      </w:pPr>
      <w:r>
        <w:t xml:space="preserve">4. Physical condition</w:t>
      </w:r>
    </w:p>
    <w:p>
      <w:pPr>
        <w:spacing w:after="120"/>
      </w:pPr>
      <w:r>
        <w:t xml:space="preserve">4.1 The Property has been fitted out to category A standard. A schedule of condition prepared by Calderbank Vine dated August 2024 is to be annexed to the Lease and the Tenant’s repairing liability is limited by reference to it. 4.2 The Landlord is not aware of any structural defect, asbestos (save as recorded in the asbestos register held by the managing agents) or flooding affecting the Property.</w:t>
      </w:r>
    </w:p>
    <w:p>
      <w:pPr>
        <w:pStyle w:val="Heading2"/>
      </w:pPr>
      <w:r>
        <w:t xml:space="preserve">5. Services</w:t>
      </w:r>
    </w:p>
    <w:p>
      <w:pPr>
        <w:spacing w:after="120"/>
      </w:pPr>
      <w:r>
        <w:t xml:space="preserve">5.1 The Property is served by mains water, drainage, electricity and gas, and by the Building’s mechanical ventilation and comfort cooling. Service media pass through the Common Parts and retained parts of the Building.</w:t>
      </w:r>
    </w:p>
    <w:p>
      <w:pPr>
        <w:pStyle w:val="Heading2"/>
      </w:pPr>
      <w:r>
        <w:t xml:space="preserve">6. Planning and building regulations</w:t>
      </w:r>
    </w:p>
    <w:p>
      <w:pPr>
        <w:spacing w:after="120"/>
      </w:pPr>
      <w:r>
        <w:t xml:space="preserve">6.1 The Building has the benefit of planning permission for office use (Use Class E). The Landlord is not aware of any outstanding enforcement notice. 6.2 The Tenant must obtain any consents required for its fit-out.</w:t>
      </w:r>
    </w:p>
    <w:p>
      <w:pPr>
        <w:pStyle w:val="Heading2"/>
      </w:pPr>
      <w:r>
        <w:t xml:space="preserve">7. Statutory agreements and infrastructure</w:t>
      </w:r>
    </w:p>
    <w:p>
      <w:pPr>
        <w:spacing w:after="120"/>
      </w:pPr>
      <w:r>
        <w:t xml:space="preserve">7.1 The Landlord is not aware of any statutory agreement (other than standard utility wayleaves) affecting the Property.</w:t>
      </w:r>
    </w:p>
    <w:p>
      <w:pPr>
        <w:pStyle w:val="Heading2"/>
      </w:pPr>
      <w:r>
        <w:t xml:space="preserve">8. Environmental</w:t>
      </w:r>
    </w:p>
    <w:p>
      <w:pPr>
        <w:spacing w:after="120"/>
      </w:pPr>
      <w:r>
        <w:t xml:space="preserve">8.1 The Landlord is not aware of any contamination at the Property. An EPC rating of B (certificate reference 0820-3914-0277-2200-9043) is held and a copy has been supplied.</w:t>
      </w:r>
    </w:p>
    <w:p>
      <w:pPr>
        <w:pStyle w:val="Heading2"/>
      </w:pPr>
      <w:r>
        <w:t xml:space="preserve">9. Occupiers and employees</w:t>
      </w:r>
    </w:p>
    <w:p>
      <w:pPr>
        <w:spacing w:after="120"/>
      </w:pPr>
      <w:r>
        <w:t xml:space="preserve">9.1 The Property is to be let with vacant possession; there are no occupiers and TUPE does not apply.</w:t>
      </w:r>
    </w:p>
    <w:p>
      <w:pPr>
        <w:pStyle w:val="Heading2"/>
      </w:pPr>
      <w:r>
        <w:t xml:space="preserve">10. Insurance</w:t>
      </w:r>
    </w:p>
    <w:p>
      <w:pPr>
        <w:spacing w:after="120"/>
      </w:pPr>
      <w:r>
        <w:t xml:space="preserve">10.1 The Landlord insures the Building through its block policy with Caldervale Underwriting Limited. The current reinstatement sum and a summary of cover have been supplied. There have been no insurance claims in the last three years affecting the Property.</w:t>
      </w:r>
    </w:p>
    <w:p>
      <w:pPr>
        <w:pStyle w:val="Heading2"/>
      </w:pPr>
      <w:r>
        <w:t xml:space="preserve">11. VAT</w:t>
      </w:r>
    </w:p>
    <w:p>
      <w:pPr>
        <w:spacing w:after="120"/>
      </w:pPr>
      <w:r>
        <w:t xml:space="preserve">11.1 The Landlord has exercised the option to tax the Building with effect from 1 April 2016; VAT is chargeable on the rents and other sums reserved by the Lease.</w:t>
      </w:r>
    </w:p>
    <w:p>
      <w:pPr>
        <w:pStyle w:val="Heading2"/>
      </w:pPr>
      <w:r>
        <w:t xml:space="preserve">12. Contracting out</w:t>
      </w:r>
    </w:p>
    <w:p>
      <w:pPr>
        <w:spacing w:after="120"/>
      </w:pPr>
      <w:r>
        <w:t xml:space="preserve">12.1 The Lease is to be contracted out of sections 24 to 28 of the Landlord and Tenant Act 1954. The Landlord’s notice was served on 19 August 2024 and the Tenant is to make a simple declaration (the parties having agreed completion is more than 14 days away).</w:t>
      </w:r>
    </w:p>
    <w:p>
      <w:pPr>
        <w:spacing w:before="200"/>
        <w:rPr>
          <w:i/>
          <w:iCs/>
          <w:sz w:val="20"/>
          <w:szCs w:val="20"/>
        </w:rPr>
      </w:pPr>
      <w:r>
        <w:rPr>
          <w:i/>
          <w:iCs/>
          <w:sz w:val="20"/>
          <w:szCs w:val="20"/>
        </w:rPr>
        <w:t xml:space="preserve">These replies are given on behalf of the Landlord by Whitfield Carter LLP. They are believed to be correct but are not warranted; the Tenant should rely on its own enquiries, searches and survey.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pPr>
    <w:r>
      <w:rPr>
        <w:color w:val="666666"/>
        <w:sz w:val="14"/>
        <w:szCs w:val="14"/>
      </w:rPr>
      <w:t xml:space="preserve">Whitfield Carter LLP is a limited liability partnership registered in England and Wales. Confidential and may be legally privileged.</w:t>
    </w:r>
  </w:p>
  <w:p>
    <w:pPr>
      <w:jc w:val="right"/>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850" w:hanging="550"/>
      </w:pPr>
    </w:lvl>
    <w:lvl w:ilvl="2" w15:tentative="1">
      <w:start w:val="1"/>
      <w:numFmt w:val="lowerLetter"/>
      <w:lvlText w:val="(%3)"/>
      <w:lvlJc w:val="left"/>
      <w:pPr>
        <w:ind w:left="1300" w:hanging="45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2026-06-30T11:16:23.218Z</dcterms:created>
  <dcterms:modified xsi:type="dcterms:W3CDTF">2026-06-30T11:16:23.218Z</dcterms:modified>
</cp:coreProperties>
</file>

<file path=docProps/custom.xml><?xml version="1.0" encoding="utf-8"?>
<Properties xmlns="http://schemas.openxmlformats.org/officeDocument/2006/custom-properties" xmlns:vt="http://schemas.openxmlformats.org/officeDocument/2006/docPropsVTypes"/>
</file>