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1F3864"/>
          <w:sz w:val="18"/>
          <w:szCs w:val="18"/>
        </w:rPr>
        <w:t xml:space="preserve">Solicitors</w:t>
      </w:r>
    </w:p>
    <w:p>
      <w:pPr>
        <w:spacing w:after="0"/>
        <w:jc w:val="right"/>
      </w:pPr>
      <w:r>
        <w:rPr>
          <w:sz w:val="16"/>
          <w:szCs w:val="16"/>
        </w:rPr>
        <w:t xml:space="preserve">22 Bishopsgate, London EC2N 4BQ</w:t>
      </w:r>
    </w:p>
    <w:p>
      <w:pPr>
        <w:spacing w:after="60"/>
        <w:jc w:val="right"/>
      </w:pPr>
      <w:r>
        <w:rPr>
          <w:sz w:val="16"/>
          <w:szCs w:val="16"/>
        </w:rPr>
        <w:t xml:space="preserve">T +44 (0)20 7946 0382   DX 124 London Wall</w:t>
      </w:r>
    </w:p>
    <w:p>
      <w:pPr>
        <w:pBdr>
          <w:bottom w:val="single" w:color="1F3864" w:sz="8" w:space="1"/>
        </w:pBdr>
        <w:spacing w:after="160"/>
      </w:pPr>
    </w:p>
    <w:p>
      <w:pPr>
        <w:spacing w:after="120"/>
        <w:jc w:val="right"/>
      </w:pPr>
      <w:r>
        <w:rPr>
          <w:sz w:val="18"/>
          <w:szCs w:val="18"/>
        </w:rPr>
        <w:t xml:space="preserve">Our ref: SW/EM/HAL0191</w:t>
      </w:r>
    </w:p>
    <w:p>
      <w:pPr>
        <w:spacing w:after="120"/>
        <w:rPr>
          <w:b/>
          <w:bCs/>
          <w:sz w:val="18"/>
          <w:szCs w:val="18"/>
        </w:rPr>
      </w:pPr>
      <w:r>
        <w:rPr>
          <w:b/>
          <w:bCs/>
          <w:sz w:val="18"/>
          <w:szCs w:val="18"/>
        </w:rPr>
        <w:t xml:space="preserve">Strictly private and confidential</w:t>
      </w:r>
    </w:p>
    <w:p>
      <w:pPr>
        <w:spacing w:after="120"/>
      </w:pPr>
      <w:r>
        <w:t xml:space="preserve">The Directors</w:t>
      </w:r>
    </w:p>
    <w:p>
      <w:pPr>
        <w:spacing w:after="120"/>
      </w:pPr>
      <w:r>
        <w:t xml:space="preserve">Halgarth Estates Limited</w:t>
      </w:r>
    </w:p>
    <w:p>
      <w:pPr>
        <w:spacing w:after="160"/>
      </w:pPr>
      <w:r>
        <w:t xml:space="preserve">Halgarth House, 4 St Paul's Street, Leeds LS1 2JG</w:t>
      </w:r>
    </w:p>
    <w:p>
      <w:pPr>
        <w:spacing w:after="160"/>
      </w:pPr>
      <w:r>
        <w:t xml:space="preserve">12 July 2024</w:t>
      </w:r>
    </w:p>
    <w:p>
      <w:pPr>
        <w:spacing w:after="120"/>
        <w:rPr>
          <w:b/>
          <w:bCs/>
        </w:rPr>
      </w:pPr>
      <w:r>
        <w:rPr>
          <w:b/>
          <w:bCs/>
        </w:rPr>
        <w:t xml:space="preserve">Dear Sirs</w:t>
      </w:r>
    </w:p>
    <w:p>
      <w:pPr>
        <w:spacing w:after="160"/>
        <w:rPr>
          <w:b/>
          <w:bCs/>
        </w:rPr>
      </w:pPr>
      <w:r>
        <w:rPr>
          <w:b/>
          <w:bCs/>
        </w:rPr>
        <w:t xml:space="preserve">Grant of new lease — Fourth and Fifth Floors, Pinnacle House, 12 Wellington Place, Leeds (the “Property”)</w:t>
      </w:r>
    </w:p>
    <w:p>
      <w:pPr>
        <w:spacing w:after="120"/>
      </w:pPr>
      <w:r>
        <w:t xml:space="preserve">Thank you for instructing Whitfield Carter LLP to act on behalf of Halgarth Estates Limited (“you”) in connection with the grant of a new occupational lease of the Property to Brookmere Software Limited (the “Tenant”). This letter, together with our enclosed Terms of Business, sets out the basis on which we will act for you. Please read it carefully and return the signed acceptance enclosed.</w:t>
      </w:r>
    </w:p>
    <w:p>
      <w:pPr>
        <w:pStyle w:val="Heading2"/>
      </w:pPr>
      <w:r>
        <w:t xml:space="preserve">1. Scope of our engagement</w:t>
      </w:r>
    </w:p>
    <w:p>
      <w:pPr>
        <w:spacing w:after="120"/>
      </w:pPr>
      <w:r>
        <w:t xml:space="preserve">We are instructed to advise on and document the grant of a new full repairing and insuring lease of the Property for a term of 15 years from and including 29 September 2024, together with all matters reasonably incidental to that grant, including:</w:t>
      </w:r>
    </w:p>
    <w:p>
      <w:pPr>
        <w:pStyle w:val="ListParagraph"/>
        <w:numPr>
          <w:ilvl w:val="0"/>
          <w:numId w:val="2"/>
        </w:numPr>
        <w:spacing w:after="80"/>
      </w:pPr>
      <w:r>
        <w:t xml:space="preserve">negotiating and settling the agreement for lease, the lease and the rent deposit deed with the Tenant’s solicitors, Pemberton Rowe LLP;</w:t>
      </w:r>
    </w:p>
    <w:p>
      <w:pPr>
        <w:pStyle w:val="ListParagraph"/>
        <w:numPr>
          <w:ilvl w:val="0"/>
          <w:numId w:val="2"/>
        </w:numPr>
        <w:spacing w:after="80"/>
      </w:pPr>
      <w:r>
        <w:t xml:space="preserve">preparing replies to the Tenant’s commercial property standard enquiries (CPSE) and dealing with the Tenant’s pre-contract enquiries;</w:t>
      </w:r>
    </w:p>
    <w:p>
      <w:pPr>
        <w:pStyle w:val="ListParagraph"/>
        <w:numPr>
          <w:ilvl w:val="0"/>
          <w:numId w:val="2"/>
        </w:numPr>
        <w:spacing w:after="80"/>
      </w:pPr>
      <w:r>
        <w:t xml:space="preserve">advising on the authorised guarantee, rent deposit and guarantor arrangements;</w:t>
      </w:r>
    </w:p>
    <w:p>
      <w:pPr>
        <w:pStyle w:val="ListParagraph"/>
        <w:numPr>
          <w:ilvl w:val="0"/>
          <w:numId w:val="2"/>
        </w:numPr>
        <w:spacing w:after="80"/>
      </w:pPr>
      <w:r>
        <w:t xml:space="preserve">dealing with completion, apportionments and the post-completion notification to your lender, Clydesford Bank plc, and to your managing agents.</w:t>
      </w:r>
    </w:p>
    <w:p>
      <w:pPr>
        <w:spacing w:after="120"/>
      </w:pPr>
      <w:r>
        <w:t xml:space="preserve">Our engagement does not extend to advising on the tax treatment of the rent-free period or the structuring of the headline rent for SDLT or VAT purposes beyond the conveyancing mechanics; specialist tax advice should be taken from your accountants where required.</w:t>
      </w:r>
    </w:p>
    <w:p>
      <w:pPr>
        <w:pStyle w:val="Heading2"/>
      </w:pPr>
      <w:r>
        <w:t xml:space="preserve">2. People responsible for your work</w:t>
      </w:r>
    </w:p>
    <w:p>
      <w:pPr>
        <w:spacing w:after="120"/>
      </w:pPr>
      <w:r>
        <w:t xml:space="preserve">The partner with overall responsibility for this matter is Sarah Whitfield. The day-to-day conduct of the matter will be handled by Elena Marchetti (Associate), supported by Tom Gallagher. You may contact any of us using the details on this letterhead.</w:t>
      </w:r>
    </w:p>
    <w:p>
      <w:pPr>
        <w:pStyle w:val="Heading2"/>
      </w:pPr>
      <w:r>
        <w:t xml:space="preserve">3. Our fees</w:t>
      </w:r>
    </w:p>
    <w:p>
      <w:pPr>
        <w:spacing w:after="120"/>
      </w:pPr>
      <w:r>
        <w:t xml:space="preserve">We estimate our fees for the grant of the lease (including the agreement for lease and rent deposit deed) at between £14,500 and £18,000 plus VAT and disbursements, assuming a single round of negotiation on each document and completion broadly in line with the agreed timetable. We will tell you promptly if it appears that this estimate is likely to be exceeded. Disbursements are likely to include Land Registry fees, official search fees and bankruptcy searches.</w:t>
      </w:r>
    </w:p>
    <w:p>
      <w:pPr>
        <w:spacing w:after="120"/>
      </w:pPr>
      <w:r>
        <w:t xml:space="preserve">We will bill on completion or, if the matter is protracted, monthly in arrears. Our invoices are payable within 14 days.</w:t>
      </w:r>
    </w:p>
    <w:p>
      <w:pPr>
        <w:pStyle w:val="Heading2"/>
      </w:pPr>
      <w:r>
        <w:t xml:space="preserve">4. Anti-money laundering and client due diligence</w:t>
      </w:r>
    </w:p>
    <w:p>
      <w:pPr>
        <w:spacing w:after="120"/>
      </w:pPr>
      <w:r>
        <w:t xml:space="preserve">We are required by law to verify the identity of our client and the source of funds applied in the transaction. We confirm that we have completed electronic verification in respect of Halgarth Estates Limited and its directors. Please notify us of any change in the beneficial ownership of the company during the course of this matter.</w:t>
      </w:r>
    </w:p>
    <w:p>
      <w:pPr>
        <w:pStyle w:val="Heading2"/>
      </w:pPr>
      <w:r>
        <w:t xml:space="preserve">5. Conflicts and confidentiality</w:t>
      </w:r>
    </w:p>
    <w:p>
      <w:pPr>
        <w:spacing w:after="120"/>
      </w:pPr>
      <w:r>
        <w:t xml:space="preserve">We have carried out a conflict check and are not aware of any conflict of interest that would prevent us from acting for you. We will keep your affairs confidential save where disclosure is required by law or regulation.</w:t>
      </w:r>
    </w:p>
    <w:p>
      <w:pPr>
        <w:pStyle w:val="Heading2"/>
      </w:pPr>
      <w:r>
        <w:t xml:space="preserve">6. Acceptance</w:t>
      </w:r>
    </w:p>
    <w:p>
      <w:pPr>
        <w:spacing w:after="120"/>
      </w:pPr>
      <w:r>
        <w:t xml:space="preserve">Please confirm your acceptance of the terms of this letter and the enclosed Terms of Business by signing and returning the duplicate. We are very pleased to be acting for you and look forward to working with you on this matter.</w:t>
      </w:r>
    </w:p>
    <w:p>
      <w:pPr>
        <w:spacing w:after="320" w:before="200"/>
      </w:pPr>
      <w:r>
        <w:t xml:space="preserve">Yours faithfully</w:t>
      </w:r>
    </w:p>
    <w:p>
      <w:pPr>
        <w:spacing w:after="120"/>
        <w:rPr>
          <w:b/>
          <w:bCs/>
        </w:rPr>
      </w:pPr>
      <w:r>
        <w:rPr>
          <w:b/>
          <w:bCs/>
        </w:rPr>
        <w:t xml:space="preserve">Sarah Whitfield</w:t>
      </w:r>
    </w:p>
    <w:p>
      <w:pPr>
        <w:spacing w:after="120"/>
      </w:pPr>
      <w:r>
        <w:t xml:space="preserve">Partner, Real Estate</w:t>
      </w:r>
    </w:p>
    <w:p>
      <w:pPr>
        <w:spacing w:after="240"/>
      </w:pPr>
      <w:r>
        <w:t xml:space="preserve">For and on behalf of Whitfield Carter LLP</w:t>
      </w:r>
    </w:p>
    <w:p>
      <w:pPr>
        <w:spacing w:after="120"/>
        <w:rPr>
          <w:i/>
          <w:iCs/>
          <w:sz w:val="18"/>
          <w:szCs w:val="18"/>
        </w:rPr>
      </w:pPr>
      <w:r>
        <w:rPr>
          <w:i/>
          <w:iCs/>
          <w:sz w:val="18"/>
          <w:szCs w:val="18"/>
        </w:rPr>
        <w:t xml:space="preserve">Enc: Terms of Business; Form of Acceptance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2026-06-30T11:16:23.157Z</dcterms:created>
  <dcterms:modified xsi:type="dcterms:W3CDTF">2026-06-30T11:16:23.158Z</dcterms:modified>
</cp:coreProperties>
</file>

<file path=docProps/custom.xml><?xml version="1.0" encoding="utf-8"?>
<Properties xmlns="http://schemas.openxmlformats.org/officeDocument/2006/custom-properties" xmlns:vt="http://schemas.openxmlformats.org/officeDocument/2006/docPropsVTypes"/>
</file>