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color w:val="C00000"/>
        </w:rPr>
        <w:t xml:space="preserve">STRICTLY PRIVATE &amp; CONFIDENTIAL — SUBJECT TO CONTRACT</w:t>
      </w:r>
    </w:p>
    <w:p>
      <w:pPr>
        <w:spacing w:after="40"/>
        <w:jc w:val="center"/>
      </w:pPr>
      <w:r>
        <w:rPr>
          <w:b/>
          <w:bCs/>
          <w:sz w:val="30"/>
          <w:szCs w:val="30"/>
        </w:rPr>
        <w:t xml:space="preserve">HEADS OF TERMS</w:t>
      </w:r>
    </w:p>
    <w:p>
      <w:pPr>
        <w:spacing w:after="40"/>
        <w:jc w:val="center"/>
      </w:pPr>
      <w:r>
        <w:rPr>
          <w:b/>
          <w:bCs/>
          <w:sz w:val="24"/>
          <w:szCs w:val="24"/>
        </w:rPr>
        <w:t xml:space="preserve">Project Granite</w:t>
      </w:r>
    </w:p>
    <w:p>
      <w:pPr>
        <w:spacing w:after="160"/>
        <w:jc w:val="center"/>
      </w:pPr>
      <w:r>
        <w:t xml:space="preserve">Proposed acquisition of the entire issued share capital of Calder Vale Foods Limited</w:t>
      </w:r>
    </w:p>
    <w:p>
      <w:pPr>
        <w:spacing w:after="120"/>
      </w:pPr>
      <w:r>
        <w:rPr>
          <w:b/>
          <w:bCs/>
        </w:rPr>
        <w:t xml:space="preserve">Dated 24 September 2025</w:t>
      </w:r>
    </w:p>
    <w:p>
      <w:pPr>
        <w:spacing w:after="120"/>
      </w:pPr>
      <w:r>
        <w:t xml:space="preserve">These heads of terms (the “Heads of Terms”) record the principal terms on which Wexford Holdings Limited (the “Buyer”) proposes to acquire the entire issued share capital of Calder Vale Foods Limited (the “Target”) from the Target’s shareholders (the “Sellers”). Save for paragraphs 9 to 13 (which are intended to be legally binding), these Heads of Terms are subject to contract, are not intended to create legally binding obligations, and are without prejudice to the parties’ respective positions.</w:t>
      </w:r>
    </w:p>
    <w:p>
      <w:pPr>
        <w:tabs>
          <w:tab w:val="left" w:pos="600"/>
        </w:tabs>
        <w:spacing w:after="100"/>
        <w:ind w:left="600" w:hanging="600"/>
      </w:pPr>
      <w:r>
        <w:rPr>
          <w:b/>
          <w:bCs/>
        </w:rPr>
        <w:t xml:space="preserve">1.	</w:t>
      </w:r>
      <w:r>
        <w:rPr>
          <w:b/>
          <w:bCs/>
        </w:rPr>
        <w:t xml:space="preserve">Parties. </w:t>
      </w:r>
      <w:r>
        <w:t xml:space="preserve">Buyer: Wexford Holdings Limited (registered in England, no. 09214477), 14 St James’s Square, London SW1Y 4LB. Sellers: Robert Calder, Helen Calder and the trustees of the Calder Family Trust. Target: Calder Vale Foods Limited (registered in England, no. 05583120), Unit 4, Calder Vale Industrial Estate, Skipton BD23 2QR.</w:t>
      </w:r>
    </w:p>
    <w:p>
      <w:pPr>
        <w:tabs>
          <w:tab w:val="left" w:pos="600"/>
        </w:tabs>
        <w:spacing w:after="100"/>
        <w:ind w:left="600" w:hanging="600"/>
      </w:pPr>
      <w:r>
        <w:rPr>
          <w:b/>
          <w:bCs/>
        </w:rPr>
        <w:t xml:space="preserve">2.	</w:t>
      </w:r>
      <w:r>
        <w:rPr>
          <w:b/>
          <w:bCs/>
        </w:rPr>
        <w:t xml:space="preserve">Structure. </w:t>
      </w:r>
      <w:r>
        <w:t xml:space="preserve">The Buyer will acquire 100% of the issued share capital of the Target for cash, on a cash-free, debt-free basis and assuming a normalised level of working capital. The acquisition will be effected by a share purchase agreement (the “SPA”) to be entered into between the Sellers and the Buyer.</w:t>
      </w:r>
    </w:p>
    <w:p>
      <w:pPr>
        <w:tabs>
          <w:tab w:val="left" w:pos="600"/>
        </w:tabs>
        <w:spacing w:after="100"/>
        <w:ind w:left="600" w:hanging="600"/>
      </w:pPr>
      <w:r>
        <w:rPr>
          <w:b/>
          <w:bCs/>
        </w:rPr>
        <w:t xml:space="preserve">3.	</w:t>
      </w:r>
      <w:r>
        <w:rPr>
          <w:b/>
          <w:bCs/>
        </w:rPr>
        <w:t xml:space="preserve">Consideration. </w:t>
      </w:r>
      <w:r>
        <w:t xml:space="preserve">The headline enterprise value of the Target is £45,000,000. The initial cash consideration payable at completion (“Completion”) will be the enterprise value less Completion Net Debt and less any shortfall in working capital against an agreed target of £4,500,000, currently estimated to result in equity value of £41,000,000. A retention equal to 5% of the equity value (currently £2,050,000) will be held in escrow for 18 months as security for warranty and tax claims. The consideration will be subject to a customary completion-accounts adjustment.</w:t>
      </w:r>
    </w:p>
    <w:p>
      <w:pPr>
        <w:tabs>
          <w:tab w:val="left" w:pos="600"/>
        </w:tabs>
        <w:spacing w:after="100"/>
        <w:ind w:left="600" w:hanging="600"/>
      </w:pPr>
      <w:r>
        <w:rPr>
          <w:b/>
          <w:bCs/>
        </w:rPr>
        <w:t xml:space="preserve">4.	</w:t>
      </w:r>
      <w:r>
        <w:rPr>
          <w:b/>
          <w:bCs/>
        </w:rPr>
        <w:t xml:space="preserve">Funding. </w:t>
      </w:r>
      <w:r>
        <w:t xml:space="preserve">The Buyer will fund the consideration from existing cash resources and a committed acquisition facility provided by Northbank plc. The proposal is not subject to any financing condition.</w:t>
      </w:r>
    </w:p>
    <w:p>
      <w:pPr>
        <w:tabs>
          <w:tab w:val="left" w:pos="600"/>
        </w:tabs>
        <w:spacing w:after="100"/>
        <w:ind w:left="600" w:hanging="600"/>
      </w:pPr>
      <w:r>
        <w:rPr>
          <w:b/>
          <w:bCs/>
        </w:rPr>
        <w:t xml:space="preserve">5.	</w:t>
      </w:r>
      <w:r>
        <w:rPr>
          <w:b/>
          <w:bCs/>
        </w:rPr>
        <w:t xml:space="preserve">Conditions. </w:t>
      </w:r>
      <w:r>
        <w:t xml:space="preserve">Completion is conditional on satisfactory completion of legal, financial and tax due diligence, the negotiation and agreement of the SPA, the Disclosure Letter and ancillary documents, the obtaining of any third-party consents identified as necessary, and the approval of the Buyer’s board.</w:t>
      </w:r>
    </w:p>
    <w:p>
      <w:pPr>
        <w:tabs>
          <w:tab w:val="left" w:pos="600"/>
        </w:tabs>
        <w:spacing w:after="100"/>
        <w:ind w:left="600" w:hanging="600"/>
      </w:pPr>
      <w:r>
        <w:rPr>
          <w:b/>
          <w:bCs/>
        </w:rPr>
        <w:t xml:space="preserve">6.	</w:t>
      </w:r>
      <w:r>
        <w:rPr>
          <w:b/>
          <w:bCs/>
        </w:rPr>
        <w:t xml:space="preserve">Due diligence. </w:t>
      </w:r>
      <w:r>
        <w:t xml:space="preserve">The Sellers will provide the Buyer and its advisers with reasonable access to a virtual data room, to management and to the Target’s books and records. The Buyer’s advisers are Whitfield Carter LLP (legal) and Aldgate Corporate Finance (financial and tax).</w:t>
      </w:r>
    </w:p>
    <w:p>
      <w:pPr>
        <w:tabs>
          <w:tab w:val="left" w:pos="600"/>
        </w:tabs>
        <w:spacing w:after="100"/>
        <w:ind w:left="600" w:hanging="600"/>
      </w:pPr>
      <w:r>
        <w:rPr>
          <w:b/>
          <w:bCs/>
        </w:rPr>
        <w:t xml:space="preserve">7.	</w:t>
      </w:r>
      <w:r>
        <w:rPr>
          <w:b/>
          <w:bCs/>
        </w:rPr>
        <w:t xml:space="preserve">Warranties and protections. </w:t>
      </w:r>
      <w:r>
        <w:t xml:space="preserve">The Sellers will give customary business and tax warranties and a tax covenant, subject to financial and time limitations and to disclosure, to be set out in the SPA. The Sellers will give restrictive covenants protecting the goodwill of the Business for an agreed period following Completion.</w:t>
      </w:r>
    </w:p>
    <w:p>
      <w:pPr>
        <w:tabs>
          <w:tab w:val="left" w:pos="600"/>
        </w:tabs>
        <w:spacing w:after="100"/>
        <w:ind w:left="600" w:hanging="600"/>
      </w:pPr>
      <w:r>
        <w:rPr>
          <w:b/>
          <w:bCs/>
        </w:rPr>
        <w:t xml:space="preserve">8.	</w:t>
      </w:r>
      <w:r>
        <w:rPr>
          <w:b/>
          <w:bCs/>
        </w:rPr>
        <w:t xml:space="preserve">Timetable. </w:t>
      </w:r>
      <w:r>
        <w:t xml:space="preserve">The parties aim to exchange and complete the SPA by mid-December 2025, with a target Completion date of 12 December 2025.</w:t>
      </w:r>
    </w:p>
    <w:p>
      <w:pPr>
        <w:pStyle w:val="Heading1"/>
        <w:spacing w:after="100" w:before="200"/>
      </w:pPr>
      <w:r>
        <w:rPr>
          <w:b/>
          <w:bCs/>
        </w:rPr>
        <w:t xml:space="preserve">Binding provisions</w:t>
      </w:r>
    </w:p>
    <w:p>
      <w:pPr>
        <w:tabs>
          <w:tab w:val="left" w:pos="600"/>
        </w:tabs>
        <w:spacing w:after="100"/>
        <w:ind w:left="600" w:hanging="600"/>
      </w:pPr>
      <w:r>
        <w:rPr>
          <w:b/>
          <w:bCs/>
        </w:rPr>
        <w:t xml:space="preserve">9.	</w:t>
      </w:r>
      <w:r>
        <w:rPr>
          <w:b/>
          <w:bCs/>
        </w:rPr>
        <w:t xml:space="preserve">Exclusivity. </w:t>
      </w:r>
      <w:r>
        <w:t xml:space="preserve">In consideration of the Buyer incurring costs in connection with the proposed transaction, the Sellers grant the Buyer a period of exclusivity until 19 December 2025 (the “Exclusivity Period”), during which the Sellers shall not, and shall procure that the Target and their advisers shall not, solicit, encourage, entertain or enter into discussions with any third party in relation to any sale of the Target or its business or assets.</w:t>
      </w:r>
    </w:p>
    <w:p>
      <w:pPr>
        <w:tabs>
          <w:tab w:val="left" w:pos="600"/>
        </w:tabs>
        <w:spacing w:after="100"/>
        <w:ind w:left="600" w:hanging="600"/>
      </w:pPr>
      <w:r>
        <w:rPr>
          <w:b/>
          <w:bCs/>
        </w:rPr>
        <w:t xml:space="preserve">10.	</w:t>
      </w:r>
      <w:r>
        <w:rPr>
          <w:b/>
          <w:bCs/>
        </w:rPr>
        <w:t xml:space="preserve">Confidentiality. </w:t>
      </w:r>
      <w:r>
        <w:t xml:space="preserve">The parties remain bound by the mutual non-disclosure agreement dated 8 September 2025, the terms of which are incorporated by reference. The existence and terms of these Heads of Terms are themselves confidential.</w:t>
      </w:r>
    </w:p>
    <w:p>
      <w:pPr>
        <w:tabs>
          <w:tab w:val="left" w:pos="600"/>
        </w:tabs>
        <w:spacing w:after="100"/>
        <w:ind w:left="600" w:hanging="600"/>
      </w:pPr>
      <w:r>
        <w:rPr>
          <w:b/>
          <w:bCs/>
        </w:rPr>
        <w:t xml:space="preserve">11.	</w:t>
      </w:r>
      <w:r>
        <w:rPr>
          <w:b/>
          <w:bCs/>
        </w:rPr>
        <w:t xml:space="preserve">Costs. </w:t>
      </w:r>
      <w:r>
        <w:t xml:space="preserve">Each party shall bear its own costs and expenses in connection with the proposed transaction, whether or not it proceeds to Completion.</w:t>
      </w:r>
    </w:p>
    <w:p>
      <w:pPr>
        <w:tabs>
          <w:tab w:val="left" w:pos="600"/>
        </w:tabs>
        <w:spacing w:after="100"/>
        <w:ind w:left="600" w:hanging="600"/>
      </w:pPr>
      <w:r>
        <w:rPr>
          <w:b/>
          <w:bCs/>
        </w:rPr>
        <w:t xml:space="preserve">12.	</w:t>
      </w:r>
      <w:r>
        <w:rPr>
          <w:b/>
          <w:bCs/>
        </w:rPr>
        <w:t xml:space="preserve">Announcements. </w:t>
      </w:r>
      <w:r>
        <w:t xml:space="preserve">No announcement or public statement concerning the proposed transaction shall be made by any party without the prior written consent of the others, save as required by law.</w:t>
      </w:r>
    </w:p>
    <w:p>
      <w:pPr>
        <w:tabs>
          <w:tab w:val="left" w:pos="600"/>
        </w:tabs>
        <w:spacing w:after="100"/>
        <w:ind w:left="600" w:hanging="600"/>
      </w:pPr>
      <w:r>
        <w:rPr>
          <w:b/>
          <w:bCs/>
        </w:rPr>
        <w:t xml:space="preserve">13.	</w:t>
      </w:r>
      <w:r>
        <w:rPr>
          <w:b/>
          <w:bCs/>
        </w:rPr>
        <w:t xml:space="preserve">Governing law. </w:t>
      </w:r>
      <w:r>
        <w:t xml:space="preserve">These Heads of Terms and any dispute arising out of them (including the binding provisions) are governed by the law of England and Wales, and the parties submit to the exclusive jurisdiction of the courts of England and Wales.</w:t>
      </w:r>
    </w:p>
    <w:p>
      <w:pPr>
        <w:spacing w:after="120" w:before="240"/>
      </w:pPr>
      <w:r>
        <w:rPr>
          <w:i/>
          <w:iCs/>
        </w:rPr>
        <w:t xml:space="preserve">Agreed and acknowledged (subject to contract):</w:t>
      </w:r>
    </w:p>
    <w:p>
      <w:pPr>
        <w:spacing w:after="120"/>
      </w:pPr>
      <w:r>
        <w:t xml:space="preserve">For the Buyer: …………………………………  Edward Pennington, Director, Wexford Holdings Limited   Date: ………………</w:t>
      </w:r>
    </w:p>
    <w:p>
      <w:pPr>
        <w:spacing w:after="120"/>
      </w:pPr>
      <w:r>
        <w:t xml:space="preserve">For the Sellers: …………………………………  Robert Calder   Date: ………………</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STRICTLY PRIVATE &amp; CONFIDENTIAL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Project Granite — Heads of Terms (subject to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Georgia" w:cs="Georgia" w:eastAsia="Georgia" w:hAnsi="Georg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Granite — Heads of Terms</dc:title>
  <dc:creator>Whitfield Carter LLP</dc:creator>
  <cp:lastModifiedBy>Un-named</cp:lastModifiedBy>
  <cp:revision>1</cp:revision>
  <dcterms:created xsi:type="dcterms:W3CDTF">2026-06-10T21:36:01.388Z</dcterms:created>
  <dcterms:modified xsi:type="dcterms:W3CDTF">2026-06-10T21:36:01.389Z</dcterms:modified>
</cp:coreProperties>
</file>

<file path=docProps/custom.xml><?xml version="1.0" encoding="utf-8"?>
<Properties xmlns="http://schemas.openxmlformats.org/officeDocument/2006/custom-properties" xmlns:vt="http://schemas.openxmlformats.org/officeDocument/2006/docPropsVTypes"/>
</file>