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0"/>
          <w:szCs w:val="30"/>
        </w:rPr>
        <w:t xml:space="preserve">PROJECT TEMPEST</w:t>
      </w:r>
    </w:p>
    <w:p>
      <w:pPr>
        <w:spacing w:after="120"/>
        <w:jc w:val="center"/>
      </w:pPr>
      <w:r>
        <w:rPr>
          <w:rFonts w:ascii="Arial" w:cs="Arial" w:eastAsia="Arial" w:hAnsi="Arial"/>
          <w:b/>
          <w:bCs/>
          <w:sz w:val="24"/>
          <w:szCs w:val="24"/>
        </w:rPr>
        <w:t xml:space="preserve">RESTRUCTURING TERM SHEET</w:t>
      </w:r>
    </w:p>
    <w:p>
      <w:pPr>
        <w:spacing w:after="120"/>
        <w:jc w:val="center"/>
      </w:pPr>
      <w:r>
        <w:rPr>
          <w:rFonts w:ascii="Arial" w:cs="Arial" w:eastAsia="Arial" w:hAnsi="Arial"/>
          <w:sz w:val="20"/>
          <w:szCs w:val="20"/>
        </w:rPr>
        <w:t xml:space="preserve">Senior facilities of Wexford Consumer Brands Limited</w:t>
      </w:r>
    </w:p>
    <w:p>
      <w:pPr>
        <w:spacing w:after="120"/>
        <w:jc w:val="center"/>
      </w:pPr>
      <w:r>
        <w:rPr>
          <w:rFonts w:ascii="Arial" w:cs="Arial" w:eastAsia="Arial" w:hAnsi="Arial"/>
          <w:i/>
          <w:iCs/>
          <w:color w:val="595959"/>
          <w:sz w:val="18"/>
          <w:szCs w:val="18"/>
        </w:rPr>
        <w:t xml:space="preserve">SUBJECT TO CONTRACT  ·  WITHOUT PREJUDICE  ·  19 December 2025</w:t>
      </w:r>
    </w:p>
    <w:p>
      <w:pPr>
        <w:spacing w:after="120"/>
      </w:pPr>
    </w:p>
    <w:p>
      <w:pPr>
        <w:spacing w:after="120" w:line="276"/>
      </w:pPr>
      <w:r>
        <w:rPr>
          <w:rFonts w:ascii="Arial" w:cs="Arial" w:eastAsia="Arial" w:hAnsi="Arial"/>
        </w:rPr>
        <w:t xml:space="preserve">This term sheet summarises the principal terms on which the parties are willing, in principle, to agree a consensual restructuring of the senior facilities. It is non-binding, save for the provisions on costs, confidentiality and governing law, and is subject to credit approval, documentation satisfactory to the parties and the conditions set out below.</w:t>
      </w:r>
    </w:p>
    <w:p>
      <w:pPr>
        <w:pStyle w:val="Heading2"/>
        <w:spacing w:after="120" w:before="180"/>
      </w:pPr>
      <w:r>
        <w:rPr>
          <w:rFonts w:ascii="Arial" w:cs="Arial" w:eastAsia="Arial" w:hAnsi="Arial"/>
          <w:b/>
          <w:bCs/>
          <w:color w:val="1F3864"/>
          <w:sz w:val="24"/>
          <w:szCs w:val="24"/>
        </w:rPr>
        <w:t xml:space="preserve">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36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Party</w:t>
            </w:r>
          </w:p>
        </w:tc>
      </w:tr>
      <w:tr>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Borrower</w:t>
            </w:r>
          </w:p>
        </w:tc>
        <w:tc>
          <w:tcPr>
            <w:tcW w:type="dxa" w:w="6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Wexford Consumer Brands Limited (no. 05521894)</w:t>
            </w:r>
          </w:p>
        </w:tc>
      </w:tr>
      <w:tr>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Parent / Guarantor</w:t>
            </w:r>
          </w:p>
        </w:tc>
        <w:tc>
          <w:tcPr>
            <w:tcW w:type="dxa" w:w="6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Wexford Holdings Limited (no. 04182276)</w:t>
            </w:r>
          </w:p>
        </w:tc>
      </w:tr>
      <w:tr>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Agent and Security Agent</w:t>
            </w:r>
          </w:p>
        </w:tc>
        <w:tc>
          <w:tcPr>
            <w:tcW w:type="dxa" w:w="6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Sterling Commercial Bank plc</w:t>
            </w:r>
          </w:p>
        </w:tc>
      </w:tr>
      <w:tr>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Senior Lender / Super-Senior Lender</w:t>
            </w:r>
          </w:p>
        </w:tc>
        <w:tc>
          <w:tcPr>
            <w:tcW w:type="dxa" w:w="6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Sterling Commercial Bank plc</w:t>
            </w:r>
          </w:p>
        </w:tc>
      </w:tr>
      <w:tr>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Sponsor / new money provider (equity)</w:t>
            </w:r>
          </w:p>
        </w:tc>
        <w:tc>
          <w:tcPr>
            <w:tcW w:type="dxa" w:w="6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Wexford Holdings Limited</w:t>
            </w:r>
          </w:p>
        </w:tc>
      </w:tr>
    </w:tbl>
    <w:p>
      <w:pPr>
        <w:pStyle w:val="Heading2"/>
        <w:spacing w:after="120" w:before="180"/>
      </w:pPr>
      <w:r>
        <w:rPr>
          <w:rFonts w:ascii="Arial" w:cs="Arial" w:eastAsia="Arial" w:hAnsi="Arial"/>
          <w:b/>
          <w:bCs/>
          <w:color w:val="1F3864"/>
          <w:sz w:val="24"/>
          <w:szCs w:val="24"/>
        </w:rPr>
        <w:t xml:space="preserve">Existing facilities and current position</w:t>
      </w:r>
    </w:p>
    <w:p>
      <w:pPr>
        <w:spacing w:after="120" w:line="276"/>
      </w:pPr>
      <w:r>
        <w:rPr>
          <w:rFonts w:ascii="Arial" w:cs="Arial" w:eastAsia="Arial" w:hAnsi="Arial"/>
        </w:rPr>
        <w:t xml:space="preserve">The senior facilities agreement dated 14 June 2022 (the “Existing SFA”) comprises a £30,000,000 term loan facility (“Facility A”, fully drawn) and a £12,000,000 revolving credit facility (“Facility B”, drawn as to £8,000,000), giving total outstandings of £38,000,000. At the 30 September 2025 test date the Borrower breached the leverage covenant (4.20x against a covenanted 3.00x) and the fixed charge cover covenant (1.05x against 1.25x), giving rise to events of default.</w:t>
      </w:r>
    </w:p>
    <w:p>
      <w:pPr>
        <w:pStyle w:val="Heading2"/>
        <w:spacing w:after="120" w:before="180"/>
      </w:pPr>
      <w:r>
        <w:rPr>
          <w:rFonts w:ascii="Arial" w:cs="Arial" w:eastAsia="Arial" w:hAnsi="Arial"/>
          <w:b/>
          <w:bCs/>
          <w:color w:val="1F3864"/>
          <w:sz w:val="24"/>
          <w:szCs w:val="24"/>
        </w:rPr>
        <w:t xml:space="preserve">The restructuring</w:t>
      </w:r>
    </w:p>
    <w:p>
      <w:pPr>
        <w:spacing w:after="120" w:line="276"/>
      </w:pPr>
      <w:r>
        <w:rPr>
          <w:rFonts w:ascii="Arial" w:cs="Arial" w:eastAsia="Arial" w:hAnsi="Arial"/>
        </w:rPr>
        <w:t xml:space="preserve">The restructuring comprises three elements implemented in sequence:</w:t>
      </w:r>
    </w:p>
    <w:p>
      <w:pPr>
        <w:pStyle w:val="ListParagraph"/>
        <w:numPr>
          <w:ilvl w:val="0"/>
          <w:numId w:val="2"/>
        </w:numPr>
        <w:spacing w:after="80" w:line="276"/>
      </w:pPr>
      <w:r>
        <w:rPr>
          <w:rFonts w:ascii="Arial" w:cs="Arial" w:eastAsia="Arial" w:hAnsi="Arial"/>
          <w:b/>
          <w:bCs/>
        </w:rPr>
        <w:t xml:space="preserve">Standstill. </w:t>
      </w:r>
      <w:r>
        <w:rPr>
          <w:rFonts w:ascii="Arial" w:cs="Arial" w:eastAsia="Arial" w:hAnsi="Arial"/>
        </w:rPr>
        <w:t xml:space="preserve">a standstill from 14 November 2025 to 27 February 2026 (the Standstill Period) during which the Agent will not accelerate or enforce, in exchange for enhanced information and the milestones below.</w:t>
      </w:r>
    </w:p>
    <w:p>
      <w:pPr>
        <w:pStyle w:val="ListParagraph"/>
        <w:numPr>
          <w:ilvl w:val="0"/>
          <w:numId w:val="2"/>
        </w:numPr>
        <w:spacing w:after="80" w:line="276"/>
      </w:pPr>
      <w:r>
        <w:rPr>
          <w:rFonts w:ascii="Arial" w:cs="Arial" w:eastAsia="Arial" w:hAnsi="Arial"/>
          <w:b/>
          <w:bCs/>
        </w:rPr>
        <w:t xml:space="preserve">New money. </w:t>
      </w:r>
      <w:r>
        <w:rPr>
          <w:rFonts w:ascii="Arial" w:cs="Arial" w:eastAsia="Arial" w:hAnsi="Arial"/>
        </w:rPr>
        <w:t xml:space="preserve">(i) a new £8,000,000 super-senior term facility provided by Sterling (“Facility C”), ranking ahead of Facilities A and B under an amended intercreditor agreement; and (ii) a £4,000,000 shareholder contribution from Wexford, comprising £2,000,000 of new ordinary equity and a £2,000,000 subordinated shareholder loan.</w:t>
      </w:r>
    </w:p>
    <w:p>
      <w:pPr>
        <w:pStyle w:val="ListParagraph"/>
        <w:numPr>
          <w:ilvl w:val="0"/>
          <w:numId w:val="2"/>
        </w:numPr>
        <w:spacing w:after="80" w:line="276"/>
      </w:pPr>
      <w:r>
        <w:rPr>
          <w:rFonts w:ascii="Arial" w:cs="Arial" w:eastAsia="Arial" w:hAnsi="Arial"/>
          <w:b/>
          <w:bCs/>
        </w:rPr>
        <w:t xml:space="preserve">Amend and restate. </w:t>
      </w:r>
      <w:r>
        <w:rPr>
          <w:rFonts w:ascii="Arial" w:cs="Arial" w:eastAsia="Arial" w:hAnsi="Arial"/>
        </w:rPr>
        <w:t xml:space="preserve">an amendment and restatement of the Existing SFA to extend maturities, re-price the debt, and reset the financial covenants, completing on or before 27 February 2026.</w:t>
      </w:r>
    </w:p>
    <w:p>
      <w:pPr>
        <w:pStyle w:val="Heading2"/>
        <w:spacing w:after="120" w:before="180"/>
      </w:pPr>
      <w:r>
        <w:rPr>
          <w:rFonts w:ascii="Arial" w:cs="Arial" w:eastAsia="Arial" w:hAnsi="Arial"/>
          <w:b/>
          <w:bCs/>
          <w:color w:val="1F3864"/>
          <w:sz w:val="24"/>
          <w:szCs w:val="24"/>
        </w:rPr>
        <w:t xml:space="preserve">Key amended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Term</w:t>
            </w:r>
          </w:p>
        </w:tc>
        <w:tc>
          <w:tcPr>
            <w:tcW w:type="dxa" w:w="24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Existing</w:t>
            </w:r>
          </w:p>
        </w:tc>
        <w:tc>
          <w:tcPr>
            <w:tcW w:type="dxa" w:w="436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Amended</w:t>
            </w:r>
          </w:p>
        </w:tc>
      </w:tr>
      <w:tr>
        <w:tc>
          <w:tcPr>
            <w:tcW w:type="dxa" w:w="26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Facility A (Term)</w:t>
            </w:r>
          </w:p>
        </w:tc>
        <w:tc>
          <w:tcPr>
            <w:tcW w:type="dxa" w:w="24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£30.0m</w:t>
            </w:r>
          </w:p>
        </w:tc>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£30.0m, maturity extended to 30 June 2028</w:t>
            </w:r>
          </w:p>
        </w:tc>
      </w:tr>
      <w:tr>
        <w:tc>
          <w:tcPr>
            <w:tcW w:type="dxa" w:w="26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Facility B (RCF)</w:t>
            </w:r>
          </w:p>
        </w:tc>
        <w:tc>
          <w:tcPr>
            <w:tcW w:type="dxa" w:w="24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£12.0m</w:t>
            </w:r>
          </w:p>
        </w:tc>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£12.0m to 31 Dec 2026, then £10.0m; maturity 30 June 2028</w:t>
            </w:r>
          </w:p>
        </w:tc>
      </w:tr>
      <w:tr>
        <w:tc>
          <w:tcPr>
            <w:tcW w:type="dxa" w:w="26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Facility C (Super-senior)</w:t>
            </w:r>
          </w:p>
        </w:tc>
        <w:tc>
          <w:tcPr>
            <w:tcW w:type="dxa" w:w="24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£8.0m, maturity 30 June 2028</w:t>
            </w:r>
          </w:p>
        </w:tc>
      </w:tr>
      <w:tr>
        <w:tc>
          <w:tcPr>
            <w:tcW w:type="dxa" w:w="26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Margin — Facility A</w:t>
            </w:r>
          </w:p>
        </w:tc>
        <w:tc>
          <w:tcPr>
            <w:tcW w:type="dxa" w:w="24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3.25%</w:t>
            </w:r>
          </w:p>
        </w:tc>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4.75% p.a.</w:t>
            </w:r>
          </w:p>
        </w:tc>
      </w:tr>
      <w:tr>
        <w:tc>
          <w:tcPr>
            <w:tcW w:type="dxa" w:w="26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Margin — Facility B</w:t>
            </w:r>
          </w:p>
        </w:tc>
        <w:tc>
          <w:tcPr>
            <w:tcW w:type="dxa" w:w="24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3.00%</w:t>
            </w:r>
          </w:p>
        </w:tc>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4.50% p.a.</w:t>
            </w:r>
          </w:p>
        </w:tc>
      </w:tr>
      <w:tr>
        <w:tc>
          <w:tcPr>
            <w:tcW w:type="dxa" w:w="26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Facility C pricing</w:t>
            </w:r>
          </w:p>
        </w:tc>
        <w:tc>
          <w:tcPr>
            <w:tcW w:type="dxa" w:w="24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6.50% cash + 2.00% PIK p.a.</w:t>
            </w:r>
          </w:p>
        </w:tc>
      </w:tr>
      <w:tr>
        <w:tc>
          <w:tcPr>
            <w:tcW w:type="dxa" w:w="26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Leverage covenant</w:t>
            </w:r>
          </w:p>
        </w:tc>
        <w:tc>
          <w:tcPr>
            <w:tcW w:type="dxa" w:w="24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3.00x</w:t>
            </w:r>
          </w:p>
        </w:tc>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Reset: 5.00x stepping to 3.00x by Dec 2026</w:t>
            </w:r>
          </w:p>
        </w:tc>
      </w:tr>
      <w:tr>
        <w:tc>
          <w:tcPr>
            <w:tcW w:type="dxa" w:w="26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Minimum liquidity</w:t>
            </w:r>
          </w:p>
        </w:tc>
        <w:tc>
          <w:tcPr>
            <w:tcW w:type="dxa" w:w="24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£2,500,000 (tested weekly)</w:t>
            </w:r>
          </w:p>
        </w:tc>
      </w:tr>
      <w:tr>
        <w:tc>
          <w:tcPr>
            <w:tcW w:type="dxa" w:w="26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Amendment fee</w:t>
            </w:r>
          </w:p>
        </w:tc>
        <w:tc>
          <w:tcPr>
            <w:tcW w:type="dxa" w:w="24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0.50% of total commitments (£210,000)</w:t>
            </w:r>
          </w:p>
        </w:tc>
      </w:tr>
      <w:tr>
        <w:tc>
          <w:tcPr>
            <w:tcW w:type="dxa" w:w="26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Facility C arrangement fee</w:t>
            </w:r>
          </w:p>
        </w:tc>
        <w:tc>
          <w:tcPr>
            <w:tcW w:type="dxa" w:w="24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2.00% of £8.0m (£160,000)</w:t>
            </w:r>
          </w:p>
        </w:tc>
      </w:tr>
    </w:tbl>
    <w:p>
      <w:pPr>
        <w:pStyle w:val="Heading2"/>
        <w:spacing w:after="120" w:before="180"/>
      </w:pPr>
      <w:r>
        <w:rPr>
          <w:rFonts w:ascii="Arial" w:cs="Arial" w:eastAsia="Arial" w:hAnsi="Arial"/>
          <w:b/>
          <w:bCs/>
          <w:color w:val="1F3864"/>
          <w:sz w:val="24"/>
          <w:szCs w:val="24"/>
        </w:rPr>
        <w:t xml:space="preserve">Financial covenants (reset)</w:t>
      </w:r>
    </w:p>
    <w:p>
      <w:pPr>
        <w:spacing w:after="120" w:line="276"/>
      </w:pPr>
      <w:r>
        <w:rPr>
          <w:rFonts w:ascii="Arial" w:cs="Arial" w:eastAsia="Arial" w:hAnsi="Arial"/>
        </w:rPr>
        <w:t xml:space="preserve">The reset leverage covenant (Total Net Debt : EBITDA) steps down quarterly as follows: 5.00x (December 2025); 4.75x (March 2026); 4.25x (June 2026); 3.75x (September 2026); 3.25x (December 2026); 3.00x thereafter. Interest cover is reset to 2.50x stepping to 4.00x over the same period. A minimum liquidity covenant of £2,500,000 is tested weekly against the 13-week cashflow. Capital expenditure is capped at £3,500,000 per annum.</w:t>
      </w:r>
    </w:p>
    <w:p>
      <w:pPr>
        <w:spacing w:after="120" w:line="276"/>
      </w:pPr>
      <w:r>
        <w:rPr>
          <w:rFonts w:ascii="Arial" w:cs="Arial" w:eastAsia="Arial" w:hAnsi="Arial"/>
        </w:rPr>
        <w:t xml:space="preserve">The Borrower will have equity cure rights, exercisable up to twice in any 12-month period and no more than four times over the life of the facilities, by way of new equity or subordinated shareholder funding applied to EBITDA or, at the Borrower’s election, in prepayment.</w:t>
      </w:r>
    </w:p>
    <w:p>
      <w:pPr>
        <w:pStyle w:val="Heading2"/>
        <w:spacing w:after="120" w:before="180"/>
      </w:pPr>
      <w:r>
        <w:rPr>
          <w:rFonts w:ascii="Arial" w:cs="Arial" w:eastAsia="Arial" w:hAnsi="Arial"/>
          <w:b/>
          <w:bCs/>
          <w:color w:val="1F3864"/>
          <w:sz w:val="24"/>
          <w:szCs w:val="24"/>
        </w:rPr>
        <w:t xml:space="preserve">Mandatory prepayment and milestones</w:t>
      </w:r>
    </w:p>
    <w:p>
      <w:pPr>
        <w:spacing w:after="120" w:line="276"/>
      </w:pPr>
      <w:r>
        <w:rPr>
          <w:rFonts w:ascii="Arial" w:cs="Arial" w:eastAsia="Arial" w:hAnsi="Arial"/>
        </w:rPr>
        <w:t xml:space="preserve">Mandatory prepayments will apply from 50% of excess cashflow (tested annually) and from the net proceeds of disposals and insurance claims above agreed de minimis thresholds, applied first to Facility C. The Standstill Period is conditional on the following milestones: agreed term sheet by 19 December 2025; agreed long-form documentation by 13 February 2026; and completion by 27 February 2026.</w:t>
      </w:r>
    </w:p>
    <w:p>
      <w:pPr>
        <w:pStyle w:val="Heading2"/>
        <w:spacing w:after="120" w:before="180"/>
      </w:pPr>
      <w:r>
        <w:rPr>
          <w:rFonts w:ascii="Arial" w:cs="Arial" w:eastAsia="Arial" w:hAnsi="Arial"/>
          <w:b/>
          <w:bCs/>
          <w:color w:val="1F3864"/>
          <w:sz w:val="24"/>
          <w:szCs w:val="24"/>
        </w:rPr>
        <w:t xml:space="preserve">Conditions, costs and governing law</w:t>
      </w:r>
    </w:p>
    <w:p>
      <w:pPr>
        <w:spacing w:after="120" w:line="276"/>
      </w:pPr>
      <w:r>
        <w:rPr>
          <w:rFonts w:ascii="Arial" w:cs="Arial" w:eastAsia="Arial" w:hAnsi="Arial"/>
        </w:rPr>
        <w:t xml:space="preserve">Completion is subject to customary conditions precedent including agreed long-form finance and security documents, the amended intercreditor agreement, evidence of the shareholder contribution, board and shareholder approvals, the independent business review, updated security and corporate authorisations, and legal opinions. The Borrower will pay the Agent’s and the Lender’s reasonable costs (including legal costs) whether or not the restructuring completes. This term sheet, and any dispute arising out of it, is governed by English law and subject to the exclusive jurisdiction of the English courts.</w:t>
      </w:r>
    </w:p>
    <w:p>
      <w:pPr>
        <w:spacing w:after="120"/>
      </w:pPr>
    </w:p>
    <w:p>
      <w:pPr>
        <w:spacing w:after="120" w:line="276"/>
      </w:pPr>
      <w:r>
        <w:rPr>
          <w:rFonts w:ascii="Arial" w:cs="Arial" w:eastAsia="Arial" w:hAnsi="Arial"/>
        </w:rPr>
        <w:t xml:space="preserve">Agreed in principle, subject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For Wexford Consumer Brands Limited / Wexford Holdings Limited</w:t>
            </w:r>
          </w:p>
          <w:p>
            <w:pPr>
              <w:spacing w:after="40"/>
            </w:pPr>
            <w:r>
              <w:rPr>
                <w:rFonts w:ascii="Arial" w:cs="Arial" w:eastAsia="Arial" w:hAnsi="Arial"/>
              </w:rPr>
              <w:t xml:space="preserve"/>
            </w:r>
          </w:p>
          <w:p>
            <w:pPr>
              <w:spacing w:after="40"/>
            </w:pPr>
            <w:r>
              <w:rPr>
                <w:rFonts w:ascii="Arial" w:cs="Arial" w:eastAsia="Arial" w:hAnsi="Arial"/>
              </w:rPr>
              <w:t xml:space="preserve">Name: Fiona Aldridge</w:t>
            </w:r>
          </w:p>
          <w:p>
            <w:pPr>
              <w:spacing w:after="40"/>
            </w:pPr>
            <w:r>
              <w:rPr>
                <w:rFonts w:ascii="Arial" w:cs="Arial" w:eastAsia="Arial" w:hAnsi="Arial"/>
              </w:rPr>
              <w:t xml:space="preserve">Title: Chief Financial Officer</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For Sterling Commercial Bank plc</w:t>
            </w:r>
          </w:p>
          <w:p>
            <w:pPr>
              <w:spacing w:after="40"/>
            </w:pPr>
            <w:r>
              <w:rPr>
                <w:rFonts w:ascii="Arial" w:cs="Arial" w:eastAsia="Arial" w:hAnsi="Arial"/>
              </w:rPr>
              <w:t xml:space="preserve"/>
            </w:r>
          </w:p>
          <w:p>
            <w:pPr>
              <w:spacing w:after="40"/>
            </w:pPr>
            <w:r>
              <w:rPr>
                <w:rFonts w:ascii="Arial" w:cs="Arial" w:eastAsia="Arial" w:hAnsi="Arial"/>
              </w:rPr>
              <w:t xml:space="preserve">Name: Gavin Ross</w:t>
            </w:r>
          </w:p>
          <w:p>
            <w:pPr>
              <w:spacing w:after="40"/>
            </w:pPr>
            <w:r>
              <w:rPr>
                <w:rFonts w:ascii="Arial" w:cs="Arial" w:eastAsia="Arial" w:hAnsi="Arial"/>
              </w:rPr>
              <w:t xml:space="preserve">Title: Director, Restructuring &amp; Recoveries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Subject to contract · without prejudice · Project Tempest term sheet</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2026-06-10T23:11:41.425Z</dcterms:created>
  <dcterms:modified xsi:type="dcterms:W3CDTF">2026-06-10T23:11:41.425Z</dcterms:modified>
</cp:coreProperties>
</file>

<file path=docProps/custom.xml><?xml version="1.0" encoding="utf-8"?>
<Properties xmlns="http://schemas.openxmlformats.org/officeDocument/2006/custom-properties" xmlns:vt="http://schemas.openxmlformats.org/officeDocument/2006/docPropsVTypes"/>
</file>