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2"/>
          <w:szCs w:val="22"/>
        </w:rPr>
        <w:t xml:space="preserve">THE COMPANIES ACT 2006</w:t>
      </w:r>
    </w:p>
    <w:p>
      <w:pPr>
        <w:spacing w:after="40"/>
        <w:jc w:val="center"/>
      </w:pPr>
      <w:r>
        <w:rPr>
          <w:b/>
          <w:bCs/>
          <w:sz w:val="20"/>
          <w:szCs w:val="20"/>
        </w:rPr>
        <w:t xml:space="preserve">PRIVATE COMPANY LIMITED BY SHARES</w:t>
      </w:r>
    </w:p>
    <w:p>
      <w:pPr>
        <w:spacing w:after="200"/>
        <w:jc w:val="center"/>
      </w:pPr>
      <w:r>
        <w:rPr>
          <w:b/>
          <w:bCs/>
          <w:sz w:val="24"/>
          <w:szCs w:val="24"/>
        </w:rPr>
        <w:t xml:space="preserve">ARTICLES OF ASSOCIATION OF ALDERMORE ROBOTICS LIMITED</w:t>
      </w:r>
    </w:p>
    <w:p>
      <w:pPr>
        <w:spacing w:after="240"/>
        <w:jc w:val="center"/>
      </w:pPr>
      <w:r>
        <w:rPr>
          <w:i/>
          <w:iCs/>
          <w:sz w:val="18"/>
          <w:szCs w:val="18"/>
        </w:rPr>
        <w:t xml:space="preserve">(adopted by special resolution passed on 31 October 2025)</w:t>
      </w:r>
    </w:p>
    <w:p>
      <w:pPr>
        <w:tabs>
          <w:tab w:val="left" w:pos="600"/>
        </w:tabs>
        <w:spacing w:after="120" w:before="240"/>
      </w:pPr>
      <w:r>
        <w:rPr>
          <w:b/>
          <w:bCs/>
        </w:rPr>
        <w:t xml:space="preserve">1.</w:t>
      </w:r>
      <w:r>
        <w:rPr>
          <w:b/>
          <w:bCs/>
        </w:rPr>
        <w:t xml:space="preserve">	PRELIMINARY</w:t>
      </w:r>
    </w:p>
    <w:p>
      <w:pPr>
        <w:tabs>
          <w:tab w:val="left" w:pos="600"/>
        </w:tabs>
        <w:spacing w:after="120" w:line="276"/>
        <w:ind w:left="600" w:hanging="600"/>
      </w:pPr>
      <w:r>
        <w:t xml:space="preserve">1.1	</w:t>
      </w:r>
      <w:r>
        <w:t xml:space="preserve">The regulations contained in the model articles for private companies limited by shares (the “Model Articles”) apply to the Company save in so far as they are excluded or modified by, or are inconsistent with, these Articles. In these Articles, words and expressions defined in the Series B Subscription and Shareholders’ Agreement dated 31 October 2025 (the “Investment Agreement”) have the same meanings.</w:t>
      </w:r>
    </w:p>
    <w:p>
      <w:pPr>
        <w:tabs>
          <w:tab w:val="left" w:pos="600"/>
        </w:tabs>
        <w:spacing w:after="120" w:before="240"/>
      </w:pPr>
      <w:r>
        <w:rPr>
          <w:b/>
          <w:bCs/>
        </w:rPr>
        <w:t xml:space="preserve">2.</w:t>
      </w:r>
      <w:r>
        <w:rPr>
          <w:b/>
          <w:bCs/>
        </w:rPr>
        <w:t xml:space="preserve">	SHARE CAPITAL AND RIGHTS</w:t>
      </w:r>
    </w:p>
    <w:p>
      <w:pPr>
        <w:tabs>
          <w:tab w:val="left" w:pos="600"/>
        </w:tabs>
        <w:spacing w:after="120" w:line="276"/>
        <w:ind w:left="600" w:hanging="600"/>
      </w:pPr>
      <w:r>
        <w:t xml:space="preserve">2.1	</w:t>
      </w:r>
      <w:r>
        <w:t xml:space="preserve">The share capital of the Company comprises Ordinary Shares of £0.0001 each, Series A Preferred Shares of £0.0001 each, and Series B Preferred Shares of £0.0001 each (together the “Shares”), having the rights and being subject to the restrictions set out in these Articles.</w:t>
      </w:r>
    </w:p>
    <w:p>
      <w:pPr>
        <w:tabs>
          <w:tab w:val="left" w:pos="600"/>
        </w:tabs>
        <w:spacing w:after="120" w:line="276"/>
        <w:ind w:left="600" w:hanging="600"/>
      </w:pPr>
      <w:r>
        <w:t xml:space="preserve">2.2	</w:t>
      </w:r>
      <w:r>
        <w:rPr>
          <w:b/>
          <w:bCs/>
        </w:rPr>
        <w:t xml:space="preserve">Income. </w:t>
      </w:r>
      <w:r>
        <w:t xml:space="preserve">The Shares do not carry any right to a fixed dividend. Subject to the rights of the Preferred Shares on a return of capital, any dividend declared shall be distributed among the holders of Shares pro rata to the number of Shares held, save that no dividend shall be declared without the consent required under the Investment Agreement.</w:t>
      </w:r>
    </w:p>
    <w:p>
      <w:pPr>
        <w:tabs>
          <w:tab w:val="left" w:pos="600"/>
        </w:tabs>
        <w:spacing w:after="120" w:line="276"/>
        <w:ind w:left="600" w:hanging="600"/>
      </w:pPr>
      <w:r>
        <w:t xml:space="preserve">2.3	</w:t>
      </w:r>
      <w:r>
        <w:rPr>
          <w:b/>
          <w:bCs/>
        </w:rPr>
        <w:t xml:space="preserve">Liquidation preference. </w:t>
      </w:r>
      <w:r>
        <w:t xml:space="preserve">On a return of capital on liquidation, a Sale or a winding-up, the assets of the Company available for distribution shall be applied: first, in paying to each holder of Series B Shares an amount equal to the Issue Price for each Series B Share held (the “Series B Preference”), in priority to the Series A Shares and the Ordinary Shares; second, in paying to each holder of Series A Shares the Series A subscription price for each Series A Share; and third, the balance to the holders of Ordinary Shares and (on an as-converted basis, where they have elected to participate) the Preferred Shares, pro rata. The Series B Preference is non-participating: a holder of Series B Shares may elect instead to convert its Series B Shares into Ordinary Shares and receive its pro rata share of the balance, if that produces a greater return.</w:t>
      </w:r>
    </w:p>
    <w:p>
      <w:pPr>
        <w:tabs>
          <w:tab w:val="left" w:pos="600"/>
        </w:tabs>
        <w:spacing w:after="120" w:line="276"/>
        <w:ind w:left="600" w:hanging="600"/>
      </w:pPr>
      <w:r>
        <w:t xml:space="preserve">2.4	</w:t>
      </w:r>
      <w:r>
        <w:rPr>
          <w:b/>
          <w:bCs/>
        </w:rPr>
        <w:t xml:space="preserve">Voting. </w:t>
      </w:r>
      <w:r>
        <w:t xml:space="preserve">Each Share carries one vote on a poll at a general meeting. The holders of Series B Shares are entitled to receive notice of, attend and vote at general meetings.</w:t>
      </w:r>
    </w:p>
    <w:p>
      <w:pPr>
        <w:tabs>
          <w:tab w:val="left" w:pos="600"/>
        </w:tabs>
        <w:spacing w:after="120" w:line="276"/>
        <w:ind w:left="600" w:hanging="600"/>
      </w:pPr>
      <w:r>
        <w:t xml:space="preserve">2.5	</w:t>
      </w:r>
      <w:r>
        <w:rPr>
          <w:b/>
          <w:bCs/>
        </w:rPr>
        <w:t xml:space="preserve">Conversion. </w:t>
      </w:r>
      <w:r>
        <w:t xml:space="preserve">Each Preferred Share converts into one Ordinary Share (subject to adjustment for the anti-dilution provisions in Article 3) automatically on a Listing, or at the option of the holder at any time by written notice to the Company.</w:t>
      </w:r>
    </w:p>
    <w:p>
      <w:pPr>
        <w:tabs>
          <w:tab w:val="left" w:pos="600"/>
        </w:tabs>
        <w:spacing w:after="120" w:before="240"/>
      </w:pPr>
      <w:r>
        <w:rPr>
          <w:b/>
          <w:bCs/>
        </w:rPr>
        <w:t xml:space="preserve">3.</w:t>
      </w:r>
      <w:r>
        <w:rPr>
          <w:b/>
          <w:bCs/>
        </w:rPr>
        <w:t xml:space="preserve">	ANTI-DILUTION ADJUSTMENT</w:t>
      </w:r>
    </w:p>
    <w:p>
      <w:pPr>
        <w:tabs>
          <w:tab w:val="left" w:pos="600"/>
        </w:tabs>
        <w:spacing w:after="120" w:line="276"/>
        <w:ind w:left="600" w:hanging="600"/>
      </w:pPr>
      <w:r>
        <w:t xml:space="preserve">3.1	</w:t>
      </w:r>
      <w:r>
        <w:t xml:space="preserve">If the Company allots any New Shares (other than Excluded Issues) at a Subscription Price per share less than the Issue Price then in effect for the Series B Shares (a “Down Round”), the number of Ordinary Shares into which each Series B Share converts shall be increased so that the effective conversion price is adjusted on a broad-based weighted average basis, calculated as: CP2 = CP1 × (A + B) ÷ (A + C), where CP1 is the conversion price in effect immediately before the Down Round, A is the number of Shares in issue on a fully diluted basis immediately before the Down Round, B is the number of Shares that the aggregate consideration received for the New Shares would purchase at CP1, and C is the number of New Shares actually issued.</w:t>
      </w:r>
    </w:p>
    <w:p>
      <w:pPr>
        <w:tabs>
          <w:tab w:val="left" w:pos="600"/>
        </w:tabs>
        <w:spacing w:after="120" w:before="240"/>
      </w:pPr>
      <w:r>
        <w:rPr>
          <w:b/>
          <w:bCs/>
        </w:rPr>
        <w:t xml:space="preserve">4.</w:t>
      </w:r>
      <w:r>
        <w:rPr>
          <w:b/>
          <w:bCs/>
        </w:rPr>
        <w:t xml:space="preserve">	PRE-EMPTION ON ISSUE AND TRANSFER</w:t>
      </w:r>
    </w:p>
    <w:p>
      <w:pPr>
        <w:tabs>
          <w:tab w:val="left" w:pos="600"/>
        </w:tabs>
        <w:spacing w:after="120" w:line="276"/>
        <w:ind w:left="600" w:hanging="600"/>
      </w:pPr>
      <w:r>
        <w:t xml:space="preserve">4.1	</w:t>
      </w:r>
      <w:r>
        <w:t xml:space="preserve">Save for Excluded Issues, new Shares shall be offered first to existing members pro rata to their holdings, on the terms set out in the Investment Agreement.</w:t>
      </w:r>
    </w:p>
    <w:p>
      <w:pPr>
        <w:tabs>
          <w:tab w:val="left" w:pos="600"/>
        </w:tabs>
        <w:spacing w:after="120" w:line="276"/>
        <w:ind w:left="600" w:hanging="600"/>
      </w:pPr>
      <w:r>
        <w:t xml:space="preserve">4.2	</w:t>
      </w:r>
      <w:r>
        <w:t xml:space="preserve">Save for a Permitted Transfer, a member who wishes to transfer Shares (a “Seller”) must first offer them to the other members by serving a Transfer Notice on the Company, which shall act as the Company’s agent to offer the Shares to the other members pro rata at the price specified or, failing agreement, the Fair Value determined by the Company’s auditors acting as experts.</w:t>
      </w:r>
    </w:p>
    <w:p>
      <w:pPr>
        <w:tabs>
          <w:tab w:val="left" w:pos="600"/>
        </w:tabs>
        <w:spacing w:after="120" w:before="240"/>
      </w:pPr>
      <w:r>
        <w:rPr>
          <w:b/>
          <w:bCs/>
        </w:rPr>
        <w:t xml:space="preserve">5.</w:t>
      </w:r>
      <w:r>
        <w:rPr>
          <w:b/>
          <w:bCs/>
        </w:rPr>
        <w:t xml:space="preserve">	DRAG-ALONG</w:t>
      </w:r>
    </w:p>
    <w:p>
      <w:pPr>
        <w:tabs>
          <w:tab w:val="left" w:pos="600"/>
        </w:tabs>
        <w:spacing w:after="120" w:line="276"/>
        <w:ind w:left="600" w:hanging="600"/>
      </w:pPr>
      <w:r>
        <w:t xml:space="preserve">5.1	</w:t>
      </w:r>
      <w:r>
        <w:t xml:space="preserve">If holders of not less than 60% of the Ordinary Shares and the Investor Majority (together the “Proposing Sellers”) wish to accept a bona fide arm’s length offer for the entire issued share capital of the Company, the Proposing Sellers may require all other members (the “Called Shareholders”) to sell their Shares to the offeror on the same terms by serving a Drag Notice. The Called Shareholders are bound to transfer their Shares accordingly.</w:t>
      </w:r>
    </w:p>
    <w:p>
      <w:pPr>
        <w:tabs>
          <w:tab w:val="left" w:pos="600"/>
        </w:tabs>
        <w:spacing w:after="120" w:before="240"/>
      </w:pPr>
      <w:r>
        <w:rPr>
          <w:b/>
          <w:bCs/>
        </w:rPr>
        <w:t xml:space="preserve">6.</w:t>
      </w:r>
      <w:r>
        <w:rPr>
          <w:b/>
          <w:bCs/>
        </w:rPr>
        <w:t xml:space="preserve">	TAG-ALONG</w:t>
      </w:r>
    </w:p>
    <w:p>
      <w:pPr>
        <w:tabs>
          <w:tab w:val="left" w:pos="600"/>
        </w:tabs>
        <w:spacing w:after="120" w:line="276"/>
        <w:ind w:left="600" w:hanging="600"/>
      </w:pPr>
      <w:r>
        <w:t xml:space="preserve">6.1	</w:t>
      </w:r>
      <w:r>
        <w:t xml:space="preserve">No transfer of Shares which would, on its own or when aggregated with previous transfers, result in a change of Control may be made unless the proposed transferee has first offered to buy all the Shares held by the other members on the same terms (the “Tag Right”). The Tag Right does not apply where a Drag Notice has been validly served.</w:t>
      </w:r>
    </w:p>
    <w:p>
      <w:pPr>
        <w:tabs>
          <w:tab w:val="left" w:pos="600"/>
        </w:tabs>
        <w:spacing w:after="120" w:before="240"/>
      </w:pPr>
      <w:r>
        <w:rPr>
          <w:b/>
          <w:bCs/>
        </w:rPr>
        <w:t xml:space="preserve">7.</w:t>
      </w:r>
      <w:r>
        <w:rPr>
          <w:b/>
          <w:bCs/>
        </w:rPr>
        <w:t xml:space="preserve">	RESERVED MATTERS AND INVESTOR CONSENT</w:t>
      </w:r>
    </w:p>
    <w:p>
      <w:pPr>
        <w:tabs>
          <w:tab w:val="left" w:pos="600"/>
        </w:tabs>
        <w:spacing w:after="120" w:line="276"/>
        <w:ind w:left="600" w:hanging="600"/>
      </w:pPr>
      <w:r>
        <w:t xml:space="preserve">7.1	</w:t>
      </w:r>
      <w:r>
        <w:t xml:space="preserve">The Company shall not take any action constituting a Reserved Matter (as defined in the Investor Rights Agreement) without the consent of the Investor Majority, and any purported action taken in breach of this Article is void.</w:t>
      </w:r>
    </w:p>
    <w:p>
      <w:pPr>
        <w:tabs>
          <w:tab w:val="left" w:pos="600"/>
        </w:tabs>
        <w:spacing w:after="120" w:before="240"/>
      </w:pPr>
      <w:r>
        <w:rPr>
          <w:b/>
          <w:bCs/>
        </w:rPr>
        <w:t xml:space="preserve">8.</w:t>
      </w:r>
      <w:r>
        <w:rPr>
          <w:b/>
          <w:bCs/>
        </w:rPr>
        <w:t xml:space="preserve">	FOUNDER LEAVER PROVISIONS</w:t>
      </w:r>
    </w:p>
    <w:p>
      <w:pPr>
        <w:tabs>
          <w:tab w:val="left" w:pos="600"/>
        </w:tabs>
        <w:spacing w:after="120" w:line="276"/>
        <w:ind w:left="600" w:hanging="600"/>
      </w:pPr>
      <w:r>
        <w:t xml:space="preserve">8.1	</w:t>
      </w:r>
      <w:r>
        <w:t xml:space="preserve">Founder Shares vest over a period of 48 months from the relevant Founder’s start date, with a 12-month cliff. If a Founder ceases to be an employee or director, the unvested portion of his or her Founder Shares becomes subject to compulsory transfer at the lower of cost and Fair Value (in the case of a Bad Leaver) or at Fair Value (in the case of a Good Leaver), in each case to such person as the Board (with Investor Majority consent) directs.</w:t>
      </w:r>
    </w:p>
    <w:p>
      <w:pPr>
        <w:tabs>
          <w:tab w:val="left" w:pos="600"/>
        </w:tabs>
        <w:spacing w:after="120" w:before="240"/>
      </w:pPr>
      <w:r>
        <w:rPr>
          <w:b/>
          <w:bCs/>
        </w:rPr>
        <w:t xml:space="preserve">9.</w:t>
      </w:r>
      <w:r>
        <w:rPr>
          <w:b/>
          <w:bCs/>
        </w:rPr>
        <w:t xml:space="preserve">	DIRECTORS AND PROCEEDINGS</w:t>
      </w:r>
    </w:p>
    <w:p>
      <w:pPr>
        <w:tabs>
          <w:tab w:val="left" w:pos="600"/>
        </w:tabs>
        <w:spacing w:after="120" w:line="276"/>
        <w:ind w:left="600" w:hanging="600"/>
      </w:pPr>
      <w:r>
        <w:t xml:space="preserve">9.1	</w:t>
      </w:r>
      <w:r>
        <w:t xml:space="preserve">The Board shall be constituted as provided in the Investor Rights Agreement. The quorum for the transaction of business at a meeting of the directors shall include the Investor Director (or the observer) save as provided in that agreement. Subject to these Articles, the business of the Company shall be managed by the directors who may exercise all the powers of the Company.</w:t>
      </w:r>
    </w:p>
    <w:p>
      <w:pPr>
        <w:tabs>
          <w:tab w:val="left" w:pos="600"/>
        </w:tabs>
        <w:spacing w:after="120" w:before="240"/>
      </w:pPr>
      <w:r>
        <w:rPr>
          <w:b/>
          <w:bCs/>
        </w:rPr>
        <w:t xml:space="preserve">10.</w:t>
      </w:r>
      <w:r>
        <w:rPr>
          <w:b/>
          <w:bCs/>
        </w:rPr>
        <w:t xml:space="preserve">	GENERAL</w:t>
      </w:r>
    </w:p>
    <w:p>
      <w:pPr>
        <w:tabs>
          <w:tab w:val="left" w:pos="600"/>
        </w:tabs>
        <w:spacing w:after="120" w:line="276"/>
        <w:ind w:left="600" w:hanging="600"/>
      </w:pPr>
      <w:r>
        <w:t xml:space="preserve">10.1	</w:t>
      </w:r>
      <w:r>
        <w:t xml:space="preserve">The Company may indemnify each director to the fullest extent permitted by the Companies Act 2006 and may purchase and maintain directors’ and officers’ liability insurance. Where there is any conflict between these Articles and the Investment Agreement, as between the members the Investment Agreement prevails and the members shall (so far as lawful) exercise their powers to give effect to it.</w:t>
      </w:r>
    </w:p>
    <w:p>
      <w:pPr>
        <w:spacing w:before="300"/>
      </w:pPr>
      <w:r>
        <w:rPr>
          <w:i/>
          <w:iCs/>
        </w:rPr>
        <w:t xml:space="preserve">These Articles of Association were adopted by special resolution of the members passed on 31 October 2025.</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88888"/>
        <w:sz w:val="14"/>
        <w:szCs w:val="14"/>
      </w:rPr>
      <w:t xml:space="preserve">Aldermore Robotics Limited — Articles of Association (adopted 31 Oct 2025)</w:t>
    </w:r>
    <w:r>
      <w:rPr>
        <w:color w:val="888888"/>
        <w:sz w:val="14"/>
        <w:szCs w:val="14"/>
      </w:rPr>
      <w:t xml:space="preserve">	Page </w:t>
    </w:r>
    <w:r>
      <w:rPr>
        <w:color w:val="888888"/>
        <w:sz w:val="14"/>
        <w:szCs w:val="14"/>
      </w:rPr>
      <w:fldChar w:fldCharType="begin"/>
      <w:instrText xml:space="preserve">PAGE</w:instrText>
      <w:fldChar w:fldCharType="separate"/>
      <w:fldChar w:fldCharType="end"/>
    </w:r>
    <w:r>
      <w:rPr>
        <w:color w:val="888888"/>
        <w:sz w:val="14"/>
        <w:szCs w:val="14"/>
      </w:rPr>
      <w:t xml:space="preserve"> of </w:t>
    </w:r>
    <w:r>
      <w:rPr>
        <w:color w:val="888888"/>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Roman"/>
      <w:lvlText w:val="(%1)"/>
      <w:lvlJc w:val="left"/>
      <w:pPr>
        <w:ind w:left="1440" w:hanging="4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sz w:val="26"/>
      <w:szCs w:val="26"/>
    </w:rPr>
  </w:style>
  <w:style w:type="paragraph" w:styleId="Heading2">
    <w:name w:val="Heading 2"/>
    <w:basedOn w:val="Normal"/>
    <w:next w:val="Normal"/>
    <w:qFormat/>
    <w:pPr>
      <w:spacing w:after="120" w:before="20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2026-06-20T20:08:42.983Z</dcterms:created>
  <dcterms:modified xsi:type="dcterms:W3CDTF">2026-06-20T20:08:42.983Z</dcterms:modified>
</cp:coreProperties>
</file>

<file path=docProps/custom.xml><?xml version="1.0" encoding="utf-8"?>
<Properties xmlns="http://schemas.openxmlformats.org/officeDocument/2006/custom-properties" xmlns:vt="http://schemas.openxmlformats.org/officeDocument/2006/docPropsVTypes"/>
</file>