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8"/>
          <w:szCs w:val="28"/>
        </w:rPr>
        <w:t xml:space="preserve">Whitfield Carter LLP</w:t>
      </w:r>
    </w:p>
    <w:p>
      <w:pPr>
        <w:spacing w:after="0"/>
      </w:pPr>
      <w:r>
        <w:rPr>
          <w:color w:val="555555"/>
          <w:sz w:val="18"/>
          <w:szCs w:val="18"/>
        </w:rPr>
        <w:t xml:space="preserve">Solicitors</w:t>
      </w:r>
    </w:p>
    <w:p>
      <w:pPr>
        <w:pBdr>
          <w:bottom w:val="single" w:color="2E4B7B" w:sz="6" w:space="2"/>
        </w:pBdr>
        <w:spacing w:after="240"/>
      </w:pPr>
      <w:r>
        <w:rPr>
          <w:color w:val="555555"/>
          <w:sz w:val="16"/>
          <w:szCs w:val="16"/>
        </w:rPr>
        <w:t xml:space="preserve">22 Bishopsgate, London EC2N 4BQ  •  DX 122 London  •  +44 (0)20 7946 0000  •  www.whitfieldcarter.com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PROJECT DRAKE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Series B Financing — Completion Checklist</w:t>
      </w:r>
    </w:p>
    <w:p>
      <w:pPr>
        <w:spacing w:after="120" w:line="276"/>
      </w:pPr>
      <w:r>
        <w:rPr>
          <w:b/>
          <w:bCs/>
        </w:rPr>
        <w:t xml:space="preserve">Matter: </w:t>
      </w:r>
      <w:r>
        <w:t xml:space="preserve">Aldermore Robotics Limited — Series B Subscription (WC-00114)</w:t>
      </w:r>
    </w:p>
    <w:p>
      <w:pPr>
        <w:spacing w:after="120" w:line="276"/>
      </w:pPr>
      <w:r>
        <w:rPr>
          <w:b/>
          <w:bCs/>
        </w:rPr>
        <w:t xml:space="preserve">Target Completion: </w:t>
      </w:r>
      <w:r>
        <w:t xml:space="preserve">31 October 2025</w:t>
      </w:r>
    </w:p>
    <w:p>
      <w:pPr>
        <w:spacing w:after="120" w:line="276"/>
      </w:pPr>
      <w:r>
        <w:rPr>
          <w:b/>
          <w:bCs/>
        </w:rPr>
        <w:t xml:space="preserve">Prepared by: </w:t>
      </w:r>
      <w:r>
        <w:t xml:space="preserve">Elena Marchetti, Whitfield Carter LLP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2200"/>
        <w:gridCol w:w="156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B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B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B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B7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Mutual NDA executed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 / Hargrove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Complete (11 Jul)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Term Sheet signed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 / Westgate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Complete (24 Jul)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Legal, financial &amp; tax due diligence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Westgate / Marlow Tax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Subscription Agreement agreed (v3 settled)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 / Hargrove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Agreed (08 Oct)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Investor Rights Agreement agreed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 / Hargrove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New Articles of Association in agreed form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Disclosure Letter and data room index finalised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 / Company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Cap table (pre/post) reconciled to consideration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 / Company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Reconciled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Shareholders' written resolutions (adopt Articles; allotment authority; s.561 disapplication)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 sign at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Board minutes approving Transaction Documents and allotment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 sign at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Subscription monies (£18.0m) to WC client account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Investors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Allot Series B Shares; update register of members; issue certificates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 / WC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Appoint Investor Director (Daniel Westbrook); note observer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File SH01, AP01 and new Articles at Companies House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Within 15 days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Funds flow executed; net proceeds released to Company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Bible / closing set circulated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Post-Completion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Note: </w:t>
      </w:r>
      <w:r>
        <w:t xml:space="preserve">Items 9–13, 15 to be dealt with simultaneously at the virtual Completion on 31 October 2025; post-Completion filings to follow within statutory time limits.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Whitfield Carter LLP — Project Drake — Completion Checklist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2026-06-20T20:13:05.526Z</dcterms:created>
  <dcterms:modified xsi:type="dcterms:W3CDTF">2026-06-20T20:13:05.526Z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