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sz w:val="28"/>
          <w:szCs w:val="28"/>
        </w:rPr>
        <w:t xml:space="preserve">Whitfield Carter LLP</w:t>
      </w:r>
    </w:p>
    <w:p>
      <w:pPr>
        <w:spacing w:after="0"/>
      </w:pPr>
      <w:r>
        <w:rPr>
          <w:color w:val="555555"/>
          <w:sz w:val="18"/>
          <w:szCs w:val="18"/>
        </w:rPr>
        <w:t xml:space="preserve">Solicitors</w:t>
      </w:r>
    </w:p>
    <w:p>
      <w:pPr>
        <w:pBdr>
          <w:bottom w:val="single" w:color="2E4B7B" w:sz="6" w:space="2"/>
        </w:pBdr>
        <w:spacing w:after="240"/>
      </w:pPr>
      <w:r>
        <w:rPr>
          <w:color w:val="555555"/>
          <w:sz w:val="16"/>
          <w:szCs w:val="16"/>
        </w:rPr>
        <w:t xml:space="preserve">22 Bishopsgate, London EC2N 4BQ  •  DX 122 London  •  +44 (0)20 7946 0000  •  www.whitfieldcarter.com</w:t>
      </w:r>
    </w:p>
    <w:p>
      <w:pPr>
        <w:spacing w:after="120" w:line="276"/>
      </w:pPr>
      <w:r>
        <w:rPr>
          <w:i/>
          <w:iCs/>
        </w:rPr>
        <w:t xml:space="preserve">Strictly private and confidential</w:t>
      </w:r>
    </w:p>
    <w:p>
      <w:pPr>
        <w:spacing w:after="120" w:line="276"/>
      </w:pPr>
      <w:r>
        <w:t xml:space="preserve">31 October 2025</w:t>
      </w:r>
    </w:p>
    <w:p>
      <w:pPr>
        <w:spacing w:after="120" w:line="276"/>
      </w:pPr>
      <w:r>
        <w:t xml:space="preserve">To: Westgate Growth Partners LLP and the other Investors named in the Subscription Agreement</w:t>
      </w:r>
    </w:p>
    <w:p>
      <w:pPr>
        <w:spacing w:after="120" w:line="276"/>
      </w:pPr>
      <w:r>
        <w:t xml:space="preserve">Dear Sirs / Mesdames</w:t>
      </w:r>
    </w:p>
    <w:p>
      <w:pPr>
        <w:spacing w:after="120" w:line="276"/>
      </w:pPr>
      <w:r>
        <w:rPr>
          <w:b/>
          <w:bCs/>
        </w:rPr>
        <w:t xml:space="preserve">Project Drake — Disclosure Letter</w:t>
      </w:r>
    </w:p>
    <w:p>
      <w:pPr>
        <w:spacing w:after="120" w:line="276"/>
      </w:pPr>
      <w:r>
        <w:t xml:space="preserve">This is the Disclosure Letter referred to in the Series B Subscription and Shareholders’ Agreement of today’s date relating to the subscription for Series B Preferred Shares in Aldermore Robotics Limited (the “Subscription Agreement”). Terms defined in the Subscription Agreement have the same meaning in this letter. This letter is given by the Warrantors to the Investors.</w:t>
      </w:r>
    </w:p>
    <w:p>
      <w:pPr>
        <w:tabs>
          <w:tab w:val="left" w:pos="600"/>
        </w:tabs>
        <w:spacing w:after="120" w:before="240"/>
      </w:pPr>
      <w:r>
        <w:rPr>
          <w:b/>
          <w:bCs/>
        </w:rPr>
        <w:t xml:space="preserve">1.</w:t>
      </w:r>
      <w:r>
        <w:rPr>
          <w:b/>
          <w:bCs/>
        </w:rPr>
        <w:t xml:space="preserve">	GENERAL</w:t>
      </w:r>
    </w:p>
    <w:p>
      <w:pPr>
        <w:tabs>
          <w:tab w:val="left" w:pos="600"/>
        </w:tabs>
        <w:spacing w:after="120" w:line="276"/>
        <w:ind w:left="600" w:hanging="600"/>
      </w:pPr>
      <w:r>
        <w:t xml:space="preserve">1.1	</w:t>
      </w:r>
      <w:r>
        <w:t xml:space="preserve">The Warranties are given subject to and qualified by the matters fairly disclosed in this letter and its Schedule (the “Disclosed Matters”) and by all matters which are, as at the date of this letter: (a) provided for or referred to in the Subscription Agreement or the Articles; (b) contained in the documents in the data room made available to the Investors and their advisers, an index of which is annexed; (c) apparent from the Company’s filings at Companies House and registered at the Intellectual Property Office; or (d) within the actual knowledge of the Lead Investor’s deal team.</w:t>
      </w:r>
    </w:p>
    <w:p>
      <w:pPr>
        <w:tabs>
          <w:tab w:val="left" w:pos="600"/>
        </w:tabs>
        <w:spacing w:after="120" w:line="276"/>
        <w:ind w:left="600" w:hanging="600"/>
      </w:pPr>
      <w:r>
        <w:t xml:space="preserve">1.2	</w:t>
      </w:r>
      <w:r>
        <w:t xml:space="preserve">Disclosure of any matter is not an admission that it is material, nor that it is required to be disclosed, and is made solely to qualify the Warranties. Where a Disclosed Matter relates to more than one Warranty, disclosure against one Warranty operates as disclosure against each relevant Warranty.</w:t>
      </w:r>
    </w:p>
    <w:p>
      <w:pPr>
        <w:tabs>
          <w:tab w:val="left" w:pos="600"/>
        </w:tabs>
        <w:spacing w:after="120" w:line="276"/>
        <w:ind w:left="600" w:hanging="600"/>
      </w:pPr>
      <w:r>
        <w:t xml:space="preserve">1.3	</w:t>
      </w:r>
      <w:r>
        <w:t xml:space="preserve">No disclosure made in this letter limits or restricts any rights or remedies the Investors may have in respect of fraud or wilful concealment.</w:t>
      </w:r>
    </w:p>
    <w:p>
      <w:pPr>
        <w:tabs>
          <w:tab w:val="left" w:pos="600"/>
        </w:tabs>
        <w:spacing w:after="120" w:before="240"/>
      </w:pPr>
      <w:r>
        <w:rPr>
          <w:b/>
          <w:bCs/>
        </w:rPr>
        <w:t xml:space="preserve">2.</w:t>
      </w:r>
      <w:r>
        <w:rPr>
          <w:b/>
          <w:bCs/>
        </w:rPr>
        <w:t xml:space="preserve">	SPECIFIC DISCLOSURES</w:t>
      </w:r>
    </w:p>
    <w:p>
      <w:pPr>
        <w:spacing w:after="120" w:line="276"/>
      </w:pPr>
      <w:r>
        <w:t xml:space="preserve">The following specific disclosures are made against the Warranties identified. References are to the paragraphs of Schedule 4 to the Subscription Agreement.</w:t>
      </w:r>
    </w:p>
    <w:p>
      <w:pPr>
        <w:spacing w:after="120" w:line="276"/>
      </w:pPr>
      <w:r>
        <w:rPr>
          <w:b/>
          <w:bCs/>
        </w:rPr>
        <w:t xml:space="preserve">Against Warranty 2 (Accounts and financial). </w:t>
      </w:r>
      <w:r>
        <w:t xml:space="preserve">The management accounts for the period ended 30 September 2025 reflect a revenue shortfall of approximately 7% against budget, attributable to slippage of two enterprise pilot deployments (Stronghold Distribution and Meridian Cold Chain) from Q2 into Q3. Both pilots have since converted to paid contracts. The Company has an invoice discounting facility of £1,500,000 with Northway Commercial Finance Ltd, drawn to approximately £640,000 as at 30 September 2025.</w:t>
      </w:r>
    </w:p>
    <w:p>
      <w:pPr>
        <w:spacing w:after="120" w:line="276"/>
      </w:pPr>
      <w:r>
        <w:rPr>
          <w:b/>
          <w:bCs/>
        </w:rPr>
        <w:t xml:space="preserve">Against Warranty 2. </w:t>
      </w:r>
      <w:r>
        <w:t xml:space="preserve">The Company holds a convertible loan note of £750,000 issued to Aldridge Seed LP in March 2025, which will convert into Series B Shares at Completion at a 15% discount to the Issue Price, as reflected in the cap table at Schedule 2.</w:t>
      </w:r>
    </w:p>
    <w:p>
      <w:pPr>
        <w:spacing w:after="120" w:line="276"/>
      </w:pPr>
      <w:r>
        <w:rPr>
          <w:b/>
          <w:bCs/>
        </w:rPr>
        <w:t xml:space="preserve">Against Warranty 3 (Intellectual property). </w:t>
      </w:r>
      <w:r>
        <w:t xml:space="preserve">Two of the Company’s patent applications (GB2415771.2 and EP24187663.0, covering the dynamic path-replanning algorithm) are pending and have not yet proceeded to grant. The Company licenses certain SLAM components from OpenNav Robotics under an open-source (BSD-3) licence and a commercial component (the LiDAR fusion module) from Helvar Sensors AG under a perpetual licence dated 14 February 2024.</w:t>
      </w:r>
    </w:p>
    <w:p>
      <w:pPr>
        <w:spacing w:after="120" w:line="276"/>
      </w:pPr>
      <w:r>
        <w:rPr>
          <w:b/>
          <w:bCs/>
        </w:rPr>
        <w:t xml:space="preserve">Against Warranty 3. </w:t>
      </w:r>
      <w:r>
        <w:t xml:space="preserve">A former contract engineer, Mr P. Okafor, raised a query in May 2025 regarding the assignment of certain firmware contributions. The Company obtained a confirmatory deed of assignment from Mr Okafor dated 20 June 2025, a copy of which is in the data room.</w:t>
      </w:r>
    </w:p>
    <w:p>
      <w:pPr>
        <w:spacing w:after="120" w:line="276"/>
      </w:pPr>
      <w:r>
        <w:rPr>
          <w:b/>
          <w:bCs/>
        </w:rPr>
        <w:t xml:space="preserve">Against Warranty 4 (Contracts). </w:t>
      </w:r>
      <w:r>
        <w:t xml:space="preserve">The Company’s master supply agreement with Stronghold Distribution Limited contains a change-of-control provision entitling Stronghold to terminate on 60 days’ notice in the event of a change of control of the Company. The Series B financing does not constitute a change of control for these purposes. The Company’s lease of Unit 4, Kestrel Park expires on 24 March 2027 and contains a tenant-only break at the third anniversary.</w:t>
      </w:r>
    </w:p>
    <w:p>
      <w:pPr>
        <w:spacing w:after="120" w:line="276"/>
      </w:pPr>
      <w:r>
        <w:rPr>
          <w:b/>
          <w:bCs/>
        </w:rPr>
        <w:t xml:space="preserve">Against Warranty 5 (Employees). </w:t>
      </w:r>
      <w:r>
        <w:t xml:space="preserve">The Company operates an EMI option scheme under which options over 600,000 Ordinary Shares are outstanding. The Board intends, conditional on Completion, to grant further options out of the enlarged pool. One employee (Head of Sales) is currently serving notice having resigned on 2 October 2025; a replacement search is under way.</w:t>
      </w:r>
    </w:p>
    <w:p>
      <w:pPr>
        <w:spacing w:after="120" w:line="276"/>
      </w:pPr>
      <w:r>
        <w:rPr>
          <w:b/>
          <w:bCs/>
        </w:rPr>
        <w:t xml:space="preserve">Against Warranty 7 (Tax). </w:t>
      </w:r>
      <w:r>
        <w:t xml:space="preserve">The Company has claimed R&amp;D tax relief (RDEC and SME scheme) in respect of the years ended 31 March 2023, 2024 and 2025. The 2024 claim is currently subject to a routine HMRC enquiry opened on 11 August 2025; the Company’s advisers, Marlow Tax &amp; Advisory Ltd, consider the claim to be well supported. Advance assurance for EIS purposes was obtained from HMRC on 3 June 2025.</w:t>
      </w:r>
    </w:p>
    <w:p>
      <w:r>
        <w:br w:type="page"/>
      </w:r>
    </w:p>
    <w:p>
      <w:pPr>
        <w:spacing w:after="160"/>
        <w:jc w:val="center"/>
      </w:pPr>
      <w:r>
        <w:rPr>
          <w:b/>
          <w:bCs/>
          <w:sz w:val="22"/>
          <w:szCs w:val="22"/>
        </w:rPr>
        <w:t xml:space="preserve">SCHEDULE — DATA ROOM INDEX (EXTRACT)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60"/>
        <w:gridCol w:w="2600"/>
      </w:tblGrid>
      <w:tr>
        <w:tc>
          <w:tcPr>
            <w:tcW w:type="dxa" w:w="140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Folder</w:t>
            </w:r>
          </w:p>
        </w:tc>
        <w:tc>
          <w:tcPr>
            <w:tcW w:type="dxa" w:w="536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Document</w:t>
            </w:r>
          </w:p>
        </w:tc>
        <w:tc>
          <w:tcPr>
            <w:tcW w:type="dxa" w:w="260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Last updated</w:t>
            </w:r>
          </w:p>
        </w:tc>
      </w:tr>
      <w:tr>
        <w:tc>
          <w:tcPr>
            <w:tcW w:type="dxa" w:w="14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 Corporate</w:t>
            </w:r>
          </w:p>
        </w:tc>
        <w:tc>
          <w:tcPr>
            <w:tcW w:type="dxa" w:w="53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Certificate of incorporation; current articles; statutory registers; cap table (Excel)</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20 Oct 2025</w:t>
            </w:r>
          </w:p>
        </w:tc>
      </w:tr>
      <w:tr>
        <w:tc>
          <w:tcPr>
            <w:tcW w:type="dxa" w:w="14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2. Financial</w:t>
            </w:r>
          </w:p>
        </w:tc>
        <w:tc>
          <w:tcPr>
            <w:tcW w:type="dxa" w:w="53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Audited accounts FY23–FY25; management accounts to Sep-25; budget FY26</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18 Oct 2025</w:t>
            </w:r>
          </w:p>
        </w:tc>
      </w:tr>
      <w:tr>
        <w:tc>
          <w:tcPr>
            <w:tcW w:type="dxa" w:w="14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3. Commercial</w:t>
            </w:r>
          </w:p>
        </w:tc>
        <w:tc>
          <w:tcPr>
            <w:tcW w:type="dxa" w:w="53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Master supply agreements (Stronghold, Meridian, BMC); standard T&amp;Cs; pipeline</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21 Oct 2025</w:t>
            </w:r>
          </w:p>
        </w:tc>
      </w:tr>
      <w:tr>
        <w:tc>
          <w:tcPr>
            <w:tcW w:type="dxa" w:w="14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4. IP &amp; Tech</w:t>
            </w:r>
          </w:p>
        </w:tc>
        <w:tc>
          <w:tcPr>
            <w:tcW w:type="dxa" w:w="53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Patent schedule; IP assignments; third-party licences; security policy</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15 Oct 2025</w:t>
            </w:r>
          </w:p>
        </w:tc>
      </w:tr>
      <w:tr>
        <w:tc>
          <w:tcPr>
            <w:tcW w:type="dxa" w:w="14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5. Employees</w:t>
            </w:r>
          </w:p>
        </w:tc>
        <w:tc>
          <w:tcPr>
            <w:tcW w:type="dxa" w:w="53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Employment contracts; EMI scheme rules; option register</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16 Oct 2025</w:t>
            </w:r>
          </w:p>
        </w:tc>
      </w:tr>
      <w:tr>
        <w:tc>
          <w:tcPr>
            <w:tcW w:type="dxa" w:w="14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6. Tax</w:t>
            </w:r>
          </w:p>
        </w:tc>
        <w:tc>
          <w:tcPr>
            <w:tcW w:type="dxa" w:w="53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Corporation tax computations; R&amp;D claims; EIS advance assurance; HMRC enquiry correspondence</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19 Oct 2025</w:t>
            </w:r>
          </w:p>
        </w:tc>
      </w:tr>
      <w:tr>
        <w:tc>
          <w:tcPr>
            <w:tcW w:type="dxa" w:w="14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7. Property</w:t>
            </w:r>
          </w:p>
        </w:tc>
        <w:tc>
          <w:tcPr>
            <w:tcW w:type="dxa" w:w="53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Lease of Unit 4 Kestrel Park; rent deposit deed</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10 Oct 2025</w:t>
            </w:r>
          </w:p>
        </w:tc>
      </w:tr>
    </w:tbl>
    <w:p>
      <w:pPr>
        <w:spacing w:after="200" w:line="276"/>
      </w:pPr>
      <w:r>
        <w:t xml:space="preserve">Yours faithfully</w:t>
      </w:r>
    </w:p>
    <w:p>
      <w:pPr>
        <w:spacing w:after="120" w:line="276"/>
      </w:pPr>
      <w:r>
        <w:t xml:space="preserve">for and on behalf of the Warrantors</w:t>
      </w:r>
    </w:p>
    <w:p>
      <w:pPr>
        <w:spacing w:after="120" w:line="276"/>
      </w:pPr>
      <w:r>
        <w:t xml:space="preserve">...............................................</w:t>
      </w:r>
    </w:p>
    <w:p>
      <w:pPr>
        <w:spacing w:after="120" w:line="276"/>
      </w:pPr>
      <w:r>
        <w:t xml:space="preserve">James Hartlow, Director, Aldermore Robotics Limited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4"/>
        <w:szCs w:val="14"/>
      </w:rPr>
      <w:t xml:space="preserve">Whitfield Carter LLP — Project Drake — Disclosure Letter</w:t>
    </w:r>
    <w:r>
      <w:rPr>
        <w:color w:val="888888"/>
        <w:sz w:val="14"/>
        <w:szCs w:val="14"/>
      </w:rPr>
      <w:t xml:space="preserve">	Page </w:t>
    </w:r>
    <w:r>
      <w:rPr>
        <w:color w:val="888888"/>
        <w:sz w:val="14"/>
        <w:szCs w:val="14"/>
      </w:rPr>
      <w:fldChar w:fldCharType="begin"/>
      <w:instrText xml:space="preserve">PAGE</w:instrText>
      <w:fldChar w:fldCharType="separate"/>
      <w:fldChar w:fldCharType="end"/>
    </w:r>
    <w:r>
      <w:rPr>
        <w:color w:val="888888"/>
        <w:sz w:val="14"/>
        <w:szCs w:val="14"/>
      </w:rPr>
      <w:t xml:space="preserve"> of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Roman"/>
      <w:lvlText w:val="(%1)"/>
      <w:lvlJc w:val="left"/>
      <w:pPr>
        <w:ind w:left="1440" w:hanging="4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26"/>
      <w:szCs w:val="26"/>
    </w:rPr>
  </w:style>
  <w:style w:type="paragraph" w:styleId="Heading2">
    <w:name w:val="Heading 2"/>
    <w:basedOn w:val="Normal"/>
    <w:next w:val="Normal"/>
    <w:qFormat/>
    <w:pPr>
      <w:spacing w:after="120" w:before="20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2026-06-20T20:08:43.005Z</dcterms:created>
  <dcterms:modified xsi:type="dcterms:W3CDTF">2026-06-20T20:08:43.005Z</dcterms:modified>
</cp:coreProperties>
</file>

<file path=docProps/custom.xml><?xml version="1.0" encoding="utf-8"?>
<Properties xmlns="http://schemas.openxmlformats.org/officeDocument/2006/custom-properties" xmlns:vt="http://schemas.openxmlformats.org/officeDocument/2006/docPropsVTypes"/>
</file>